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75" w:rsidRPr="005C6A96" w:rsidRDefault="005C6A96" w:rsidP="005C6A96">
      <w:pPr>
        <w:pStyle w:val="Heading8"/>
        <w:rPr>
          <w:b/>
        </w:rPr>
      </w:pPr>
      <w:bookmarkStart w:id="0" w:name="_GoBack"/>
      <w:bookmarkEnd w:id="0"/>
      <w:r w:rsidRPr="005C6A96">
        <w:rPr>
          <w:b/>
        </w:rPr>
        <w:t>Appendix A</w:t>
      </w:r>
    </w:p>
    <w:p w:rsidR="005C6A96" w:rsidRPr="00746446" w:rsidRDefault="003028D5" w:rsidP="005C6A96">
      <w:pPr>
        <w:pStyle w:val="Heading9"/>
        <w:rPr>
          <w:i/>
        </w:rPr>
        <w:sectPr w:rsidR="005C6A96" w:rsidRPr="00746446" w:rsidSect="008D701F">
          <w:headerReference w:type="even" r:id="rId8"/>
          <w:headerReference w:type="default" r:id="rId9"/>
          <w:footerReference w:type="even" r:id="rId10"/>
          <w:footerReference w:type="default" r:id="rId11"/>
          <w:pgSz w:w="11906" w:h="16838" w:code="9"/>
          <w:pgMar w:top="2466" w:right="2098" w:bottom="2466" w:left="2098" w:header="1899" w:footer="1899" w:gutter="0"/>
          <w:pgNumType w:start="69"/>
          <w:cols w:space="708"/>
          <w:titlePg/>
          <w:docGrid w:linePitch="360"/>
        </w:sectPr>
      </w:pPr>
      <w:r w:rsidRPr="00746446">
        <w:rPr>
          <w:i/>
        </w:rPr>
        <w:t xml:space="preserve">Australia’s </w:t>
      </w:r>
      <w:r w:rsidR="00746446" w:rsidRPr="00746446">
        <w:rPr>
          <w:i/>
        </w:rPr>
        <w:t>Foreign Investment Policy</w:t>
      </w:r>
    </w:p>
    <w:p w:rsidR="005C6A96" w:rsidRDefault="005C6A96" w:rsidP="005C6A96">
      <w:pPr>
        <w:pStyle w:val="Heading9"/>
        <w:sectPr w:rsidR="005C6A96">
          <w:footerReference w:type="first" r:id="rId12"/>
          <w:pgSz w:w="11906" w:h="16838" w:code="9"/>
          <w:pgMar w:top="2466" w:right="2098" w:bottom="2466" w:left="2098" w:header="1899" w:footer="1899" w:gutter="0"/>
          <w:cols w:space="708"/>
          <w:titlePg/>
          <w:docGrid w:linePitch="360"/>
        </w:sectPr>
      </w:pPr>
    </w:p>
    <w:p w:rsidR="00B52375" w:rsidRDefault="005C6A96" w:rsidP="005C6A96">
      <w:pPr>
        <w:pStyle w:val="Heading7"/>
      </w:pPr>
      <w:r w:rsidRPr="005C6A96">
        <w:lastRenderedPageBreak/>
        <w:t>March 2009</w:t>
      </w:r>
    </w:p>
    <w:p w:rsidR="005C6A96" w:rsidRPr="003F4553" w:rsidRDefault="005C6A96" w:rsidP="0091584F">
      <w:pPr>
        <w:pStyle w:val="Heading1noTOC"/>
        <w:rPr>
          <w:i/>
        </w:rPr>
      </w:pPr>
      <w:r w:rsidRPr="003F4553">
        <w:rPr>
          <w:i/>
        </w:rPr>
        <w:t xml:space="preserve">Australia’s </w:t>
      </w:r>
      <w:r w:rsidR="00746446" w:rsidRPr="003F4553">
        <w:rPr>
          <w:i/>
        </w:rPr>
        <w:t>Foreign Investment Policy</w:t>
      </w:r>
      <w:r w:rsidRPr="003F4553">
        <w:rPr>
          <w:rStyle w:val="FootnoteReference"/>
          <w:rFonts w:cs="Arial"/>
          <w:i/>
          <w:sz w:val="28"/>
          <w:szCs w:val="28"/>
        </w:rPr>
        <w:footnoteReference w:id="1"/>
      </w:r>
    </w:p>
    <w:p w:rsidR="005C6A96" w:rsidRDefault="005C6A96" w:rsidP="005C6A96">
      <w:pPr>
        <w:pStyle w:val="Heading2noTOC"/>
      </w:pPr>
      <w:r w:rsidRPr="002C3F71">
        <w:t>General</w:t>
      </w:r>
      <w:r>
        <w:rPr>
          <w:rStyle w:val="FootnoteReference"/>
          <w:rFonts w:cs="Arial"/>
        </w:rPr>
        <w:footnoteReference w:id="2"/>
      </w:r>
    </w:p>
    <w:p w:rsidR="005C6A96" w:rsidRPr="002C3F71" w:rsidRDefault="005C6A96" w:rsidP="005C6A96">
      <w:r w:rsidRPr="002C3F71">
        <w:t>The Government’s approach to foreign investment policy is to encourage foreign investment consistent with community interests. In recognition of the contribution that foreign investment has made and continues to make to the development of Australia, the general stance of policy is to welcome foreign investment. Foreign investment provides scope for higher rates of economic activity and employment than could be achieved from domestic levels of savings. Foreign direct investment also provides access to new technology, management skills and overseas markets.</w:t>
      </w:r>
    </w:p>
    <w:p w:rsidR="005C6A96" w:rsidRPr="00AB709A" w:rsidRDefault="005C6A96" w:rsidP="00AB709A">
      <w:pPr>
        <w:pStyle w:val="NumberedParagraph"/>
      </w:pPr>
      <w:r w:rsidRPr="00AB709A">
        <w:t>The Government recognises community concerns about foreign ownership of Australian assets. One of the objectives of the Government’s foreign investment policy (the policy) is to balance these concerns against the strong economic benefits to Australia that arise from foreign investment.</w:t>
      </w:r>
    </w:p>
    <w:p w:rsidR="005C6A96" w:rsidRPr="00AB709A" w:rsidRDefault="005C6A96" w:rsidP="00AB709A">
      <w:pPr>
        <w:pStyle w:val="NumberedParagraph"/>
      </w:pPr>
      <w:r w:rsidRPr="00AB709A">
        <w:t xml:space="preserve">The policy provides the framework for Government scrutiny of proposed foreign purchases of Australian businesses and real estate. The Government has the power under the </w:t>
      </w:r>
      <w:hyperlink r:id="rId13" w:history="1">
        <w:r w:rsidRPr="00F82EC1">
          <w:rPr>
            <w:rStyle w:val="Hyperlink"/>
            <w:i/>
          </w:rPr>
          <w:t>Foreign Acquisitions and Takeovers Act 1975</w:t>
        </w:r>
      </w:hyperlink>
      <w:r w:rsidRPr="00AB709A">
        <w:t xml:space="preserve"> (the FATA) to block those proposals subject to the FATA which would result in a foreign person acquiring control of an Australian corporation or business or an interest in real estate where this is determined to be contrary to the national interest. The FATA and the </w:t>
      </w:r>
      <w:hyperlink r:id="rId14" w:history="1">
        <w:r w:rsidRPr="0054096F">
          <w:rPr>
            <w:rStyle w:val="Hyperlink"/>
            <w:i/>
          </w:rPr>
          <w:t>Foreign Acquisitions and Takeovers Regulations 1989</w:t>
        </w:r>
      </w:hyperlink>
      <w:r w:rsidRPr="00AB709A">
        <w:t xml:space="preserve"> provide monetary thresholds below which the relevant FATA provisions do not apply, and separate thresholds for acquisitions by US investors.</w:t>
      </w:r>
      <w:r w:rsidRPr="0054096F">
        <w:rPr>
          <w:rStyle w:val="FootnoteReference"/>
        </w:rPr>
        <w:footnoteReference w:id="3"/>
      </w:r>
      <w:r w:rsidRPr="00AB709A">
        <w:t xml:space="preserve"> The FATA also provides a legislative mechanism for ensuring compliance with the policy. </w:t>
      </w:r>
    </w:p>
    <w:p w:rsidR="005C6A96" w:rsidRPr="00AB709A" w:rsidRDefault="005C6A96" w:rsidP="00AB709A">
      <w:pPr>
        <w:pStyle w:val="NumberedParagraph"/>
      </w:pPr>
      <w:r w:rsidRPr="002C3F71">
        <w:t>In the majority of industry sectors, smaller proposals are exempt from the FATA or notification under the policy and larger proposals are approved unless determined to be contrary to the national interest. The screening process undertaken by the Foreign Investment Review Board (</w:t>
      </w:r>
      <w:r>
        <w:t>FIRB</w:t>
      </w:r>
      <w:r w:rsidRPr="002C3F71">
        <w:t xml:space="preserve">) enables comments to be obtained from </w:t>
      </w:r>
      <w:r w:rsidRPr="002C3F71">
        <w:lastRenderedPageBreak/>
        <w:t>relevant parties and other Government agencies in considering whether larger or more sensitive foreign investment proposals are contrary to the national interest.</w:t>
      </w:r>
    </w:p>
    <w:p w:rsidR="005C6A96" w:rsidRPr="00AB709A" w:rsidRDefault="005C6A96" w:rsidP="00AB709A">
      <w:pPr>
        <w:pStyle w:val="NumberedParagraph"/>
      </w:pPr>
      <w:r w:rsidRPr="002C3F71">
        <w:t xml:space="preserve">The Government determines what is ‘contrary to the national interest’ by having regard to the widely held community concerns of Australians. </w:t>
      </w:r>
      <w:r>
        <w:t>For example, r</w:t>
      </w:r>
      <w:r w:rsidRPr="002C3F71">
        <w:t xml:space="preserve">eflecting community concerns, specific restrictions on foreign investment are in force in more sensitive sectors such as the media and </w:t>
      </w:r>
      <w:r>
        <w:t>in the</w:t>
      </w:r>
      <w:r w:rsidRPr="002C3F71">
        <w:t xml:space="preserve"> residential real estate</w:t>
      </w:r>
      <w:r>
        <w:t xml:space="preserve"> area</w:t>
      </w:r>
      <w:r w:rsidRPr="002C3F71">
        <w:t>. The screening process provides a clear and simple mechanism for reviewing the operations of foreign investors in Australia whenever they seek to establish or acquire new business interests or purchase real estate.</w:t>
      </w:r>
    </w:p>
    <w:p w:rsidR="005C6A96" w:rsidRPr="00AB709A" w:rsidRDefault="005C6A96" w:rsidP="00AB709A">
      <w:pPr>
        <w:pStyle w:val="NumberedParagraph"/>
      </w:pPr>
      <w:r w:rsidRPr="00AB709A">
        <w:t>By far the largest number of foreign investment proposals involves the purchase of real estate. The Government seeks to ensure that foreign investment in residential real estate increases the supply of dwellings and is not speculative in nature. The policy seeks to channel foreign investment in the housing sector into activity that directly increases the supply of new housing (that is, new developments such as house and land, home units and townhouses) and brings benefits to the local building industry and its suppliers.</w:t>
      </w:r>
    </w:p>
    <w:p w:rsidR="005C6A96" w:rsidRDefault="005C6A96" w:rsidP="00AB709A">
      <w:pPr>
        <w:pStyle w:val="NumberedParagraph"/>
      </w:pPr>
      <w:r w:rsidRPr="00AB709A">
        <w:t>The effect of the more restrictive policy measures on developed residential real estate is twofold. Firstly, it helps reduce the possibility of excess demand building up in the existing housing market. Secondly, it aims to encourage the supply of new dwellings, many of which would become available to Australian residents, either for purchase or rent. The cumulative effect should be to maintain greater stability of house prices and the affordability of housing for the benefit of Australian residents.</w:t>
      </w:r>
    </w:p>
    <w:p w:rsidR="00AB709A" w:rsidRDefault="00AB709A" w:rsidP="00694137">
      <w:pPr>
        <w:pStyle w:val="Heading2noTOC"/>
      </w:pPr>
      <w:r w:rsidRPr="002C3F71">
        <w:t>Who should apply?</w:t>
      </w:r>
    </w:p>
    <w:p w:rsidR="00AB709A" w:rsidRPr="002C3F71" w:rsidRDefault="00AB709A" w:rsidP="00AB709A">
      <w:pPr>
        <w:pStyle w:val="NumberedParagraph"/>
      </w:pPr>
      <w:r w:rsidRPr="002C3F71">
        <w:t xml:space="preserve">The </w:t>
      </w:r>
      <w:r>
        <w:t xml:space="preserve">FATA and the </w:t>
      </w:r>
      <w:r w:rsidRPr="002C3F71">
        <w:t>policy appl</w:t>
      </w:r>
      <w:r>
        <w:t>y</w:t>
      </w:r>
      <w:r w:rsidRPr="002C3F71">
        <w:t xml:space="preserve"> to </w:t>
      </w:r>
      <w:r>
        <w:t>certain</w:t>
      </w:r>
      <w:r w:rsidRPr="002C3F71">
        <w:t xml:space="preserve"> acquisitions by foreign persons.</w:t>
      </w:r>
      <w:r>
        <w:t xml:space="preserve"> </w:t>
      </w:r>
      <w:r w:rsidRPr="002C3F71">
        <w:t xml:space="preserve">A </w:t>
      </w:r>
      <w:r w:rsidRPr="005B0BD8">
        <w:rPr>
          <w:b/>
        </w:rPr>
        <w:t>foreign person</w:t>
      </w:r>
      <w:r w:rsidRPr="002C3F71">
        <w:t xml:space="preserve"> is defined as:</w:t>
      </w:r>
    </w:p>
    <w:p w:rsidR="00AB709A" w:rsidRPr="002C3F71" w:rsidRDefault="00AB709A" w:rsidP="00AB709A">
      <w:pPr>
        <w:pStyle w:val="Bullet"/>
      </w:pPr>
      <w:r w:rsidRPr="002C3F71">
        <w:t xml:space="preserve">a natural person not </w:t>
      </w:r>
      <w:hyperlink w:anchor="_Definitions" w:history="1">
        <w:r w:rsidRPr="00472193">
          <w:rPr>
            <w:rStyle w:val="Hyperlink"/>
          </w:rPr>
          <w:t>ordinarily resident</w:t>
        </w:r>
      </w:hyperlink>
      <w:r w:rsidRPr="002C3F71">
        <w:t xml:space="preserve"> in Australia; </w:t>
      </w:r>
    </w:p>
    <w:p w:rsidR="00AB709A" w:rsidRPr="002C3F71" w:rsidRDefault="00AB709A" w:rsidP="00AB709A">
      <w:pPr>
        <w:pStyle w:val="Bullet"/>
      </w:pPr>
      <w:r w:rsidRPr="002C3F71">
        <w:t xml:space="preserve">a corporation in which a natural person not ordinarily resident in Australia or a foreign corporation holds a </w:t>
      </w:r>
      <w:hyperlink w:anchor="_Definitions" w:history="1">
        <w:r w:rsidRPr="00472193">
          <w:rPr>
            <w:rStyle w:val="Hyperlink"/>
          </w:rPr>
          <w:t>substantial interest</w:t>
        </w:r>
      </w:hyperlink>
      <w:r w:rsidRPr="002C3F71">
        <w:t>;</w:t>
      </w:r>
    </w:p>
    <w:p w:rsidR="00AB709A" w:rsidRPr="002C3F71" w:rsidRDefault="00AB709A" w:rsidP="00AB709A">
      <w:pPr>
        <w:pStyle w:val="Bullet"/>
      </w:pPr>
      <w:r w:rsidRPr="002C3F71">
        <w:t xml:space="preserve">a corporation in which two or more persons, each of whom is either a natural person not ordinarily resident in Australia or a foreign corporation, hold an </w:t>
      </w:r>
      <w:hyperlink w:anchor="_Definitions" w:history="1">
        <w:r w:rsidRPr="00472193">
          <w:rPr>
            <w:rStyle w:val="Hyperlink"/>
          </w:rPr>
          <w:t>aggregate substantial interest</w:t>
        </w:r>
      </w:hyperlink>
      <w:r w:rsidRPr="002C3F71">
        <w:t>;</w:t>
      </w:r>
    </w:p>
    <w:p w:rsidR="00AB709A" w:rsidRPr="002C3F71" w:rsidRDefault="00AB709A" w:rsidP="00AB709A">
      <w:pPr>
        <w:pStyle w:val="Bullet"/>
      </w:pPr>
      <w:r w:rsidRPr="002C3F71">
        <w:t xml:space="preserve">the trustee of a trust estate in which a natural person not ordinarily resident in Australia or a foreign corporation holds a </w:t>
      </w:r>
      <w:bookmarkStart w:id="1" w:name="OLE_LINK1"/>
      <w:bookmarkStart w:id="2" w:name="OLE_LINK2"/>
      <w:r>
        <w:fldChar w:fldCharType="begin"/>
      </w:r>
      <w:r>
        <w:instrText xml:space="preserve"> HYPERLINK  \l "_Definitions" </w:instrText>
      </w:r>
      <w:r>
        <w:fldChar w:fldCharType="separate"/>
      </w:r>
      <w:r w:rsidRPr="00472193">
        <w:rPr>
          <w:rStyle w:val="Hyperlink"/>
        </w:rPr>
        <w:t>substantial</w:t>
      </w:r>
      <w:bookmarkEnd w:id="1"/>
      <w:bookmarkEnd w:id="2"/>
      <w:r w:rsidRPr="00472193">
        <w:rPr>
          <w:rStyle w:val="Hyperlink"/>
        </w:rPr>
        <w:t xml:space="preserve"> interest</w:t>
      </w:r>
      <w:r>
        <w:fldChar w:fldCharType="end"/>
      </w:r>
      <w:r w:rsidRPr="002C3F71">
        <w:t>; or</w:t>
      </w:r>
    </w:p>
    <w:p w:rsidR="00AB709A" w:rsidRDefault="00AB709A" w:rsidP="00AB709A">
      <w:pPr>
        <w:pStyle w:val="Bullet"/>
      </w:pPr>
      <w:r w:rsidRPr="002C3F71">
        <w:t xml:space="preserve">the trustee of a trust estate in which two or more persons, each of whom is either a natural person not ordinarily resident in Australia or a foreign corporation, hold an </w:t>
      </w:r>
      <w:hyperlink w:anchor="_Definitions" w:history="1">
        <w:r w:rsidRPr="00472193">
          <w:rPr>
            <w:rStyle w:val="Hyperlink"/>
          </w:rPr>
          <w:t>aggregate substantial interest</w:t>
        </w:r>
      </w:hyperlink>
      <w:r w:rsidRPr="002C3F71">
        <w:t>.</w:t>
      </w:r>
    </w:p>
    <w:p w:rsidR="00AB709A" w:rsidRDefault="00AB709A" w:rsidP="00694137">
      <w:pPr>
        <w:pStyle w:val="Heading2noTOC"/>
      </w:pPr>
      <w:r w:rsidRPr="002C3F71">
        <w:lastRenderedPageBreak/>
        <w:t xml:space="preserve">Prior </w:t>
      </w:r>
      <w:r w:rsidR="00980C12">
        <w:t>a</w:t>
      </w:r>
      <w:r w:rsidRPr="002C3F71">
        <w:t>pproval</w:t>
      </w:r>
    </w:p>
    <w:p w:rsidR="00AB709A" w:rsidRPr="0087537E" w:rsidRDefault="00AB709A" w:rsidP="00AB709A">
      <w:pPr>
        <w:pStyle w:val="NumberedParagraph"/>
      </w:pPr>
      <w:r w:rsidRPr="006C66E0">
        <w:t>The types of foreign investment proposals which are subject to the FATA and hence should</w:t>
      </w:r>
      <w:r w:rsidRPr="002C3F71">
        <w:t xml:space="preserve"> </w:t>
      </w:r>
      <w:r w:rsidRPr="0087537E">
        <w:t xml:space="preserve">be notified to the Government for approval, include: </w:t>
      </w:r>
    </w:p>
    <w:p w:rsidR="00AB709A" w:rsidRPr="00AB709A" w:rsidRDefault="00AB709A" w:rsidP="00AB709A">
      <w:pPr>
        <w:pStyle w:val="Bullet"/>
      </w:pPr>
      <w:r w:rsidRPr="0087537E">
        <w:t>acquisitions of interests in an Australian business or corporation which is valued above, or the proposal values it above, $100 million.</w:t>
      </w:r>
      <w:r w:rsidRPr="0087537E">
        <w:rPr>
          <w:rStyle w:val="FootnoteReference"/>
        </w:rPr>
        <w:footnoteReference w:id="4"/>
      </w:r>
      <w:r w:rsidRPr="0087537E">
        <w:t xml:space="preserve"> For </w:t>
      </w:r>
      <w:hyperlink w:anchor="_Definitions" w:history="1">
        <w:r w:rsidRPr="0087537E">
          <w:rPr>
            <w:rStyle w:val="Hyperlink"/>
          </w:rPr>
          <w:t>US investors</w:t>
        </w:r>
      </w:hyperlink>
      <w:r w:rsidRPr="0087537E">
        <w:rPr>
          <w:rStyle w:val="FootnoteReference"/>
        </w:rPr>
        <w:footnoteReference w:id="5"/>
      </w:r>
      <w:r w:rsidRPr="0087537E">
        <w:t xml:space="preserve"> different exemption thresholds apply:</w:t>
      </w:r>
      <w:r w:rsidRPr="0087537E">
        <w:rPr>
          <w:rStyle w:val="FootnoteReference"/>
        </w:rPr>
        <w:footnoteReference w:id="6"/>
      </w:r>
      <w:r w:rsidRPr="0087537E">
        <w:t xml:space="preserve"> </w:t>
      </w:r>
      <w:r w:rsidRPr="0087537E">
        <w:rPr>
          <w:color w:val="auto"/>
        </w:rPr>
        <w:t>$110 million</w:t>
      </w:r>
      <w:r w:rsidRPr="0087537E">
        <w:rPr>
          <w:rStyle w:val="FootnoteReference"/>
          <w:color w:val="auto"/>
        </w:rPr>
        <w:footnoteReference w:id="7"/>
      </w:r>
      <w:r w:rsidRPr="0087537E">
        <w:rPr>
          <w:color w:val="auto"/>
        </w:rPr>
        <w:t xml:space="preserve"> for investments in </w:t>
      </w:r>
      <w:hyperlink w:anchor="_Prescribed_Sensitive_Sectors" w:history="1">
        <w:r w:rsidRPr="0087537E">
          <w:rPr>
            <w:rStyle w:val="Hyperlink"/>
          </w:rPr>
          <w:t>prescribed sensitive sectors</w:t>
        </w:r>
      </w:hyperlink>
      <w:r w:rsidRPr="0087537E">
        <w:rPr>
          <w:color w:val="auto"/>
        </w:rPr>
        <w:t xml:space="preserve"> or by an entity controlled by a US government, or </w:t>
      </w:r>
      <w:r w:rsidRPr="0087537E">
        <w:t>$</w:t>
      </w:r>
      <w:r w:rsidRPr="0087537E">
        <w:rPr>
          <w:color w:val="auto"/>
        </w:rPr>
        <w:t>953 million</w:t>
      </w:r>
      <w:r w:rsidRPr="0087537E">
        <w:rPr>
          <w:rStyle w:val="FootnoteReference"/>
          <w:color w:val="auto"/>
        </w:rPr>
        <w:footnoteReference w:id="8"/>
      </w:r>
      <w:r w:rsidRPr="0087537E">
        <w:rPr>
          <w:color w:val="auto"/>
        </w:rPr>
        <w:t xml:space="preserve"> in any other case.</w:t>
      </w:r>
      <w:r>
        <w:rPr>
          <w:color w:val="auto"/>
        </w:rPr>
        <w:t xml:space="preserve"> </w:t>
      </w:r>
      <w:r w:rsidRPr="0087537E">
        <w:rPr>
          <w:color w:val="auto"/>
        </w:rPr>
        <w:t>Such interests include:</w:t>
      </w:r>
    </w:p>
    <w:p w:rsidR="00AB709A" w:rsidRPr="0087537E" w:rsidRDefault="00AB709A" w:rsidP="00AB709A">
      <w:pPr>
        <w:pStyle w:val="Dash"/>
      </w:pPr>
      <w:r w:rsidRPr="0087537E">
        <w:t xml:space="preserve">acquisitions of shares representing a </w:t>
      </w:r>
      <w:hyperlink w:anchor="_Definitions" w:history="1">
        <w:r w:rsidRPr="0087537E">
          <w:rPr>
            <w:rStyle w:val="Hyperlink"/>
          </w:rPr>
          <w:t>substantial interest</w:t>
        </w:r>
      </w:hyperlink>
      <w:r w:rsidRPr="0087537E">
        <w:t xml:space="preserve"> in the corporation;</w:t>
      </w:r>
    </w:p>
    <w:p w:rsidR="00AB709A" w:rsidRDefault="00AB709A" w:rsidP="00AB709A">
      <w:pPr>
        <w:pStyle w:val="Dash"/>
      </w:pPr>
      <w:r w:rsidRPr="0087537E">
        <w:t>acquisitions of assets resulting in control of the business; or</w:t>
      </w:r>
    </w:p>
    <w:p w:rsidR="00AB709A" w:rsidRDefault="00AB709A" w:rsidP="00AB709A">
      <w:pPr>
        <w:pStyle w:val="Dash"/>
      </w:pPr>
      <w:r w:rsidRPr="0087537E">
        <w:t>any other type of arrangement which results in control of the business/corporation;</w:t>
      </w:r>
    </w:p>
    <w:p w:rsidR="00AB709A" w:rsidRPr="002C3F71" w:rsidRDefault="00AB709A" w:rsidP="00AB709A">
      <w:pPr>
        <w:pStyle w:val="Bullet"/>
      </w:pPr>
      <w:r w:rsidRPr="002C3F71">
        <w:t>takeovers of offshore companies whose Australian subsidiaries or gross assets exceed $200 million</w:t>
      </w:r>
      <w:r w:rsidRPr="002C3F71">
        <w:rPr>
          <w:rStyle w:val="FootnoteReference"/>
        </w:rPr>
        <w:footnoteReference w:id="9"/>
      </w:r>
      <w:r w:rsidRPr="002C3F71">
        <w:t xml:space="preserve"> and represent less than 50 per cent of global assets. For </w:t>
      </w:r>
      <w:hyperlink w:anchor="_Definitions" w:history="1">
        <w:r w:rsidRPr="002A5BD1">
          <w:rPr>
            <w:rStyle w:val="Hyperlink"/>
          </w:rPr>
          <w:t>US investors</w:t>
        </w:r>
      </w:hyperlink>
      <w:r w:rsidRPr="002C3F71">
        <w:t xml:space="preserve"> the $</w:t>
      </w:r>
      <w:r>
        <w:t>953</w:t>
      </w:r>
      <w:r w:rsidRPr="002C3F71">
        <w:t xml:space="preserve"> million threshold applies, except for offshore takeovers involving </w:t>
      </w:r>
      <w:hyperlink w:anchor="_Prescribed_Sensitive_Sectors" w:history="1">
        <w:r w:rsidRPr="00472193">
          <w:rPr>
            <w:rStyle w:val="Hyperlink"/>
          </w:rPr>
          <w:t>prescribed sensitive sectors</w:t>
        </w:r>
      </w:hyperlink>
      <w:r w:rsidRPr="002C3F71">
        <w:t xml:space="preserve"> or </w:t>
      </w:r>
      <w:r w:rsidRPr="002C3F71">
        <w:rPr>
          <w:color w:val="auto"/>
        </w:rPr>
        <w:t xml:space="preserve">an entity controlled by a US government, where a </w:t>
      </w:r>
      <w:r w:rsidRPr="002C3F71">
        <w:t>$</w:t>
      </w:r>
      <w:r>
        <w:t>219</w:t>
      </w:r>
      <w:r w:rsidRPr="002C3F71">
        <w:t> million threshold applies;</w:t>
      </w:r>
      <w:r>
        <w:t xml:space="preserve"> </w:t>
      </w:r>
    </w:p>
    <w:p w:rsidR="00AB709A" w:rsidRDefault="00AB709A" w:rsidP="00AB709A">
      <w:pPr>
        <w:pStyle w:val="Bullet"/>
      </w:pPr>
      <w:r w:rsidRPr="002C3F71">
        <w:t xml:space="preserve">acquisitions of interests in </w:t>
      </w:r>
      <w:hyperlink w:anchor="_Australian_Urban_Land" w:history="1">
        <w:r w:rsidRPr="002E4343">
          <w:rPr>
            <w:rStyle w:val="Hyperlink"/>
          </w:rPr>
          <w:t>Australian</w:t>
        </w:r>
        <w:r>
          <w:rPr>
            <w:rStyle w:val="Hyperlink"/>
          </w:rPr>
          <w:t xml:space="preserve"> real estate</w:t>
        </w:r>
      </w:hyperlink>
      <w:r w:rsidRPr="002C3F71">
        <w:t xml:space="preserve"> (including interests that arise via leases, financing and profit sharing arrangements) that involve:</w:t>
      </w:r>
    </w:p>
    <w:p w:rsidR="00402423" w:rsidRPr="002C3F71" w:rsidRDefault="00402423" w:rsidP="00402423">
      <w:pPr>
        <w:pStyle w:val="Dash"/>
      </w:pPr>
      <w:r w:rsidRPr="002C3F71">
        <w:t>developed non</w:t>
      </w:r>
      <w:r w:rsidR="00B624B7">
        <w:noBreakHyphen/>
      </w:r>
      <w:r w:rsidRPr="002C3F71">
        <w:t xml:space="preserve">residential commercial real estate, where the property is subject to heritage listing, valued at $5 million or more and the acquirer is not a </w:t>
      </w:r>
      <w:hyperlink w:anchor="_Definitions" w:history="1">
        <w:r w:rsidRPr="00472193">
          <w:rPr>
            <w:rStyle w:val="Hyperlink"/>
          </w:rPr>
          <w:t>US investor</w:t>
        </w:r>
      </w:hyperlink>
      <w:r w:rsidRPr="002C3F71">
        <w:t>;</w:t>
      </w:r>
    </w:p>
    <w:p w:rsidR="00402423" w:rsidRPr="002C3F71" w:rsidRDefault="00402423" w:rsidP="00402423">
      <w:pPr>
        <w:pStyle w:val="Dash"/>
      </w:pPr>
      <w:r w:rsidRPr="002C3F71">
        <w:t>developed non</w:t>
      </w:r>
      <w:r w:rsidR="00B624B7">
        <w:noBreakHyphen/>
      </w:r>
      <w:r w:rsidRPr="002C3F71">
        <w:t>residential commercial real estate, where the property is not subject to heritage listing, valued at $50 million or more, or $</w:t>
      </w:r>
      <w:r>
        <w:t>953</w:t>
      </w:r>
      <w:r w:rsidRPr="002C3F71">
        <w:t xml:space="preserve"> million for </w:t>
      </w:r>
      <w:hyperlink w:anchor="_Definitions" w:history="1">
        <w:r w:rsidRPr="00472193">
          <w:rPr>
            <w:rStyle w:val="Hyperlink"/>
          </w:rPr>
          <w:t>US investors</w:t>
        </w:r>
      </w:hyperlink>
      <w:r w:rsidRPr="002C3F71">
        <w:t>;</w:t>
      </w:r>
    </w:p>
    <w:p w:rsidR="00402423" w:rsidRPr="002C3F71" w:rsidRDefault="00402423" w:rsidP="00402423">
      <w:pPr>
        <w:pStyle w:val="Dash"/>
      </w:pPr>
      <w:r w:rsidRPr="002C3F71">
        <w:t xml:space="preserve">vacant </w:t>
      </w:r>
      <w:r>
        <w:t>non</w:t>
      </w:r>
      <w:r w:rsidR="00B624B7">
        <w:noBreakHyphen/>
      </w:r>
      <w:r>
        <w:t>residential land</w:t>
      </w:r>
      <w:r w:rsidRPr="002C3F71">
        <w:t xml:space="preserve"> irrespective of value;</w:t>
      </w:r>
    </w:p>
    <w:p w:rsidR="00402423" w:rsidRDefault="00402423" w:rsidP="00402423">
      <w:pPr>
        <w:pStyle w:val="Dash"/>
      </w:pPr>
      <w:r w:rsidRPr="002C3F71">
        <w:lastRenderedPageBreak/>
        <w:t>residential real estate irrespective of value</w:t>
      </w:r>
      <w:r>
        <w:t>;</w:t>
      </w:r>
      <w:r>
        <w:rPr>
          <w:rStyle w:val="FootnoteReference"/>
        </w:rPr>
        <w:footnoteReference w:id="10"/>
      </w:r>
      <w:r w:rsidRPr="002C3F71">
        <w:t xml:space="preserve"> </w:t>
      </w:r>
      <w:r>
        <w:t>or</w:t>
      </w:r>
    </w:p>
    <w:p w:rsidR="00402423" w:rsidRDefault="00402423" w:rsidP="00402423">
      <w:pPr>
        <w:pStyle w:val="Dash"/>
      </w:pPr>
      <w:r w:rsidRPr="00485CCB">
        <w:t xml:space="preserve">shares or units in </w:t>
      </w:r>
      <w:hyperlink r:id="rId15" w:history="1">
        <w:r w:rsidRPr="00610916">
          <w:rPr>
            <w:rStyle w:val="Hyperlink"/>
          </w:rPr>
          <w:t>Australian urban land corporations or trust estates</w:t>
        </w:r>
      </w:hyperlink>
      <w:r w:rsidRPr="00485CCB">
        <w:t>, irrespective of</w:t>
      </w:r>
      <w:r>
        <w:t xml:space="preserve"> value; or</w:t>
      </w:r>
    </w:p>
    <w:p w:rsidR="00402423" w:rsidRDefault="00402423" w:rsidP="00402423">
      <w:pPr>
        <w:pStyle w:val="Bullet"/>
      </w:pPr>
      <w:r w:rsidRPr="002C3F71">
        <w:t>proposals where any doubt exists as to whether they are notifiable. (Funding arrangements that include debt instruments having quasi</w:t>
      </w:r>
      <w:r w:rsidR="00B624B7">
        <w:noBreakHyphen/>
      </w:r>
      <w:r w:rsidRPr="002C3F71">
        <w:t xml:space="preserve">equity characteristics will be treated as direct </w:t>
      </w:r>
      <w:r w:rsidR="0054096F">
        <w:t>foreign investment</w:t>
      </w:r>
      <w:r w:rsidRPr="002C3F71">
        <w:t>)</w:t>
      </w:r>
      <w:r w:rsidR="0054096F">
        <w:t>.</w:t>
      </w:r>
    </w:p>
    <w:p w:rsidR="00AE537D" w:rsidRDefault="00AE537D" w:rsidP="00AE537D">
      <w:pPr>
        <w:pStyle w:val="NumberedParagraph"/>
      </w:pPr>
      <w:r w:rsidRPr="006C66E0">
        <w:t xml:space="preserve">The types of foreign investment proposals which are subject to the policy and hence should </w:t>
      </w:r>
      <w:r>
        <w:t xml:space="preserve">also </w:t>
      </w:r>
      <w:r w:rsidRPr="006C66E0">
        <w:t>be notified to the Government for ap</w:t>
      </w:r>
      <w:r>
        <w:t>proval</w:t>
      </w:r>
      <w:r w:rsidRPr="006C66E0">
        <w:t xml:space="preserve"> include:</w:t>
      </w:r>
    </w:p>
    <w:p w:rsidR="00AE537D" w:rsidRDefault="00AE537D" w:rsidP="00AE537D">
      <w:pPr>
        <w:pStyle w:val="Bullet"/>
      </w:pPr>
      <w:r w:rsidRPr="006C66E0">
        <w:t>proposals to establish new businesses involving a total investment of $10</w:t>
      </w:r>
      <w:r w:rsidR="0054096F">
        <w:t> </w:t>
      </w:r>
      <w:r w:rsidRPr="006C66E0">
        <w:t xml:space="preserve">million or more. Proposals by </w:t>
      </w:r>
      <w:hyperlink w:anchor="_Definitions" w:history="1">
        <w:r w:rsidRPr="00472193">
          <w:rPr>
            <w:rStyle w:val="Hyperlink"/>
          </w:rPr>
          <w:t>US investors</w:t>
        </w:r>
      </w:hyperlink>
      <w:r w:rsidRPr="006C66E0">
        <w:t>, except an entity controlled by a US government, do not require notification but remain subject to other relevant policy requirements;</w:t>
      </w:r>
    </w:p>
    <w:p w:rsidR="00AE537D" w:rsidRDefault="00AE537D" w:rsidP="00AE537D">
      <w:pPr>
        <w:pStyle w:val="Bullet"/>
      </w:pPr>
      <w:r w:rsidRPr="006C66E0">
        <w:t>direct investments by foreign governments and their agencies irrespective of size</w:t>
      </w:r>
      <w:r w:rsidR="00CA2BD9">
        <w:t>,</w:t>
      </w:r>
      <w:r>
        <w:rPr>
          <w:rStyle w:val="FootnoteReference"/>
        </w:rPr>
        <w:footnoteReference w:id="11"/>
      </w:r>
      <w:r w:rsidRPr="006C66E0">
        <w:t xml:space="preserve"> </w:t>
      </w:r>
      <w:r>
        <w:t>or</w:t>
      </w:r>
    </w:p>
    <w:p w:rsidR="00AE537D" w:rsidRDefault="00AE537D" w:rsidP="00AE537D">
      <w:pPr>
        <w:pStyle w:val="Bullet"/>
      </w:pPr>
      <w:r w:rsidRPr="002C3F71">
        <w:t>portfolio investments in the media</w:t>
      </w:r>
      <w:r>
        <w:t xml:space="preserve"> sector</w:t>
      </w:r>
      <w:r w:rsidRPr="002C3F71">
        <w:t xml:space="preserve"> of 5 per cent or more and all non</w:t>
      </w:r>
      <w:r w:rsidR="00B624B7">
        <w:noBreakHyphen/>
      </w:r>
      <w:r w:rsidRPr="002C3F71">
        <w:t>portfolio in</w:t>
      </w:r>
      <w:r>
        <w:t>vestments irrespective of size.</w:t>
      </w:r>
    </w:p>
    <w:p w:rsidR="00AE537D" w:rsidRPr="002C3F71" w:rsidRDefault="00AE537D" w:rsidP="00694137">
      <w:pPr>
        <w:pStyle w:val="Heading2noTOC"/>
      </w:pPr>
      <w:r>
        <w:t xml:space="preserve">Statutory </w:t>
      </w:r>
      <w:r w:rsidR="00980C12">
        <w:t>n</w:t>
      </w:r>
      <w:r>
        <w:t>otices</w:t>
      </w:r>
    </w:p>
    <w:p w:rsidR="00AE537D" w:rsidRDefault="00AE537D" w:rsidP="00AE537D">
      <w:pPr>
        <w:pStyle w:val="NumberedParagraph"/>
      </w:pPr>
      <w:r w:rsidRPr="0095126F">
        <w:t xml:space="preserve">Acquisitions which are subject to the FATA require a statutory notice to be submitted in accordance with the relevant form as prescribed under the </w:t>
      </w:r>
      <w:hyperlink r:id="rId16" w:history="1">
        <w:r w:rsidRPr="0095126F">
          <w:rPr>
            <w:rStyle w:val="Hyperlink"/>
            <w:i/>
          </w:rPr>
          <w:t>Foreign Acquisitions and Takeovers (Notices) Regulations 1975</w:t>
        </w:r>
      </w:hyperlink>
      <w:r>
        <w:t>.</w:t>
      </w:r>
    </w:p>
    <w:p w:rsidR="00AE537D" w:rsidRPr="009859DC" w:rsidRDefault="00AE537D" w:rsidP="009859DC">
      <w:pPr>
        <w:pStyle w:val="Bullet"/>
      </w:pPr>
      <w:r w:rsidRPr="009859DC">
        <w:t>Statutory notices are not applicable to proposals which are not subject to the FATA.</w:t>
      </w:r>
    </w:p>
    <w:p w:rsidR="00AE537D" w:rsidRDefault="00AE537D" w:rsidP="00AE537D">
      <w:pPr>
        <w:pStyle w:val="NumberedParagraph"/>
      </w:pPr>
      <w:r w:rsidRPr="0095126F">
        <w:t>Submitting a statutory notice activates a time clock and, if the Treasurer does not take action within 30 days and notify the parties of this action within a further 10</w:t>
      </w:r>
      <w:r w:rsidR="004F295D">
        <w:t> </w:t>
      </w:r>
      <w:r w:rsidRPr="0095126F">
        <w:t>days, the Treasurer loses the</w:t>
      </w:r>
      <w:r>
        <w:t xml:space="preserve"> </w:t>
      </w:r>
      <w:r w:rsidRPr="0095126F">
        <w:t>ability to either prohibit the proposal or to impose conditions. The normal 30 day examination period may be extended by up to a further 90 days by the issue of an interim order.</w:t>
      </w:r>
    </w:p>
    <w:p w:rsidR="00AE537D" w:rsidRPr="002C3F71" w:rsidRDefault="00AE537D" w:rsidP="00694137">
      <w:pPr>
        <w:pStyle w:val="Heading2noTOC"/>
      </w:pPr>
      <w:r w:rsidRPr="002C3F71">
        <w:lastRenderedPageBreak/>
        <w:t xml:space="preserve">Examination by </w:t>
      </w:r>
      <w:r w:rsidR="00980C12">
        <w:t>s</w:t>
      </w:r>
      <w:r w:rsidRPr="002C3F71">
        <w:t>ector</w:t>
      </w:r>
    </w:p>
    <w:p w:rsidR="00AE537D" w:rsidRDefault="00AE537D" w:rsidP="00AE537D">
      <w:pPr>
        <w:pStyle w:val="NumberedParagraph"/>
      </w:pPr>
      <w:r>
        <w:t xml:space="preserve">The real estate sector (especially residential real estate) is regarded as sensitive and hence the policy outlines specific eligibility criteria relating to acquisitions of interests in specific categories of real estate. </w:t>
      </w:r>
    </w:p>
    <w:p w:rsidR="00AE537D" w:rsidRDefault="00AE537D" w:rsidP="00AE537D">
      <w:pPr>
        <w:pStyle w:val="NumberedParagraph"/>
      </w:pPr>
      <w:r>
        <w:t>There are no specific eligibility criteria applicable t</w:t>
      </w:r>
      <w:r w:rsidR="0054096F">
        <w:t>o acquisitions in non</w:t>
      </w:r>
      <w:r w:rsidR="00B624B7">
        <w:noBreakHyphen/>
      </w:r>
      <w:r>
        <w:t xml:space="preserve">real estate sectors; proposals are examined </w:t>
      </w:r>
      <w:r w:rsidRPr="002C3F71">
        <w:t>on a case</w:t>
      </w:r>
      <w:r w:rsidR="00B624B7">
        <w:noBreakHyphen/>
      </w:r>
      <w:r w:rsidRPr="002C3F71">
        <w:t>by</w:t>
      </w:r>
      <w:r w:rsidR="00B624B7">
        <w:noBreakHyphen/>
      </w:r>
      <w:r w:rsidRPr="002C3F71">
        <w:t>case basis</w:t>
      </w:r>
      <w:r>
        <w:t xml:space="preserve"> and are normally approved unless determined contrary to the national interest.</w:t>
      </w:r>
    </w:p>
    <w:p w:rsidR="00AE537D" w:rsidRPr="000A29B0" w:rsidRDefault="00AE537D" w:rsidP="00AE537D">
      <w:pPr>
        <w:pStyle w:val="NumberedParagraph"/>
      </w:pPr>
      <w:r w:rsidRPr="000A29B0">
        <w:t>The FATA applies to most examinable proposals and provides penalties for non</w:t>
      </w:r>
      <w:r w:rsidR="00B624B7">
        <w:noBreakHyphen/>
      </w:r>
      <w:r w:rsidRPr="000A29B0">
        <w:t>compliance.</w:t>
      </w:r>
      <w:r>
        <w:t xml:space="preserve"> </w:t>
      </w:r>
    </w:p>
    <w:p w:rsidR="00AE537D" w:rsidRDefault="00AE537D" w:rsidP="00AE537D">
      <w:pPr>
        <w:pStyle w:val="NumberedParagraph"/>
      </w:pPr>
      <w:r>
        <w:t>Proposals submitted for consideration will be either:</w:t>
      </w:r>
    </w:p>
    <w:p w:rsidR="00AE537D" w:rsidRDefault="00AE537D" w:rsidP="00AE537D">
      <w:pPr>
        <w:pStyle w:val="Bullet"/>
      </w:pPr>
      <w:r>
        <w:t xml:space="preserve">‘approved’, if the Government </w:t>
      </w:r>
      <w:r w:rsidRPr="002C3F71">
        <w:t>rais</w:t>
      </w:r>
      <w:r>
        <w:t>es</w:t>
      </w:r>
      <w:r w:rsidRPr="002C3F71">
        <w:t xml:space="preserve"> no objections</w:t>
      </w:r>
      <w:r>
        <w:t>;</w:t>
      </w:r>
      <w:r>
        <w:rPr>
          <w:rStyle w:val="FootnoteReference"/>
        </w:rPr>
        <w:footnoteReference w:id="12"/>
      </w:r>
    </w:p>
    <w:p w:rsidR="00AE537D" w:rsidRDefault="00AE537D" w:rsidP="00AE537D">
      <w:pPr>
        <w:pStyle w:val="Bullet"/>
      </w:pPr>
      <w:r>
        <w:t xml:space="preserve"> ‘conditionally approved’, if the Government </w:t>
      </w:r>
      <w:r w:rsidRPr="002C3F71">
        <w:t>rais</w:t>
      </w:r>
      <w:r>
        <w:t>es</w:t>
      </w:r>
      <w:r w:rsidRPr="002C3F71">
        <w:t xml:space="preserve"> no objections</w:t>
      </w:r>
      <w:r>
        <w:t xml:space="preserve"> </w:t>
      </w:r>
      <w:r w:rsidRPr="002C3F71">
        <w:t xml:space="preserve">subject to the parties meeting </w:t>
      </w:r>
      <w:r>
        <w:t xml:space="preserve">legally binding </w:t>
      </w:r>
      <w:r w:rsidRPr="002C3F71">
        <w:t>conditions imposed under the FATA. Such conditions ordinarily relate to acquisitions of real estate, primarily the time period for the development of vacant land and to second hand residential real estate being used as the acquirer</w:t>
      </w:r>
      <w:r>
        <w:t>’s principle place of residence; or</w:t>
      </w:r>
    </w:p>
    <w:p w:rsidR="00AE537D" w:rsidRDefault="00AE537D" w:rsidP="00AE537D">
      <w:pPr>
        <w:pStyle w:val="Bullet"/>
      </w:pPr>
      <w:r>
        <w:t>prohibited, if the Government determines it to be contrary to the national interest.</w:t>
      </w:r>
    </w:p>
    <w:p w:rsidR="00AE537D" w:rsidRPr="002C3F71" w:rsidRDefault="00AE537D" w:rsidP="005743D5">
      <w:pPr>
        <w:pStyle w:val="Heading3noTOC"/>
        <w:rPr>
          <w:szCs w:val="24"/>
        </w:rPr>
      </w:pPr>
      <w:r>
        <w:t xml:space="preserve">Real </w:t>
      </w:r>
      <w:r w:rsidR="00980C12">
        <w:t>e</w:t>
      </w:r>
      <w:r>
        <w:t xml:space="preserve">state </w:t>
      </w:r>
      <w:r w:rsidR="00980C12">
        <w:t>s</w:t>
      </w:r>
      <w:r>
        <w:t>ector</w:t>
      </w:r>
    </w:p>
    <w:p w:rsidR="00AE537D" w:rsidRPr="002C3F71" w:rsidRDefault="00AE537D" w:rsidP="00AE537D">
      <w:pPr>
        <w:pStyle w:val="NumberedParagraph"/>
      </w:pPr>
      <w:r w:rsidRPr="00001A82">
        <w:t xml:space="preserve">All contracts by foreign persons to acquire interests in Australian </w:t>
      </w:r>
      <w:r>
        <w:t>real estate</w:t>
      </w:r>
      <w:r w:rsidRPr="00001A82">
        <w:t xml:space="preserve"> should be made conditional upon foreign investment approval, unless approval was obtained prior to entering into the contract</w:t>
      </w:r>
      <w:r>
        <w:t xml:space="preserve"> or the acquisition does not require notification</w:t>
      </w:r>
      <w:r w:rsidRPr="00001A82">
        <w:t>.</w:t>
      </w:r>
      <w:r>
        <w:t xml:space="preserve"> </w:t>
      </w:r>
      <w:r w:rsidRPr="00001A82">
        <w:t xml:space="preserve">Foreign </w:t>
      </w:r>
      <w:r>
        <w:t>person</w:t>
      </w:r>
      <w:r w:rsidRPr="00001A82">
        <w:t xml:space="preserve">s are in breach of the FATA if they enter an unconditional contract to acquire property </w:t>
      </w:r>
      <w:r>
        <w:t xml:space="preserve">(or if their conditional contract becomes unconditional) </w:t>
      </w:r>
      <w:r w:rsidRPr="00001A82">
        <w:t>before approval is granted and may be subject to significant penalties.</w:t>
      </w:r>
    </w:p>
    <w:p w:rsidR="00AE537D" w:rsidRPr="004137B2" w:rsidRDefault="00AE537D" w:rsidP="005743D5">
      <w:pPr>
        <w:pStyle w:val="Heading3noTOC"/>
      </w:pPr>
      <w:bookmarkStart w:id="3" w:name="OLE_LINK7"/>
      <w:bookmarkEnd w:id="3"/>
      <w:r w:rsidRPr="004137B2">
        <w:t xml:space="preserve">Residential </w:t>
      </w:r>
      <w:r w:rsidR="00980C12">
        <w:t>r</w:t>
      </w:r>
      <w:r w:rsidRPr="004137B2">
        <w:t xml:space="preserve">eal </w:t>
      </w:r>
      <w:r w:rsidR="00980C12">
        <w:t>e</w:t>
      </w:r>
      <w:r w:rsidRPr="004137B2">
        <w:t>state</w:t>
      </w:r>
    </w:p>
    <w:p w:rsidR="00AE537D" w:rsidRDefault="00AE537D" w:rsidP="00AE537D">
      <w:pPr>
        <w:pStyle w:val="NumberedParagraph"/>
      </w:pPr>
      <w:r w:rsidRPr="003E59FD">
        <w:t>Residential real estate means all Australian residential land and housing other than commercial properties (</w:t>
      </w:r>
      <w:r>
        <w:t>such as,</w:t>
      </w:r>
      <w:r w:rsidRPr="003E59FD">
        <w:t xml:space="preserve"> offices, factories, warehouses, hotels, restaurants and shops)</w:t>
      </w:r>
      <w:r>
        <w:t xml:space="preserve"> and </w:t>
      </w:r>
      <w:hyperlink w:anchor="_Rural_Land" w:history="1">
        <w:r w:rsidRPr="00472193">
          <w:rPr>
            <w:rStyle w:val="Hyperlink"/>
          </w:rPr>
          <w:t>rural properties</w:t>
        </w:r>
      </w:hyperlink>
      <w:r>
        <w:t xml:space="preserve"> (that is, </w:t>
      </w:r>
      <w:r w:rsidRPr="004137B2">
        <w:t>land that is used wholly and exclusively for carrying on a substantial business of primary production</w:t>
      </w:r>
      <w:r>
        <w:t>).</w:t>
      </w:r>
      <w:r>
        <w:rPr>
          <w:rStyle w:val="FootnoteReference"/>
        </w:rPr>
        <w:footnoteReference w:id="13"/>
      </w:r>
      <w:r>
        <w:t xml:space="preserve"> </w:t>
      </w:r>
      <w:r w:rsidRPr="003E59FD">
        <w:t>Acquisitions of ‘hobby farms’ and ‘rural residential’ blocks by foreign interests are considered to be residential real estate.</w:t>
      </w:r>
    </w:p>
    <w:p w:rsidR="00AE537D" w:rsidRPr="002410C5" w:rsidRDefault="00AE537D" w:rsidP="00835A41">
      <w:pPr>
        <w:pStyle w:val="Heading4noTOC"/>
      </w:pPr>
      <w:r w:rsidRPr="002410C5">
        <w:lastRenderedPageBreak/>
        <w:t xml:space="preserve">Acquisitions </w:t>
      </w:r>
      <w:r w:rsidRPr="002E4343">
        <w:rPr>
          <w:u w:val="single"/>
        </w:rPr>
        <w:t>not</w:t>
      </w:r>
      <w:r w:rsidRPr="002410C5">
        <w:t xml:space="preserve"> requiring notification</w:t>
      </w:r>
    </w:p>
    <w:p w:rsidR="00AE537D" w:rsidRPr="002C3F71" w:rsidRDefault="00AE537D" w:rsidP="00AE537D">
      <w:pPr>
        <w:pStyle w:val="NumberedParagraph"/>
      </w:pPr>
      <w:r w:rsidRPr="00F266F3">
        <w:t>Acquisitions of residential real estate by the following pers</w:t>
      </w:r>
      <w:r>
        <w:t>ons do not require notification</w:t>
      </w:r>
      <w:r w:rsidRPr="002C3F71">
        <w:t>:</w:t>
      </w:r>
    </w:p>
    <w:p w:rsidR="00AE537D" w:rsidRPr="00AE537D" w:rsidRDefault="00AE537D" w:rsidP="00AE537D">
      <w:pPr>
        <w:pStyle w:val="Bullet"/>
      </w:pPr>
      <w:r w:rsidRPr="00AE537D">
        <w:t>Australian citizens living abroad purchasing either in their own name or through an Australian corporation or a trust;</w:t>
      </w:r>
    </w:p>
    <w:p w:rsidR="00AE537D" w:rsidRPr="00AE537D" w:rsidRDefault="00AE537D" w:rsidP="00AE537D">
      <w:pPr>
        <w:pStyle w:val="Bullet"/>
      </w:pPr>
      <w:r w:rsidRPr="00AE537D">
        <w:t>foreign nationals who are the holders of permanent resident visas or are holders, or are entitled to hold, a ‘special category visa’ (that is, New Zealand citizens) purchasing either in their own name or through an Australian corporation or a trust; and</w:t>
      </w:r>
    </w:p>
    <w:p w:rsidR="00AE537D" w:rsidRPr="002C3F71" w:rsidRDefault="00AE537D" w:rsidP="00AE537D">
      <w:pPr>
        <w:pStyle w:val="Bullet"/>
      </w:pPr>
      <w:r w:rsidRPr="00AE537D">
        <w:t xml:space="preserve">foreign nationals purchasing, as joint tenants, with their Australian citizen </w:t>
      </w:r>
      <w:hyperlink w:anchor="_Definitions" w:history="1">
        <w:r w:rsidRPr="00AE537D">
          <w:rPr>
            <w:rStyle w:val="Hyperlink"/>
          </w:rPr>
          <w:t>spouse</w:t>
        </w:r>
      </w:hyperlink>
      <w:r w:rsidRPr="00AE537D">
        <w:t>.</w:t>
      </w:r>
    </w:p>
    <w:p w:rsidR="00AE537D" w:rsidRPr="002C3F71" w:rsidRDefault="00AE537D" w:rsidP="00AE537D">
      <w:pPr>
        <w:pStyle w:val="NumberedParagraph"/>
      </w:pPr>
      <w:r w:rsidRPr="00E665E4">
        <w:t xml:space="preserve">Certain acquisitions by foreign nationals </w:t>
      </w:r>
      <w:hyperlink w:anchor="_Definitions" w:history="1">
        <w:r w:rsidRPr="00472193">
          <w:rPr>
            <w:rStyle w:val="Hyperlink"/>
          </w:rPr>
          <w:t>temporarily resident</w:t>
        </w:r>
      </w:hyperlink>
      <w:r w:rsidRPr="00E665E4">
        <w:t xml:space="preserve"> in Australia on a relevant valid Australian visa (not including short term visitors </w:t>
      </w:r>
      <w:r>
        <w:t>such as those who</w:t>
      </w:r>
      <w:r w:rsidRPr="00E665E4">
        <w:t xml:space="preserve"> come to Australia for tourist or business purposes or medical procedures)</w:t>
      </w:r>
      <w:r>
        <w:t xml:space="preserve">, </w:t>
      </w:r>
      <w:r w:rsidRPr="00AC23B0">
        <w:t>purchasing either in their own name or through an Australian corporation or a trust</w:t>
      </w:r>
      <w:r>
        <w:t>,</w:t>
      </w:r>
      <w:r w:rsidRPr="00E665E4">
        <w:t xml:space="preserve"> do not require notification.</w:t>
      </w:r>
      <w:r>
        <w:t xml:space="preserve"> </w:t>
      </w:r>
      <w:r w:rsidRPr="00E665E4">
        <w:t>These acquisitions are:</w:t>
      </w:r>
    </w:p>
    <w:p w:rsidR="00AE537D" w:rsidRPr="00AE537D" w:rsidRDefault="00AE537D" w:rsidP="00AE537D">
      <w:pPr>
        <w:pStyle w:val="Bullet"/>
      </w:pPr>
      <w:r w:rsidRPr="00AE537D">
        <w:t>single blocks of vacant land;</w:t>
      </w:r>
    </w:p>
    <w:p w:rsidR="00AE537D" w:rsidRDefault="00AE537D" w:rsidP="00AE537D">
      <w:pPr>
        <w:pStyle w:val="Bullet"/>
      </w:pPr>
      <w:r w:rsidRPr="00AE537D">
        <w:t>new dwellings; and</w:t>
      </w:r>
    </w:p>
    <w:p w:rsidR="00AE537D" w:rsidRDefault="00AE537D" w:rsidP="00AE537D">
      <w:pPr>
        <w:pStyle w:val="Bullet"/>
      </w:pPr>
      <w:r w:rsidRPr="00E665E4">
        <w:t>a</w:t>
      </w:r>
      <w:r>
        <w:t>n established</w:t>
      </w:r>
      <w:r w:rsidRPr="00E665E4">
        <w:t xml:space="preserve"> </w:t>
      </w:r>
      <w:r>
        <w:t>(</w:t>
      </w:r>
      <w:r w:rsidRPr="00E665E4">
        <w:t>second hand</w:t>
      </w:r>
      <w:r>
        <w:t>)</w:t>
      </w:r>
      <w:r w:rsidRPr="00E665E4">
        <w:t xml:space="preserve"> dwelling to be used as their principal place of residence (including if it is going to be demolished first </w:t>
      </w:r>
      <w:r>
        <w:t xml:space="preserve">and </w:t>
      </w:r>
      <w:r w:rsidRPr="00E665E4">
        <w:t>then redeveloped)</w:t>
      </w:r>
      <w:r w:rsidR="0054096F">
        <w:t>.</w:t>
      </w:r>
    </w:p>
    <w:p w:rsidR="00AE537D" w:rsidRPr="002C3F71" w:rsidRDefault="00AE537D" w:rsidP="00AE537D">
      <w:pPr>
        <w:pStyle w:val="NumberedParagraph"/>
      </w:pPr>
      <w:r w:rsidRPr="00F266F3">
        <w:t>Acquisitions of certain types of property do not require notification regardless of the citizenship or residency status of the purchaser</w:t>
      </w:r>
      <w:r w:rsidRPr="00E665E4">
        <w:t>:</w:t>
      </w:r>
    </w:p>
    <w:p w:rsidR="00AE537D" w:rsidRPr="00AE537D" w:rsidRDefault="00AE537D" w:rsidP="00AE537D">
      <w:pPr>
        <w:pStyle w:val="Bullet"/>
      </w:pPr>
      <w:r w:rsidRPr="00AE537D">
        <w:t>new dwellings purchased from the developer, where the developer has pre</w:t>
      </w:r>
      <w:r w:rsidR="00B624B7">
        <w:noBreakHyphen/>
      </w:r>
      <w:r w:rsidRPr="00AE537D">
        <w:t>approval to sell those dwellings to foreign persons;</w:t>
      </w:r>
      <w:r w:rsidRPr="0054096F">
        <w:rPr>
          <w:rStyle w:val="FootnoteReference"/>
        </w:rPr>
        <w:footnoteReference w:id="14"/>
      </w:r>
    </w:p>
    <w:p w:rsidR="00AE537D" w:rsidRPr="00AE537D" w:rsidRDefault="00AE537D" w:rsidP="00AE537D">
      <w:pPr>
        <w:pStyle w:val="Bullet"/>
      </w:pPr>
      <w:r w:rsidRPr="00AE537D">
        <w:t>an interest in a time share scheme which does not permit more than four</w:t>
      </w:r>
      <w:r w:rsidR="0054096F">
        <w:t> </w:t>
      </w:r>
      <w:r w:rsidRPr="00AE537D">
        <w:t>weeks entitlement per year;</w:t>
      </w:r>
    </w:p>
    <w:p w:rsidR="00AE537D" w:rsidRPr="00AE537D" w:rsidRDefault="00AE537D" w:rsidP="00AE537D">
      <w:pPr>
        <w:pStyle w:val="Bullet"/>
      </w:pPr>
      <w:r w:rsidRPr="00AE537D">
        <w:t xml:space="preserve">certain residential real estate in </w:t>
      </w:r>
      <w:hyperlink w:anchor="_Residential_Real_Estate" w:history="1">
        <w:r w:rsidRPr="00AE537D">
          <w:rPr>
            <w:rStyle w:val="Hyperlink"/>
          </w:rPr>
          <w:t>Integrated Tourism Resorts</w:t>
        </w:r>
      </w:hyperlink>
      <w:r w:rsidRPr="00AE537D">
        <w:t xml:space="preserve"> (ITR);</w:t>
      </w:r>
    </w:p>
    <w:p w:rsidR="00AE537D" w:rsidRPr="00AE537D" w:rsidRDefault="00AE537D" w:rsidP="00AE537D">
      <w:pPr>
        <w:pStyle w:val="Bullet"/>
      </w:pPr>
      <w:r w:rsidRPr="00AE537D">
        <w:t>an interest acquired by will or devolution by operation of law; or</w:t>
      </w:r>
    </w:p>
    <w:p w:rsidR="00AE537D" w:rsidRDefault="00AE537D" w:rsidP="00AE537D">
      <w:pPr>
        <w:pStyle w:val="Bullet"/>
      </w:pPr>
      <w:r w:rsidRPr="00AE537D">
        <w:t>an interest acquired from the Government (Commonwealth, State or Territory, or local).</w:t>
      </w:r>
    </w:p>
    <w:p w:rsidR="00AE537D" w:rsidRPr="002410C5" w:rsidRDefault="00AE537D" w:rsidP="00835A41">
      <w:pPr>
        <w:pStyle w:val="Heading4noTOC"/>
      </w:pPr>
      <w:r>
        <w:lastRenderedPageBreak/>
        <w:t xml:space="preserve">Acquisitions requiring notification </w:t>
      </w:r>
      <w:r>
        <w:rPr>
          <w:rFonts w:cs="Arial"/>
        </w:rPr>
        <w:t>—</w:t>
      </w:r>
      <w:r>
        <w:t xml:space="preserve"> eligibility</w:t>
      </w:r>
      <w:r w:rsidRPr="002410C5">
        <w:t xml:space="preserve"> </w:t>
      </w:r>
      <w:r>
        <w:t>criteria</w:t>
      </w:r>
    </w:p>
    <w:p w:rsidR="00AE537D" w:rsidRPr="002C3F71" w:rsidRDefault="00AE537D" w:rsidP="00AE537D">
      <w:pPr>
        <w:pStyle w:val="NumberedParagraph"/>
      </w:pPr>
      <w:r w:rsidRPr="009E4D17">
        <w:t xml:space="preserve">If an acquisition is not </w:t>
      </w:r>
      <w:r>
        <w:t xml:space="preserve">listed above as </w:t>
      </w:r>
      <w:r w:rsidRPr="009E4D17">
        <w:t>exempt, foreign purchaser</w:t>
      </w:r>
      <w:r>
        <w:t>(</w:t>
      </w:r>
      <w:r w:rsidRPr="009E4D17">
        <w:t>s</w:t>
      </w:r>
      <w:r>
        <w:t>)</w:t>
      </w:r>
      <w:r w:rsidRPr="009E4D17">
        <w:t xml:space="preserve"> </w:t>
      </w:r>
      <w:r w:rsidRPr="00DC2210">
        <w:rPr>
          <w:b/>
        </w:rPr>
        <w:t>must notify</w:t>
      </w:r>
      <w:r w:rsidRPr="009E4D17">
        <w:t xml:space="preserve"> the Government</w:t>
      </w:r>
      <w:r>
        <w:t xml:space="preserve"> </w:t>
      </w:r>
      <w:r w:rsidRPr="00DC2210">
        <w:rPr>
          <w:b/>
        </w:rPr>
        <w:t>prior</w:t>
      </w:r>
      <w:r>
        <w:t xml:space="preserve"> to acquiring the interest. </w:t>
      </w:r>
      <w:r w:rsidRPr="002C3F71">
        <w:t>Proposals by foreign persons to acquire residential real estate that do not</w:t>
      </w:r>
      <w:r>
        <w:t xml:space="preserve"> meet</w:t>
      </w:r>
      <w:r w:rsidRPr="002C3F71">
        <w:t xml:space="preserve"> the </w:t>
      </w:r>
      <w:r>
        <w:t xml:space="preserve">eligibility requirements (outlined below) </w:t>
      </w:r>
      <w:r w:rsidRPr="002C3F71">
        <w:t xml:space="preserve">are subject to the FATA but are </w:t>
      </w:r>
      <w:r w:rsidRPr="00AC23B0">
        <w:rPr>
          <w:b/>
        </w:rPr>
        <w:t>not normally approved</w:t>
      </w:r>
      <w:r w:rsidRPr="002C3F71">
        <w:t>.</w:t>
      </w:r>
      <w:r>
        <w:t xml:space="preserve"> </w:t>
      </w:r>
    </w:p>
    <w:p w:rsidR="00AE537D" w:rsidRPr="007E3397" w:rsidRDefault="00AE537D" w:rsidP="00AE537D">
      <w:pPr>
        <w:pStyle w:val="Heading5"/>
      </w:pPr>
      <w:r w:rsidRPr="007E3397">
        <w:t xml:space="preserve">Vacant </w:t>
      </w:r>
      <w:r w:rsidR="00980C12">
        <w:t>l</w:t>
      </w:r>
      <w:r w:rsidRPr="007E3397">
        <w:t>and</w:t>
      </w:r>
    </w:p>
    <w:p w:rsidR="00AE537D" w:rsidRDefault="00AE537D" w:rsidP="00AE537D">
      <w:pPr>
        <w:pStyle w:val="NumberedParagraph"/>
      </w:pPr>
      <w:r w:rsidRPr="004C3641">
        <w:t xml:space="preserve">Proposed acquisitions of </w:t>
      </w:r>
      <w:r>
        <w:t xml:space="preserve">vacant land </w:t>
      </w:r>
      <w:r w:rsidRPr="004C3641">
        <w:t xml:space="preserve">for </w:t>
      </w:r>
      <w:r>
        <w:t xml:space="preserve">residential </w:t>
      </w:r>
      <w:r w:rsidRPr="004C3641">
        <w:t>development are normally</w:t>
      </w:r>
      <w:r w:rsidRPr="002C3F71">
        <w:t xml:space="preserve"> approved </w:t>
      </w:r>
      <w:r w:rsidRPr="00650C99">
        <w:t xml:space="preserve">subject to </w:t>
      </w:r>
      <w:r>
        <w:t>development</w:t>
      </w:r>
      <w:r w:rsidRPr="00650C99">
        <w:t xml:space="preserve"> condition</w:t>
      </w:r>
      <w:r>
        <w:t>(s)</w:t>
      </w:r>
      <w:r w:rsidRPr="00650C99">
        <w:t xml:space="preserve"> imposed under the FATA</w:t>
      </w:r>
      <w:r>
        <w:t>.</w:t>
      </w:r>
    </w:p>
    <w:p w:rsidR="00AE537D" w:rsidRDefault="00AE537D" w:rsidP="00AE537D">
      <w:pPr>
        <w:pStyle w:val="Bullet"/>
      </w:pPr>
      <w:r w:rsidRPr="00853840">
        <w:t xml:space="preserve">Acquisitions of </w:t>
      </w:r>
      <w:r w:rsidRPr="00853840">
        <w:rPr>
          <w:b/>
        </w:rPr>
        <w:t>single blocks</w:t>
      </w:r>
      <w:r w:rsidRPr="00853840">
        <w:t xml:space="preserve"> of vacant land </w:t>
      </w:r>
      <w:r>
        <w:t>(</w:t>
      </w:r>
      <w:r w:rsidRPr="00853840">
        <w:t>that is</w:t>
      </w:r>
      <w:r>
        <w:t>,</w:t>
      </w:r>
      <w:r w:rsidRPr="00853840">
        <w:t xml:space="preserve"> </w:t>
      </w:r>
      <w:r>
        <w:t xml:space="preserve">land which is </w:t>
      </w:r>
      <w:r w:rsidRPr="00853840">
        <w:t xml:space="preserve">zoned to permit the construction of no more than </w:t>
      </w:r>
      <w:r w:rsidRPr="0079139F">
        <w:rPr>
          <w:b/>
        </w:rPr>
        <w:t>one</w:t>
      </w:r>
      <w:r w:rsidRPr="00853840">
        <w:t xml:space="preserve"> </w:t>
      </w:r>
      <w:r>
        <w:t>residential dwelling per block of land)</w:t>
      </w:r>
      <w:r w:rsidRPr="00853840">
        <w:t xml:space="preserve"> for the purpose of building a </w:t>
      </w:r>
      <w:r>
        <w:t xml:space="preserve">single </w:t>
      </w:r>
      <w:r w:rsidRPr="00853840">
        <w:t xml:space="preserve">residential dwelling </w:t>
      </w:r>
      <w:r>
        <w:t xml:space="preserve">on each block </w:t>
      </w:r>
      <w:r w:rsidRPr="00853840">
        <w:t>are normally approved subject to</w:t>
      </w:r>
      <w:r>
        <w:t xml:space="preserve"> the following condition:</w:t>
      </w:r>
      <w:r w:rsidRPr="00853840">
        <w:t xml:space="preserve"> </w:t>
      </w:r>
    </w:p>
    <w:p w:rsidR="00AE537D" w:rsidRDefault="00AE537D" w:rsidP="00AE537D">
      <w:pPr>
        <w:pStyle w:val="Dash"/>
      </w:pPr>
      <w:r w:rsidRPr="00853840">
        <w:t xml:space="preserve">continuous substantial construction </w:t>
      </w:r>
      <w:r>
        <w:t xml:space="preserve">must </w:t>
      </w:r>
      <w:r w:rsidRPr="00853840">
        <w:t>commenc</w:t>
      </w:r>
      <w:r>
        <w:t>e</w:t>
      </w:r>
      <w:r w:rsidRPr="00853840">
        <w:t xml:space="preserve"> within 24</w:t>
      </w:r>
      <w:r>
        <w:t> </w:t>
      </w:r>
      <w:r w:rsidRPr="00853840">
        <w:t>months.</w:t>
      </w:r>
      <w:r>
        <w:t xml:space="preserve"> </w:t>
      </w:r>
    </w:p>
    <w:p w:rsidR="00AE537D" w:rsidRDefault="00AE537D" w:rsidP="00AE537D">
      <w:pPr>
        <w:pStyle w:val="Bullet"/>
      </w:pPr>
      <w:r>
        <w:t>A</w:t>
      </w:r>
      <w:r w:rsidRPr="00853840">
        <w:t xml:space="preserve">cquisitions of </w:t>
      </w:r>
      <w:r>
        <w:rPr>
          <w:b/>
        </w:rPr>
        <w:t>o</w:t>
      </w:r>
      <w:r w:rsidRPr="00853840">
        <w:rPr>
          <w:b/>
        </w:rPr>
        <w:t>ther</w:t>
      </w:r>
      <w:r w:rsidRPr="00853840">
        <w:t xml:space="preserve"> vacant l</w:t>
      </w:r>
      <w:r>
        <w:t xml:space="preserve">and (not single blocks) </w:t>
      </w:r>
      <w:r w:rsidRPr="00853840">
        <w:t>for the purpose of building</w:t>
      </w:r>
      <w:r>
        <w:t xml:space="preserve"> multiple residential dwellings</w:t>
      </w:r>
      <w:r w:rsidRPr="00853840">
        <w:t xml:space="preserve"> are normally approved subject to</w:t>
      </w:r>
      <w:r>
        <w:t xml:space="preserve"> the following conditions:</w:t>
      </w:r>
    </w:p>
    <w:p w:rsidR="00AE537D" w:rsidRDefault="00AE537D" w:rsidP="00AE537D">
      <w:pPr>
        <w:pStyle w:val="Dash"/>
      </w:pPr>
      <w:r w:rsidRPr="00853840">
        <w:t xml:space="preserve">continuous substantial construction </w:t>
      </w:r>
      <w:r>
        <w:t xml:space="preserve">must </w:t>
      </w:r>
      <w:r w:rsidRPr="00853840">
        <w:t>commenc</w:t>
      </w:r>
      <w:r>
        <w:t>e</w:t>
      </w:r>
      <w:r w:rsidRPr="00853840">
        <w:t xml:space="preserve"> within 24</w:t>
      </w:r>
      <w:r>
        <w:t> </w:t>
      </w:r>
      <w:r w:rsidRPr="00853840">
        <w:t>months</w:t>
      </w:r>
      <w:r>
        <w:t xml:space="preserve">; and </w:t>
      </w:r>
    </w:p>
    <w:p w:rsidR="00AE537D" w:rsidRPr="002C3F71" w:rsidRDefault="00AE537D" w:rsidP="00AE537D">
      <w:pPr>
        <w:pStyle w:val="Dash"/>
      </w:pPr>
      <w:r>
        <w:t>at least</w:t>
      </w:r>
      <w:r w:rsidRPr="008C48D1">
        <w:t xml:space="preserve"> 50</w:t>
      </w:r>
      <w:r>
        <w:t> </w:t>
      </w:r>
      <w:r w:rsidRPr="008C48D1">
        <w:t xml:space="preserve">per cent of the </w:t>
      </w:r>
      <w:r>
        <w:t xml:space="preserve">acquisition </w:t>
      </w:r>
      <w:r w:rsidRPr="008C48D1">
        <w:t xml:space="preserve">cost </w:t>
      </w:r>
      <w:r>
        <w:t xml:space="preserve">or the current market value of the land (whichever is higher) must be spent on development. </w:t>
      </w:r>
    </w:p>
    <w:p w:rsidR="00AE537D" w:rsidRPr="007E3397" w:rsidRDefault="00AE537D" w:rsidP="00835A41">
      <w:pPr>
        <w:pStyle w:val="Heading5noTOC"/>
      </w:pPr>
      <w:r w:rsidRPr="007E3397">
        <w:t xml:space="preserve">New </w:t>
      </w:r>
      <w:r w:rsidR="00980C12">
        <w:t>d</w:t>
      </w:r>
      <w:r w:rsidRPr="007E3397">
        <w:t>wellings</w:t>
      </w:r>
    </w:p>
    <w:p w:rsidR="00AE537D" w:rsidRDefault="00AE537D" w:rsidP="00AE537D">
      <w:pPr>
        <w:pStyle w:val="NumberedParagraph"/>
      </w:pPr>
      <w:r>
        <w:t>N</w:t>
      </w:r>
      <w:r w:rsidRPr="00853840">
        <w:t xml:space="preserve">ew dwellings acquired ‘off the plan’ (before construction commences or during the construction phase) </w:t>
      </w:r>
      <w:r>
        <w:t>or</w:t>
      </w:r>
      <w:r w:rsidRPr="00853840">
        <w:t xml:space="preserve"> after construction is complete</w:t>
      </w:r>
      <w:r>
        <w:t xml:space="preserve"> are normally approved where the dwellings:</w:t>
      </w:r>
    </w:p>
    <w:p w:rsidR="00AE537D" w:rsidRDefault="00AE537D" w:rsidP="00AE537D">
      <w:pPr>
        <w:pStyle w:val="Bullet"/>
      </w:pPr>
      <w:r w:rsidRPr="00853840">
        <w:t>have not previously been sold (</w:t>
      </w:r>
      <w:r>
        <w:t>that is, they are</w:t>
      </w:r>
      <w:r w:rsidRPr="00853840">
        <w:t xml:space="preserve"> purchas</w:t>
      </w:r>
      <w:r>
        <w:t>ed</w:t>
      </w:r>
      <w:r w:rsidRPr="00853840">
        <w:t xml:space="preserve"> from the developer); and</w:t>
      </w:r>
    </w:p>
    <w:p w:rsidR="00AE537D" w:rsidRDefault="00AE537D" w:rsidP="00AE537D">
      <w:pPr>
        <w:pStyle w:val="Bullet"/>
      </w:pPr>
      <w:r>
        <w:t>h</w:t>
      </w:r>
      <w:r w:rsidRPr="00853840">
        <w:t>ave not been occupied for more than 12 months</w:t>
      </w:r>
      <w:r>
        <w:t>.</w:t>
      </w:r>
    </w:p>
    <w:p w:rsidR="00AE537D" w:rsidRPr="00B86E13" w:rsidRDefault="00AE537D" w:rsidP="00AE537D">
      <w:pPr>
        <w:pStyle w:val="NumberedParagraph"/>
      </w:pPr>
      <w:r w:rsidRPr="00B86E13">
        <w:t>There are no restrictions on the number of such dwellings in a new development which may be sold to foreign persons, provided that the developer markets the dwellings locally as well as overseas (that is, the dwellings cannot be marketed exclusively overseas).</w:t>
      </w:r>
    </w:p>
    <w:p w:rsidR="00AE537D" w:rsidRPr="002C3F71" w:rsidRDefault="00AE537D" w:rsidP="00AE537D">
      <w:pPr>
        <w:pStyle w:val="NumberedParagraph"/>
      </w:pPr>
      <w:r w:rsidRPr="00853840">
        <w:t>This category includes dwellings that are part of extensively refurbished buildings where the building's use has undergone a change from non</w:t>
      </w:r>
      <w:r w:rsidR="00B624B7">
        <w:noBreakHyphen/>
      </w:r>
      <w:r w:rsidRPr="00853840">
        <w:t>residential (for example, office or warehouse) to residential.</w:t>
      </w:r>
      <w:r>
        <w:t xml:space="preserve"> </w:t>
      </w:r>
      <w:r w:rsidRPr="00853840">
        <w:t xml:space="preserve">It does not include </w:t>
      </w:r>
      <w:r>
        <w:t>established</w:t>
      </w:r>
      <w:r w:rsidRPr="00853840">
        <w:t xml:space="preserve"> residential real estate that has been refurbished</w:t>
      </w:r>
      <w:r>
        <w:t xml:space="preserve"> or renovated</w:t>
      </w:r>
      <w:r w:rsidRPr="00853840">
        <w:t>.</w:t>
      </w:r>
    </w:p>
    <w:p w:rsidR="00AE537D" w:rsidRPr="007E3397" w:rsidRDefault="00AE537D" w:rsidP="00835A41">
      <w:pPr>
        <w:pStyle w:val="Heading5noTOC"/>
      </w:pPr>
      <w:r>
        <w:lastRenderedPageBreak/>
        <w:t>Established (</w:t>
      </w:r>
      <w:r w:rsidR="00D63F4F">
        <w:t>s</w:t>
      </w:r>
      <w:r>
        <w:t xml:space="preserve">econd </w:t>
      </w:r>
      <w:r w:rsidR="00D63F4F">
        <w:t>h</w:t>
      </w:r>
      <w:r w:rsidRPr="007E3397">
        <w:t>and</w:t>
      </w:r>
      <w:r>
        <w:t>)</w:t>
      </w:r>
      <w:r w:rsidRPr="007E3397">
        <w:t xml:space="preserve"> </w:t>
      </w:r>
      <w:r w:rsidR="00D63F4F">
        <w:t>d</w:t>
      </w:r>
      <w:r w:rsidRPr="007E3397">
        <w:t>wellings</w:t>
      </w:r>
    </w:p>
    <w:p w:rsidR="00AE537D" w:rsidRDefault="00AE537D" w:rsidP="00AE537D">
      <w:pPr>
        <w:pStyle w:val="NumberedParagraph"/>
      </w:pPr>
      <w:r w:rsidRPr="004C3641">
        <w:t xml:space="preserve">This category </w:t>
      </w:r>
      <w:r w:rsidRPr="00841B70">
        <w:t xml:space="preserve">includes </w:t>
      </w:r>
      <w:r w:rsidRPr="00841B70">
        <w:rPr>
          <w:b/>
        </w:rPr>
        <w:t>all</w:t>
      </w:r>
      <w:r w:rsidRPr="00841B70">
        <w:t xml:space="preserve"> residential dwellings which are not</w:t>
      </w:r>
      <w:r w:rsidRPr="004C3641">
        <w:t xml:space="preserve"> new</w:t>
      </w:r>
      <w:r>
        <w:t xml:space="preserve"> dwellings (that is, they </w:t>
      </w:r>
      <w:r w:rsidRPr="004C3641">
        <w:t xml:space="preserve">have been previously owned and/or </w:t>
      </w:r>
      <w:r>
        <w:t xml:space="preserve">they have been </w:t>
      </w:r>
      <w:r w:rsidRPr="004C3641">
        <w:t>occupied for more than 12 months).</w:t>
      </w:r>
      <w:r>
        <w:t xml:space="preserve"> </w:t>
      </w:r>
    </w:p>
    <w:p w:rsidR="00AE537D" w:rsidRDefault="00AE537D" w:rsidP="00AE537D">
      <w:pPr>
        <w:pStyle w:val="NumberedParagraph"/>
      </w:pPr>
      <w:r w:rsidRPr="004C3641">
        <w:t xml:space="preserve">Foreign persons are prohibited from acquiring </w:t>
      </w:r>
      <w:r>
        <w:t>established dwellings</w:t>
      </w:r>
      <w:r w:rsidRPr="004C3641">
        <w:t xml:space="preserve"> for investment purposes (</w:t>
      </w:r>
      <w:r>
        <w:t>that is,</w:t>
      </w:r>
      <w:r w:rsidRPr="004C3641">
        <w:t xml:space="preserve"> </w:t>
      </w:r>
      <w:r>
        <w:t xml:space="preserve">they </w:t>
      </w:r>
      <w:r w:rsidRPr="004C3641">
        <w:t>cannot be purchased to be used as a rental or holiday property)</w:t>
      </w:r>
      <w:r>
        <w:t>,</w:t>
      </w:r>
      <w:r w:rsidRPr="00224A78">
        <w:t xml:space="preserve"> </w:t>
      </w:r>
      <w:r>
        <w:t xml:space="preserve">irrespective of whether they are </w:t>
      </w:r>
      <w:hyperlink w:anchor="_Definitions" w:history="1">
        <w:r w:rsidRPr="00224A78">
          <w:rPr>
            <w:rStyle w:val="Hyperlink"/>
          </w:rPr>
          <w:t>temporary reside</w:t>
        </w:r>
        <w:r>
          <w:rPr>
            <w:rStyle w:val="Hyperlink"/>
          </w:rPr>
          <w:t>nts</w:t>
        </w:r>
      </w:hyperlink>
      <w:r>
        <w:t xml:space="preserve"> in Australia or not</w:t>
      </w:r>
      <w:r w:rsidRPr="00841B70">
        <w:t>.</w:t>
      </w:r>
      <w:r>
        <w:t xml:space="preserve"> </w:t>
      </w:r>
    </w:p>
    <w:p w:rsidR="00AE537D" w:rsidRPr="003B1275" w:rsidRDefault="00AE537D" w:rsidP="00AE537D">
      <w:pPr>
        <w:pStyle w:val="NumberedParagraph"/>
      </w:pPr>
      <w:r w:rsidRPr="003B1275">
        <w:t xml:space="preserve">Foreign persons who are </w:t>
      </w:r>
      <w:hyperlink w:anchor="_Definitions" w:history="1">
        <w:r w:rsidRPr="003B1275">
          <w:rPr>
            <w:rStyle w:val="Hyperlink"/>
          </w:rPr>
          <w:t>temporary residents</w:t>
        </w:r>
      </w:hyperlink>
      <w:r w:rsidRPr="003B1275">
        <w:t xml:space="preserve"> in Australia do not require approval to acquire a second</w:t>
      </w:r>
      <w:r w:rsidR="00B624B7">
        <w:noBreakHyphen/>
      </w:r>
      <w:r w:rsidRPr="003B1275">
        <w:t xml:space="preserve">hand dwelling </w:t>
      </w:r>
      <w:r>
        <w:t xml:space="preserve">which is to be used </w:t>
      </w:r>
      <w:r w:rsidRPr="003B1275">
        <w:t>as their principal place of residence.</w:t>
      </w:r>
      <w:r>
        <w:t xml:space="preserve"> </w:t>
      </w:r>
    </w:p>
    <w:p w:rsidR="00AE537D" w:rsidRDefault="00AE537D" w:rsidP="00AE537D">
      <w:pPr>
        <w:pStyle w:val="NumberedParagraph"/>
      </w:pPr>
      <w:r w:rsidRPr="004C3641">
        <w:t>Proposals by foreign owned companies to acquire second</w:t>
      </w:r>
      <w:r w:rsidR="00B624B7">
        <w:noBreakHyphen/>
      </w:r>
      <w:r w:rsidRPr="004C3641">
        <w:t>hand dwellings for the purpose</w:t>
      </w:r>
      <w:r w:rsidRPr="001A5BAF">
        <w:t xml:space="preserve"> of providing housing for their Australian</w:t>
      </w:r>
      <w:r w:rsidR="00B624B7">
        <w:noBreakHyphen/>
      </w:r>
      <w:r w:rsidRPr="001A5BAF">
        <w:t xml:space="preserve">based staff are normally approved </w:t>
      </w:r>
      <w:r>
        <w:t>subject to the following c</w:t>
      </w:r>
      <w:r w:rsidRPr="001A5BAF">
        <w:t>ondition</w:t>
      </w:r>
      <w:r>
        <w:t>:</w:t>
      </w:r>
    </w:p>
    <w:p w:rsidR="00AE537D" w:rsidRPr="00AE537D" w:rsidRDefault="00AE537D" w:rsidP="00AE537D">
      <w:pPr>
        <w:pStyle w:val="Bullet"/>
      </w:pPr>
      <w:r w:rsidRPr="00AE537D">
        <w:t>the company undertakes to sell or rent the property if it is expected to remain vacant for six months or more.</w:t>
      </w:r>
    </w:p>
    <w:p w:rsidR="00AE537D" w:rsidRPr="007E3397" w:rsidRDefault="00AE537D" w:rsidP="00835A41">
      <w:pPr>
        <w:pStyle w:val="Heading5noTOC"/>
      </w:pPr>
      <w:r>
        <w:t xml:space="preserve">Redevelopment of </w:t>
      </w:r>
      <w:r w:rsidR="00980C12">
        <w:t>e</w:t>
      </w:r>
      <w:r>
        <w:t>stablished (</w:t>
      </w:r>
      <w:r w:rsidR="00980C12">
        <w:t>s</w:t>
      </w:r>
      <w:r>
        <w:t xml:space="preserve">econd </w:t>
      </w:r>
      <w:r w:rsidR="00980C12">
        <w:t>h</w:t>
      </w:r>
      <w:r w:rsidRPr="007E3397">
        <w:t>and</w:t>
      </w:r>
      <w:r>
        <w:t>)</w:t>
      </w:r>
      <w:r w:rsidRPr="007E3397">
        <w:t xml:space="preserve"> </w:t>
      </w:r>
      <w:r w:rsidR="00980C12">
        <w:t>d</w:t>
      </w:r>
      <w:r w:rsidRPr="007E3397">
        <w:t>wellings</w:t>
      </w:r>
      <w:r>
        <w:t xml:space="preserve"> </w:t>
      </w:r>
    </w:p>
    <w:p w:rsidR="00AE537D" w:rsidRDefault="00AE537D" w:rsidP="00AE537D">
      <w:pPr>
        <w:pStyle w:val="NumberedParagraph"/>
      </w:pPr>
      <w:r>
        <w:t>Established</w:t>
      </w:r>
      <w:r w:rsidRPr="006653B6">
        <w:t xml:space="preserve"> dwellings may be acquired for the purpose of redevelopment (</w:t>
      </w:r>
      <w:r>
        <w:t>that is,</w:t>
      </w:r>
      <w:r w:rsidRPr="006653B6">
        <w:t xml:space="preserve"> to demolish</w:t>
      </w:r>
      <w:r>
        <w:t xml:space="preserve"> the existing dwelling and build new dwellings). </w:t>
      </w:r>
      <w:r w:rsidRPr="00F14AF4">
        <w:t>This does not include refurbishing the existing dwelling.</w:t>
      </w:r>
      <w:r>
        <w:t xml:space="preserve"> Proposals for redevelopment </w:t>
      </w:r>
      <w:r w:rsidRPr="004C3641">
        <w:t>are normally</w:t>
      </w:r>
      <w:r w:rsidRPr="002C3F71">
        <w:t xml:space="preserve"> approved </w:t>
      </w:r>
      <w:r w:rsidRPr="00185AB9">
        <w:t>subject to the following conditions</w:t>
      </w:r>
      <w:r>
        <w:t>:</w:t>
      </w:r>
    </w:p>
    <w:p w:rsidR="00AE537D" w:rsidRPr="00AE537D" w:rsidRDefault="00AE537D" w:rsidP="00AE537D">
      <w:pPr>
        <w:pStyle w:val="Bullet"/>
      </w:pPr>
      <w:r w:rsidRPr="00AE537D">
        <w:t>the proposal must provide for an increase in the housing stock, that is, an increase in the number of dwellings;</w:t>
      </w:r>
    </w:p>
    <w:p w:rsidR="00AE537D" w:rsidRPr="00AE537D" w:rsidRDefault="00AE537D" w:rsidP="00AE537D">
      <w:pPr>
        <w:pStyle w:val="Bullet"/>
      </w:pPr>
      <w:r w:rsidRPr="00AE537D">
        <w:t>the existing residence cannot be rented out prior to demolition and redevelopment; and</w:t>
      </w:r>
    </w:p>
    <w:p w:rsidR="00AE537D" w:rsidRDefault="00AE537D" w:rsidP="00AE537D">
      <w:pPr>
        <w:pStyle w:val="Bullet"/>
      </w:pPr>
      <w:r w:rsidRPr="00AE537D">
        <w:t>the existing dwelling must be demolished and continuous substantial construction of the new dwellings must commence within 24 months.</w:t>
      </w:r>
    </w:p>
    <w:p w:rsidR="00AE537D" w:rsidRDefault="00AE537D" w:rsidP="00AE537D">
      <w:pPr>
        <w:pStyle w:val="NumberedParagraph"/>
      </w:pPr>
      <w:r w:rsidRPr="006653B6">
        <w:t>A redevelopment proposal which does not increase the number of dwellings may be approved where it can be shown that the existing dwelling is at the end of its economic life (that is, derelict or uninhabitable), since constructing a new dwelling would effectively increase the housing stock.</w:t>
      </w:r>
      <w:r>
        <w:t xml:space="preserve"> </w:t>
      </w:r>
      <w:r w:rsidRPr="006653B6">
        <w:t xml:space="preserve">To demonstrate that the property is uninhabitable and must be demolished, a valuation of the existing structures by a licensed valuer </w:t>
      </w:r>
      <w:r>
        <w:t xml:space="preserve">and/or a builder’s report </w:t>
      </w:r>
      <w:r w:rsidRPr="006653B6">
        <w:t>is generally required.</w:t>
      </w:r>
      <w:r>
        <w:t xml:space="preserve"> </w:t>
      </w:r>
      <w:r w:rsidRPr="006653B6">
        <w:t>Photographs and other forms of evidence may also be required.</w:t>
      </w:r>
      <w:r>
        <w:t xml:space="preserve"> </w:t>
      </w:r>
      <w:r w:rsidRPr="006653B6">
        <w:t>Approval of such proposals would be subject to the same conditions outlined above.</w:t>
      </w:r>
    </w:p>
    <w:p w:rsidR="00AE537D" w:rsidRPr="005A23B9" w:rsidRDefault="00AE537D" w:rsidP="00835A41">
      <w:pPr>
        <w:pStyle w:val="Heading5noTOC"/>
      </w:pPr>
      <w:r w:rsidRPr="005A23B9">
        <w:lastRenderedPageBreak/>
        <w:t xml:space="preserve">Time </w:t>
      </w:r>
      <w:r w:rsidR="00980C12">
        <w:t>s</w:t>
      </w:r>
      <w:r w:rsidRPr="005A23B9">
        <w:t xml:space="preserve">hare </w:t>
      </w:r>
      <w:r w:rsidR="00980C12">
        <w:t>s</w:t>
      </w:r>
      <w:r w:rsidRPr="005A23B9">
        <w:t>chemes</w:t>
      </w:r>
      <w:r>
        <w:t xml:space="preserve"> </w:t>
      </w:r>
    </w:p>
    <w:p w:rsidR="00AE537D" w:rsidRPr="005A23B9" w:rsidRDefault="00AE537D" w:rsidP="00AE537D">
      <w:pPr>
        <w:pStyle w:val="NumberedParagraph"/>
      </w:pPr>
      <w:r w:rsidRPr="005A23B9">
        <w:t xml:space="preserve">The acquisition of an interest in a time share scheme where the entitlement of the foreign person </w:t>
      </w:r>
      <w:r>
        <w:t>(</w:t>
      </w:r>
      <w:r w:rsidRPr="005A23B9">
        <w:t>and any of that person’s associates</w:t>
      </w:r>
      <w:r>
        <w:t>)</w:t>
      </w:r>
      <w:r w:rsidR="006B042C">
        <w:t xml:space="preserve"> is greater than four</w:t>
      </w:r>
      <w:r w:rsidRPr="005A23B9">
        <w:t xml:space="preserve"> weeks in any year must be notified and will normally be approved according to the eligibility requirements for the relevant category of property outlined above.</w:t>
      </w:r>
      <w:r>
        <w:t xml:space="preserve"> </w:t>
      </w:r>
    </w:p>
    <w:p w:rsidR="00AE537D" w:rsidRPr="00846B60" w:rsidRDefault="00AE537D" w:rsidP="00835A41">
      <w:pPr>
        <w:pStyle w:val="Heading5noTOC"/>
      </w:pPr>
      <w:bookmarkStart w:id="4" w:name="_Residential_Real_Estate"/>
      <w:bookmarkEnd w:id="4"/>
      <w:r w:rsidRPr="00846B60">
        <w:t xml:space="preserve">Residential </w:t>
      </w:r>
      <w:r w:rsidR="00980C12">
        <w:t>r</w:t>
      </w:r>
      <w:r w:rsidRPr="00846B60">
        <w:t xml:space="preserve">eal </w:t>
      </w:r>
      <w:r w:rsidR="00980C12">
        <w:t>e</w:t>
      </w:r>
      <w:r w:rsidRPr="00846B60">
        <w:t xml:space="preserve">state in </w:t>
      </w:r>
      <w:r w:rsidR="003F4553">
        <w:t>I</w:t>
      </w:r>
      <w:r w:rsidRPr="00846B60">
        <w:t xml:space="preserve">ntegrated </w:t>
      </w:r>
      <w:r w:rsidR="003F4553">
        <w:t>T</w:t>
      </w:r>
      <w:r w:rsidRPr="00846B60">
        <w:t xml:space="preserve">ourism </w:t>
      </w:r>
      <w:r w:rsidR="003F4553">
        <w:t>R</w:t>
      </w:r>
      <w:r w:rsidRPr="00846B60">
        <w:t xml:space="preserve">esorts (ITR) </w:t>
      </w:r>
    </w:p>
    <w:p w:rsidR="00AE537D" w:rsidRPr="00846B60" w:rsidRDefault="00AE537D" w:rsidP="00AE537D">
      <w:pPr>
        <w:pStyle w:val="NumberedParagraph"/>
      </w:pPr>
      <w:r w:rsidRPr="00846B60">
        <w:t xml:space="preserve">Proposed acquisitions of </w:t>
      </w:r>
      <w:r w:rsidRPr="006B042C">
        <w:rPr>
          <w:b/>
        </w:rPr>
        <w:t>any</w:t>
      </w:r>
      <w:r>
        <w:t xml:space="preserve"> </w:t>
      </w:r>
      <w:r w:rsidRPr="00846B60">
        <w:t xml:space="preserve">residential property which are within the bounds of a resort that the Treasurer had designated as an ITR prior to September 1999 are exempt from examination. For resorts designated as ITRs from September 1999, the exemption only applies to </w:t>
      </w:r>
      <w:r w:rsidRPr="006B042C">
        <w:rPr>
          <w:b/>
        </w:rPr>
        <w:t>developed</w:t>
      </w:r>
      <w:r w:rsidRPr="00846B60">
        <w:t xml:space="preserve"> residential property, which is subject to a long term (10 years or more) lease to the resort/hotel operator, making it available for tourist accommodation when </w:t>
      </w:r>
      <w:r>
        <w:t xml:space="preserve">it is </w:t>
      </w:r>
      <w:r w:rsidRPr="00846B60">
        <w:t>not occupied by the owner. All other property, including vacant land for development, within the ITR would be subject to the normal foreign investment restrictions. Strict conditions must be fully met to qualify for ITR status.</w:t>
      </w:r>
    </w:p>
    <w:p w:rsidR="00AE537D" w:rsidRPr="004137B2" w:rsidRDefault="00AE537D" w:rsidP="005743D5">
      <w:pPr>
        <w:pStyle w:val="Heading3noTOC"/>
      </w:pPr>
      <w:r>
        <w:t>Commercial</w:t>
      </w:r>
      <w:r w:rsidRPr="004137B2">
        <w:t xml:space="preserve"> </w:t>
      </w:r>
      <w:r w:rsidR="00980C12">
        <w:t>r</w:t>
      </w:r>
      <w:r w:rsidRPr="004137B2">
        <w:t xml:space="preserve">eal </w:t>
      </w:r>
      <w:r w:rsidR="00980C12">
        <w:t>e</w:t>
      </w:r>
      <w:r w:rsidRPr="004137B2">
        <w:t>state</w:t>
      </w:r>
    </w:p>
    <w:p w:rsidR="00AE537D" w:rsidRPr="003E59FD" w:rsidRDefault="00AE537D" w:rsidP="00AE537D">
      <w:pPr>
        <w:pStyle w:val="NumberedParagraph"/>
      </w:pPr>
      <w:r w:rsidRPr="003E59FD">
        <w:t>Commercial real estate includes vacant and developed property which is not for residential purposes</w:t>
      </w:r>
      <w:r w:rsidR="00B624B7">
        <w:t xml:space="preserve"> — </w:t>
      </w:r>
      <w:r w:rsidRPr="003E59FD">
        <w:t>such as offices, factories, warehouses, hotels, restaurants and shops.</w:t>
      </w:r>
      <w:r>
        <w:t xml:space="preserve"> </w:t>
      </w:r>
      <w:r w:rsidRPr="003E59FD">
        <w:t xml:space="preserve">It does not include </w:t>
      </w:r>
      <w:hyperlink w:anchor="_Rural_Land" w:history="1">
        <w:r w:rsidRPr="006209CB">
          <w:rPr>
            <w:rStyle w:val="Hyperlink"/>
          </w:rPr>
          <w:t>rural land</w:t>
        </w:r>
      </w:hyperlink>
      <w:r w:rsidRPr="003E59FD">
        <w:t>, but may include rural property which does not fall within the definition of rural land (</w:t>
      </w:r>
      <w:r>
        <w:t>that is,</w:t>
      </w:r>
      <w:r w:rsidRPr="003E59FD">
        <w:t xml:space="preserve"> </w:t>
      </w:r>
      <w:r>
        <w:t xml:space="preserve">it is </w:t>
      </w:r>
      <w:r w:rsidRPr="003E59FD">
        <w:t>not used wholly and exclusively for carrying on a substantial business of primary production), such as vacant land for forestry plantation or mining operations.</w:t>
      </w:r>
    </w:p>
    <w:p w:rsidR="00AE537D" w:rsidRPr="002410C5" w:rsidRDefault="00AE537D" w:rsidP="00835A41">
      <w:pPr>
        <w:pStyle w:val="Heading4noTOC"/>
      </w:pPr>
      <w:r w:rsidRPr="002410C5">
        <w:t xml:space="preserve">Acquisitions </w:t>
      </w:r>
      <w:r w:rsidRPr="002E4343">
        <w:rPr>
          <w:u w:val="single"/>
        </w:rPr>
        <w:t>not</w:t>
      </w:r>
      <w:r w:rsidRPr="002410C5">
        <w:t xml:space="preserve"> requiring notification</w:t>
      </w:r>
    </w:p>
    <w:p w:rsidR="00AE537D" w:rsidRPr="002C3F71" w:rsidRDefault="00AE537D" w:rsidP="00AE537D">
      <w:pPr>
        <w:pStyle w:val="NumberedParagraph"/>
      </w:pPr>
      <w:r w:rsidRPr="00F266F3">
        <w:t>Acquisition</w:t>
      </w:r>
      <w:r>
        <w:t xml:space="preserve">s of commercial real estate by </w:t>
      </w:r>
      <w:r w:rsidRPr="00BE36D5">
        <w:t>Australian citizens living abroad purchasing either in their own name or through an Australian corporation or a trust</w:t>
      </w:r>
      <w:r>
        <w:t xml:space="preserve"> do not require notification.</w:t>
      </w:r>
    </w:p>
    <w:p w:rsidR="00AE537D" w:rsidRPr="002C3F71" w:rsidRDefault="00AE537D" w:rsidP="00AE537D">
      <w:pPr>
        <w:pStyle w:val="NumberedParagraph"/>
      </w:pPr>
      <w:r w:rsidRPr="00F266F3">
        <w:t>Acquisitions of certain types of property do not require notification</w:t>
      </w:r>
      <w:r>
        <w:t>,</w:t>
      </w:r>
      <w:r w:rsidRPr="00F266F3">
        <w:t xml:space="preserve"> regardless of the citizenship or residency status of the purchaser</w:t>
      </w:r>
      <w:r w:rsidRPr="00E665E4">
        <w:t>:</w:t>
      </w:r>
    </w:p>
    <w:p w:rsidR="00AE537D" w:rsidRPr="002C3F71" w:rsidRDefault="00AE537D" w:rsidP="00AE537D">
      <w:pPr>
        <w:pStyle w:val="Bullet"/>
      </w:pPr>
      <w:r w:rsidRPr="00F266F3">
        <w:t>an interest acquired by will or de</w:t>
      </w:r>
      <w:r>
        <w:t xml:space="preserve">volution by operation of law; </w:t>
      </w:r>
    </w:p>
    <w:p w:rsidR="00AE537D" w:rsidRDefault="00AE537D" w:rsidP="00AE537D">
      <w:pPr>
        <w:pStyle w:val="Bullet"/>
      </w:pPr>
      <w:r w:rsidRPr="00F266F3">
        <w:t>an interest acquired from the Government (Commonwealth, State or Territory, or local)</w:t>
      </w:r>
      <w:r>
        <w:t>;</w:t>
      </w:r>
    </w:p>
    <w:p w:rsidR="00AE537D" w:rsidRDefault="00AE537D" w:rsidP="00AE537D">
      <w:pPr>
        <w:pStyle w:val="Bullet"/>
      </w:pPr>
      <w:r w:rsidRPr="00BE36D5">
        <w:t>an interest in developed commercial property valued at less than $50 million or $953 million (indexed annually) for US investors, or $5 million for heritage listed properties where the acquirer is not a US investor; or</w:t>
      </w:r>
    </w:p>
    <w:p w:rsidR="00AE537D" w:rsidRPr="002C3F71" w:rsidRDefault="00AE537D" w:rsidP="00AE537D">
      <w:pPr>
        <w:pStyle w:val="Bullet"/>
      </w:pPr>
      <w:r w:rsidRPr="00BE36D5">
        <w:t>an interest in developed commercial property where the property is to be used immediately and in its present state for industrial or non</w:t>
      </w:r>
      <w:r w:rsidR="00B624B7">
        <w:noBreakHyphen/>
      </w:r>
      <w:r w:rsidRPr="00BE36D5">
        <w:t xml:space="preserve">residential commercial </w:t>
      </w:r>
      <w:r w:rsidRPr="00BE36D5">
        <w:lastRenderedPageBreak/>
        <w:t>purposes.</w:t>
      </w:r>
      <w:r>
        <w:t xml:space="preserve"> </w:t>
      </w:r>
      <w:r w:rsidRPr="00BE36D5">
        <w:t>The acquisition must be wholly incidental to the purchaser's proposed or existing business activities.</w:t>
      </w:r>
    </w:p>
    <w:p w:rsidR="00AE537D" w:rsidRPr="002410C5" w:rsidRDefault="00AE537D" w:rsidP="00835A41">
      <w:pPr>
        <w:pStyle w:val="Heading4noTOC"/>
      </w:pPr>
      <w:r>
        <w:t xml:space="preserve">Acquisitions requiring notification </w:t>
      </w:r>
      <w:r>
        <w:rPr>
          <w:rFonts w:cs="Arial"/>
        </w:rPr>
        <w:t>—</w:t>
      </w:r>
      <w:r>
        <w:t xml:space="preserve"> eligibility</w:t>
      </w:r>
      <w:r w:rsidRPr="002410C5">
        <w:t xml:space="preserve"> requir</w:t>
      </w:r>
      <w:r>
        <w:t>ements</w:t>
      </w:r>
    </w:p>
    <w:p w:rsidR="00AE537D" w:rsidRPr="002C3F71" w:rsidRDefault="00AE537D" w:rsidP="00AE537D">
      <w:pPr>
        <w:pStyle w:val="NumberedParagraph"/>
      </w:pPr>
      <w:r w:rsidRPr="009E4D17">
        <w:t xml:space="preserve">If an acquisition is not </w:t>
      </w:r>
      <w:r>
        <w:t xml:space="preserve">listed above as </w:t>
      </w:r>
      <w:r w:rsidRPr="009E4D17">
        <w:t>exempt, the foreign purchaser</w:t>
      </w:r>
      <w:r>
        <w:t>(</w:t>
      </w:r>
      <w:r w:rsidRPr="009E4D17">
        <w:t>s</w:t>
      </w:r>
      <w:r>
        <w:t>)</w:t>
      </w:r>
      <w:r w:rsidRPr="009E4D17">
        <w:t xml:space="preserve"> </w:t>
      </w:r>
      <w:r w:rsidRPr="00C21565">
        <w:rPr>
          <w:b/>
        </w:rPr>
        <w:t>must notify</w:t>
      </w:r>
      <w:r w:rsidRPr="009E4D17">
        <w:t xml:space="preserve"> the Government</w:t>
      </w:r>
      <w:r>
        <w:t xml:space="preserve"> </w:t>
      </w:r>
      <w:r w:rsidRPr="00C21565">
        <w:rPr>
          <w:b/>
        </w:rPr>
        <w:t>prior</w:t>
      </w:r>
      <w:r>
        <w:t xml:space="preserve"> to acquiring the interest. </w:t>
      </w:r>
      <w:r w:rsidRPr="002C3F71">
        <w:t xml:space="preserve">Proposals by foreign persons to acquire </w:t>
      </w:r>
      <w:r>
        <w:t>commercial</w:t>
      </w:r>
      <w:r w:rsidRPr="002C3F71">
        <w:t xml:space="preserve"> real estate </w:t>
      </w:r>
      <w:r w:rsidRPr="006209CB">
        <w:t>are normally approved unless they are determined to be contrary to the national interest</w:t>
      </w:r>
      <w:r w:rsidRPr="002C3F71">
        <w:t>.</w:t>
      </w:r>
      <w:r>
        <w:t xml:space="preserve"> </w:t>
      </w:r>
    </w:p>
    <w:p w:rsidR="00AE537D" w:rsidRPr="007E3397" w:rsidRDefault="00AE537D" w:rsidP="00835A41">
      <w:pPr>
        <w:pStyle w:val="Heading5noTOC"/>
      </w:pPr>
      <w:r>
        <w:t xml:space="preserve">Developed </w:t>
      </w:r>
      <w:r w:rsidR="00980C12">
        <w:t>c</w:t>
      </w:r>
      <w:r>
        <w:t xml:space="preserve">ommercial </w:t>
      </w:r>
      <w:r w:rsidR="00980C12">
        <w:t>p</w:t>
      </w:r>
      <w:r>
        <w:t>roperty</w:t>
      </w:r>
    </w:p>
    <w:p w:rsidR="00AE537D" w:rsidRDefault="00AE537D" w:rsidP="00AE537D">
      <w:pPr>
        <w:pStyle w:val="NumberedParagraph"/>
      </w:pPr>
      <w:r>
        <w:t xml:space="preserve">This category includes acquisitions of hotels, motels, hostels and guesthouses. It also includes acquisitions of individual dwellings within these properties, where they are part of the hotel, motel, hostel or guesthouse </w:t>
      </w:r>
      <w:r w:rsidRPr="00DA701F">
        <w:t xml:space="preserve">(not just physically located within the </w:t>
      </w:r>
      <w:r>
        <w:t>property</w:t>
      </w:r>
      <w:r w:rsidRPr="00DA701F">
        <w:t>).</w:t>
      </w:r>
      <w:r>
        <w:t xml:space="preserve"> </w:t>
      </w:r>
      <w:r w:rsidRPr="00DA701F">
        <w:t>For example, the acquisition of a hotel room in</w:t>
      </w:r>
      <w:r>
        <w:t xml:space="preserve"> a strata titled hotel where that</w:t>
      </w:r>
      <w:r w:rsidRPr="00DA701F">
        <w:t xml:space="preserve"> room is managed by the hotel operator (that is, it is part of the hotel) </w:t>
      </w:r>
      <w:bookmarkStart w:id="5" w:name="OLE_LINK3"/>
      <w:bookmarkStart w:id="6" w:name="OLE_LINK4"/>
      <w:r>
        <w:t>is considered to be developed commercial property</w:t>
      </w:r>
      <w:bookmarkEnd w:id="5"/>
      <w:bookmarkEnd w:id="6"/>
      <w:r w:rsidRPr="00DA701F">
        <w:t xml:space="preserve">, but the acquisition of a unit in a hotel building </w:t>
      </w:r>
      <w:r>
        <w:t>where</w:t>
      </w:r>
      <w:r w:rsidRPr="00DA701F">
        <w:t xml:space="preserve"> </w:t>
      </w:r>
      <w:r>
        <w:t xml:space="preserve">that unit </w:t>
      </w:r>
      <w:r w:rsidRPr="00DA701F">
        <w:t>is owner</w:t>
      </w:r>
      <w:r w:rsidR="00B624B7">
        <w:noBreakHyphen/>
      </w:r>
      <w:r w:rsidRPr="00DA701F">
        <w:t xml:space="preserve">occupied or rented out privately by the owner (that is, it is </w:t>
      </w:r>
      <w:r w:rsidRPr="003A0CCC">
        <w:rPr>
          <w:b/>
        </w:rPr>
        <w:t>not</w:t>
      </w:r>
      <w:r w:rsidRPr="00DA701F">
        <w:t xml:space="preserve"> part of the hotel) </w:t>
      </w:r>
      <w:r>
        <w:t xml:space="preserve">is considered to be </w:t>
      </w:r>
      <w:r w:rsidRPr="006B042C">
        <w:rPr>
          <w:b/>
        </w:rPr>
        <w:t xml:space="preserve">residential </w:t>
      </w:r>
      <w:r>
        <w:t>property</w:t>
      </w:r>
      <w:r w:rsidRPr="00DA701F">
        <w:t>.</w:t>
      </w:r>
    </w:p>
    <w:p w:rsidR="00AE537D" w:rsidRPr="002C3F71" w:rsidRDefault="00AE537D" w:rsidP="00AE537D">
      <w:pPr>
        <w:pStyle w:val="NumberedParagraph"/>
      </w:pPr>
      <w:r w:rsidRPr="008B28DD">
        <w:t>Proposed acquisitions of developed non</w:t>
      </w:r>
      <w:r w:rsidR="00B624B7">
        <w:noBreakHyphen/>
      </w:r>
      <w:r w:rsidRPr="008B28DD">
        <w:t>residential commercial real estate valued above the</w:t>
      </w:r>
      <w:r>
        <w:t xml:space="preserve"> relevant thresholds </w:t>
      </w:r>
      <w:r w:rsidRPr="002C3F71">
        <w:t>are normally approved unless they are determined to be contrary to the national interest.</w:t>
      </w:r>
      <w:r>
        <w:t xml:space="preserve"> </w:t>
      </w:r>
    </w:p>
    <w:p w:rsidR="00AE537D" w:rsidRPr="007E3397" w:rsidRDefault="00AE537D" w:rsidP="00835A41">
      <w:pPr>
        <w:pStyle w:val="Heading5noTOC"/>
      </w:pPr>
      <w:r w:rsidRPr="007E3397">
        <w:t xml:space="preserve">Vacant </w:t>
      </w:r>
      <w:r w:rsidR="00980C12">
        <w:t>l</w:t>
      </w:r>
      <w:r w:rsidRPr="007E3397">
        <w:t>and</w:t>
      </w:r>
    </w:p>
    <w:p w:rsidR="00AE537D" w:rsidRDefault="00AE537D" w:rsidP="00AE537D">
      <w:pPr>
        <w:pStyle w:val="NumberedParagraph"/>
      </w:pPr>
      <w:r w:rsidRPr="004C3641">
        <w:t xml:space="preserve">Proposed acquisitions of real estate for </w:t>
      </w:r>
      <w:r>
        <w:t xml:space="preserve">commercial </w:t>
      </w:r>
      <w:r w:rsidRPr="004C3641">
        <w:t xml:space="preserve">development </w:t>
      </w:r>
      <w:r>
        <w:t>(</w:t>
      </w:r>
      <w:r w:rsidRPr="008B28DD">
        <w:t>not to be used for residential purposes</w:t>
      </w:r>
      <w:r>
        <w:t>)</w:t>
      </w:r>
      <w:r w:rsidRPr="008B28DD">
        <w:t xml:space="preserve"> </w:t>
      </w:r>
      <w:r w:rsidRPr="004C3641">
        <w:t>are normally</w:t>
      </w:r>
      <w:r w:rsidRPr="002C3F71">
        <w:t xml:space="preserve"> approved </w:t>
      </w:r>
      <w:r w:rsidRPr="00650C99">
        <w:t xml:space="preserve">subject to </w:t>
      </w:r>
      <w:r>
        <w:t>the following development</w:t>
      </w:r>
      <w:r w:rsidRPr="00650C99">
        <w:t xml:space="preserve"> condition</w:t>
      </w:r>
      <w:r>
        <w:t xml:space="preserve">s </w:t>
      </w:r>
      <w:r w:rsidRPr="00650C99">
        <w:t>imposed under the FATA</w:t>
      </w:r>
      <w:r>
        <w:t>:</w:t>
      </w:r>
    </w:p>
    <w:p w:rsidR="00AE537D" w:rsidRDefault="00AE537D" w:rsidP="00AE537D">
      <w:pPr>
        <w:pStyle w:val="Bullet"/>
      </w:pPr>
      <w:r w:rsidRPr="008B28DD">
        <w:t xml:space="preserve">continuous construction commencing within </w:t>
      </w:r>
      <w:r w:rsidR="006B042C">
        <w:t>five</w:t>
      </w:r>
      <w:r w:rsidRPr="008B28DD">
        <w:t xml:space="preserve"> years;</w:t>
      </w:r>
      <w:r>
        <w:t xml:space="preserve"> and</w:t>
      </w:r>
    </w:p>
    <w:p w:rsidR="00AE537D" w:rsidRDefault="00AE537D" w:rsidP="00AE537D">
      <w:pPr>
        <w:pStyle w:val="Bullet"/>
      </w:pPr>
      <w:r w:rsidRPr="008B28DD">
        <w:t>a minimum amount equivalent to 50 per cent of the acquisition cost or current market value of the land (whichever is higher)</w:t>
      </w:r>
      <w:r>
        <w:t xml:space="preserve"> being spent on development.</w:t>
      </w:r>
    </w:p>
    <w:p w:rsidR="00AE537D" w:rsidRPr="007E3397" w:rsidRDefault="00AE537D" w:rsidP="00835A41">
      <w:pPr>
        <w:pStyle w:val="Heading5noTOC"/>
      </w:pPr>
      <w:r>
        <w:t xml:space="preserve">Mining </w:t>
      </w:r>
      <w:r w:rsidR="00980C12">
        <w:t>t</w:t>
      </w:r>
      <w:r>
        <w:t>enements</w:t>
      </w:r>
    </w:p>
    <w:p w:rsidR="00AE537D" w:rsidRDefault="00AE537D" w:rsidP="00AE537D">
      <w:pPr>
        <w:pStyle w:val="NumberedParagraph"/>
      </w:pPr>
      <w:r w:rsidRPr="001A0547">
        <w:t>The acquisition of a mineral right, mining lease, mining tenement or production licence will require foreign investment approval if it involves acquiring an interest in Australian urban land as defined by s</w:t>
      </w:r>
      <w:r>
        <w:t>ection </w:t>
      </w:r>
      <w:r w:rsidRPr="001A0547">
        <w:t>12A of the FATA, including:</w:t>
      </w:r>
    </w:p>
    <w:p w:rsidR="00AE537D" w:rsidRPr="00AE537D" w:rsidRDefault="00AE537D" w:rsidP="00AE537D">
      <w:pPr>
        <w:pStyle w:val="Bullet"/>
      </w:pPr>
      <w:r w:rsidRPr="00AE537D">
        <w:t xml:space="preserve">an interest in a lease or licence giving rights to occupy Australian urban land where the term of the lease or licence (including any extension) is reasonably likely, at the time the interest is acquired, to exceed </w:t>
      </w:r>
      <w:r w:rsidR="006B042C">
        <w:t>five</w:t>
      </w:r>
      <w:r w:rsidRPr="00AE537D">
        <w:t xml:space="preserve"> years (s</w:t>
      </w:r>
      <w:r w:rsidR="006B042C">
        <w:t xml:space="preserve">ection </w:t>
      </w:r>
      <w:r w:rsidRPr="00AE537D">
        <w:t>12A(1)(c)); or</w:t>
      </w:r>
    </w:p>
    <w:p w:rsidR="00AE537D" w:rsidRDefault="00AE537D" w:rsidP="00AE537D">
      <w:pPr>
        <w:pStyle w:val="Bullet"/>
      </w:pPr>
      <w:r w:rsidRPr="00AE537D">
        <w:t>an interest in an arrangement involving the sharing of profits or income from the use of, or dealings in, Australian urban land (s</w:t>
      </w:r>
      <w:r w:rsidR="006B042C">
        <w:t xml:space="preserve">ection </w:t>
      </w:r>
      <w:r w:rsidRPr="00AE537D">
        <w:t>12A(1)(d)).</w:t>
      </w:r>
    </w:p>
    <w:p w:rsidR="00AE537D" w:rsidRPr="001A0547" w:rsidRDefault="00AE537D" w:rsidP="00AE537D">
      <w:pPr>
        <w:pStyle w:val="NumberedParagraph"/>
      </w:pPr>
      <w:r w:rsidRPr="001A0547">
        <w:lastRenderedPageBreak/>
        <w:t>Approval is not required if the lease or licence is acquired from the Commonwealth, a State or Territory, or a local governing body (s</w:t>
      </w:r>
      <w:r w:rsidR="006B042C">
        <w:t xml:space="preserve">ection </w:t>
      </w:r>
      <w:r w:rsidRPr="001A0547">
        <w:t>12A(7))</w:t>
      </w:r>
      <w:r>
        <w:t>.</w:t>
      </w:r>
    </w:p>
    <w:p w:rsidR="00AE537D" w:rsidRPr="007E3397" w:rsidRDefault="00AE537D" w:rsidP="00835A41">
      <w:pPr>
        <w:pStyle w:val="Heading5noTOC"/>
      </w:pPr>
      <w:r>
        <w:t>Forestry</w:t>
      </w:r>
    </w:p>
    <w:p w:rsidR="00AE537D" w:rsidRDefault="00AE537D" w:rsidP="00AE537D">
      <w:pPr>
        <w:pStyle w:val="NumberedParagraph"/>
      </w:pPr>
      <w:r w:rsidRPr="001A0547">
        <w:t>A forestry business is a primary production business.</w:t>
      </w:r>
      <w:r>
        <w:t xml:space="preserve"> </w:t>
      </w:r>
      <w:r w:rsidRPr="001A0547">
        <w:t>Acquisitions of existing forestry businesses are treated in similar fashion to acquisitions of other Australian businesses</w:t>
      </w:r>
      <w:r>
        <w:t>.</w:t>
      </w:r>
    </w:p>
    <w:p w:rsidR="00AE537D" w:rsidRDefault="00AE537D" w:rsidP="00AE537D">
      <w:pPr>
        <w:pStyle w:val="NumberedParagraph"/>
      </w:pPr>
      <w:r w:rsidRPr="002F3BDC">
        <w:t>Where a foreign person wishes to acquire land for the establishment of a forestry business approval is required.</w:t>
      </w:r>
      <w:r>
        <w:t xml:space="preserve"> </w:t>
      </w:r>
      <w:r w:rsidRPr="002F3BDC">
        <w:t>These proposals are normally approved subject to:</w:t>
      </w:r>
    </w:p>
    <w:p w:rsidR="00AE537D" w:rsidRPr="00AE537D" w:rsidRDefault="00AE537D" w:rsidP="00AE537D">
      <w:pPr>
        <w:pStyle w:val="Bullet"/>
      </w:pPr>
      <w:r w:rsidRPr="00AE537D">
        <w:t>continuous development/planting on the land commencing within 12 months;</w:t>
      </w:r>
    </w:p>
    <w:p w:rsidR="00AE537D" w:rsidRPr="00AE537D" w:rsidRDefault="00AE537D" w:rsidP="00AE537D">
      <w:pPr>
        <w:pStyle w:val="Bullet"/>
      </w:pPr>
      <w:r w:rsidRPr="00AE537D">
        <w:t>a minimum amount equivalent to 50 per cent of the acquisition cost or current market value of the land (whichever is higher) being spent on the development of the business;</w:t>
      </w:r>
    </w:p>
    <w:p w:rsidR="00AE537D" w:rsidRPr="00AE537D" w:rsidRDefault="00AE537D" w:rsidP="00AE537D">
      <w:pPr>
        <w:pStyle w:val="Bullet"/>
      </w:pPr>
      <w:r w:rsidRPr="00AE537D">
        <w:t>compliance with relevant State codes of practice for the industry; and</w:t>
      </w:r>
    </w:p>
    <w:p w:rsidR="00AE537D" w:rsidRDefault="00AE537D" w:rsidP="00AE537D">
      <w:pPr>
        <w:pStyle w:val="Bullet"/>
      </w:pPr>
      <w:r w:rsidRPr="00AE537D">
        <w:t>the foreign person agreeing to on</w:t>
      </w:r>
      <w:r w:rsidR="00B624B7">
        <w:noBreakHyphen/>
      </w:r>
      <w:r w:rsidRPr="00AE537D">
        <w:t>sell the land and any related dwellings to Australian or other eligible purchasers when the forestry operations cease.</w:t>
      </w:r>
    </w:p>
    <w:p w:rsidR="00AE537D" w:rsidRPr="002C3F71" w:rsidRDefault="00AE537D" w:rsidP="005743D5">
      <w:pPr>
        <w:pStyle w:val="Heading3noTOC"/>
        <w:rPr>
          <w:szCs w:val="24"/>
        </w:rPr>
      </w:pPr>
      <w:r>
        <w:t>Non</w:t>
      </w:r>
      <w:r w:rsidR="00B624B7">
        <w:noBreakHyphen/>
      </w:r>
      <w:r w:rsidR="00980C12">
        <w:t>r</w:t>
      </w:r>
      <w:r>
        <w:t xml:space="preserve">eal </w:t>
      </w:r>
      <w:r w:rsidR="00980C12">
        <w:t>e</w:t>
      </w:r>
      <w:r>
        <w:t xml:space="preserve">state </w:t>
      </w:r>
      <w:r w:rsidR="00980C12">
        <w:t>s</w:t>
      </w:r>
      <w:r>
        <w:t>ectors</w:t>
      </w:r>
    </w:p>
    <w:p w:rsidR="00AE537D" w:rsidRPr="00846B60" w:rsidRDefault="00AE537D" w:rsidP="00AE537D">
      <w:pPr>
        <w:pStyle w:val="NumberedParagraph"/>
      </w:pPr>
      <w:r w:rsidRPr="00846B60">
        <w:t>There are no specific eligibility criteria applicable to acquisitions in non</w:t>
      </w:r>
      <w:r w:rsidR="00B624B7">
        <w:noBreakHyphen/>
      </w:r>
      <w:r w:rsidRPr="00846B60">
        <w:t>real estate sectors;</w:t>
      </w:r>
      <w:r>
        <w:t xml:space="preserve"> </w:t>
      </w:r>
      <w:r w:rsidRPr="00846B60">
        <w:t>proposals are examined on a case</w:t>
      </w:r>
      <w:r w:rsidR="00B624B7">
        <w:noBreakHyphen/>
      </w:r>
      <w:r w:rsidRPr="00846B60">
        <w:t>by</w:t>
      </w:r>
      <w:r w:rsidR="00B624B7">
        <w:noBreakHyphen/>
      </w:r>
      <w:r w:rsidRPr="00846B60">
        <w:t>case basis and are normally approved unless determined contrary to the national interest.</w:t>
      </w:r>
    </w:p>
    <w:p w:rsidR="00AE537D" w:rsidRPr="00CC7A0F" w:rsidRDefault="00AE537D" w:rsidP="00AE537D">
      <w:pPr>
        <w:pStyle w:val="NumberedParagraph"/>
      </w:pPr>
      <w:r w:rsidRPr="00CC7A0F">
        <w:t>There are various other Government policies and regulations which impose additional requirements on certain sectors.</w:t>
      </w:r>
      <w:r>
        <w:t xml:space="preserve"> </w:t>
      </w:r>
      <w:r w:rsidRPr="00CC7A0F">
        <w:t>These additional requirements are administered by the relevant Department(s) and do not form part of the foreign investment policy.</w:t>
      </w:r>
      <w:r>
        <w:t xml:space="preserve"> </w:t>
      </w:r>
      <w:r w:rsidRPr="00CC7A0F">
        <w:t>However, foreign investment proposals involving these sectors will be examined with regard to these additional requirements to determine whether they are contrary to the national interest.</w:t>
      </w:r>
      <w:r>
        <w:t xml:space="preserve"> </w:t>
      </w:r>
      <w:r w:rsidRPr="00CC7A0F">
        <w:t xml:space="preserve">The sectors which are subject to additional requirements are outlined below. </w:t>
      </w:r>
    </w:p>
    <w:p w:rsidR="00AE537D" w:rsidRPr="002C3F71" w:rsidRDefault="00AE537D" w:rsidP="00835A41">
      <w:pPr>
        <w:pStyle w:val="Heading4noTOC"/>
      </w:pPr>
      <w:r w:rsidRPr="002C3F71">
        <w:t>Banking</w:t>
      </w:r>
    </w:p>
    <w:p w:rsidR="00AE537D" w:rsidRPr="002C3F71" w:rsidRDefault="00AE537D" w:rsidP="00AE537D">
      <w:pPr>
        <w:pStyle w:val="NumberedParagraph"/>
      </w:pPr>
      <w:r w:rsidRPr="002C3F71">
        <w:t xml:space="preserve">Foreign investment in the banking sector needs to be consistent with the </w:t>
      </w:r>
      <w:r w:rsidRPr="002C3F71">
        <w:rPr>
          <w:i/>
        </w:rPr>
        <w:t>Banking Act 1959</w:t>
      </w:r>
      <w:r w:rsidRPr="002C3F71">
        <w:t xml:space="preserve">, the </w:t>
      </w:r>
      <w:r w:rsidRPr="002C3F71">
        <w:rPr>
          <w:i/>
        </w:rPr>
        <w:t>Financial Sector (Shareholdings) Act 1998</w:t>
      </w:r>
      <w:r w:rsidRPr="002C3F71">
        <w:t xml:space="preserve"> (FSSA) and banking policy, including prudential requirements. Any proposed foreign takeover or acquisition of an Australian bank will be considered on a case</w:t>
      </w:r>
      <w:r w:rsidR="00B624B7">
        <w:noBreakHyphen/>
      </w:r>
      <w:r w:rsidRPr="002C3F71">
        <w:t>by</w:t>
      </w:r>
      <w:r w:rsidR="00B624B7">
        <w:noBreakHyphen/>
      </w:r>
      <w:r w:rsidRPr="002C3F71">
        <w:t>case basis and judged on its merits. Acquisitions of interests by US investors in financial sector companies, as defined by the FSSA, are exempt from the FATA. The FSSA continues to apply.</w:t>
      </w:r>
    </w:p>
    <w:p w:rsidR="00AE537D" w:rsidRPr="002C3F71" w:rsidRDefault="00AE537D" w:rsidP="00AE537D">
      <w:pPr>
        <w:pStyle w:val="NumberedParagraph"/>
      </w:pPr>
      <w:r w:rsidRPr="002C3F71">
        <w:lastRenderedPageBreak/>
        <w:t>The Government will permit the issue of new banking authorities to foreign owned banks where the Australian Prudential Regulation Authority (APRA) is satisfied the bank and its home supervisor are of sufficient standing, and where the bank agrees to comply with APRA’s prudential supervision arrangements.</w:t>
      </w:r>
    </w:p>
    <w:p w:rsidR="00AE537D" w:rsidRPr="002C3F71" w:rsidRDefault="00AE537D" w:rsidP="00694137">
      <w:pPr>
        <w:pStyle w:val="Heading3noTOC"/>
      </w:pPr>
      <w:r w:rsidRPr="002C3F71">
        <w:t xml:space="preserve">Civil </w:t>
      </w:r>
      <w:r w:rsidR="00980C12">
        <w:t>a</w:t>
      </w:r>
      <w:r w:rsidRPr="002C3F71">
        <w:t>viation</w:t>
      </w:r>
    </w:p>
    <w:p w:rsidR="00AE537D" w:rsidRPr="004137B2" w:rsidRDefault="00AE537D" w:rsidP="00694137">
      <w:pPr>
        <w:pStyle w:val="Heading4"/>
      </w:pPr>
      <w:r w:rsidRPr="004137B2">
        <w:t xml:space="preserve">Domestic </w:t>
      </w:r>
      <w:r w:rsidR="00980C12">
        <w:t>s</w:t>
      </w:r>
      <w:r w:rsidRPr="004137B2">
        <w:t>ervices</w:t>
      </w:r>
    </w:p>
    <w:p w:rsidR="00AE537D" w:rsidRPr="002C3F71" w:rsidRDefault="00AE537D" w:rsidP="00AE537D">
      <w:pPr>
        <w:pStyle w:val="NumberedParagraph"/>
      </w:pPr>
      <w:r w:rsidRPr="002C3F71">
        <w:t>Foreign persons (including foreign airlines) can generally expect approval to acquire up to 100 per cent of the equity in an Australian domestic airline (other than Qantas</w:t>
      </w:r>
      <w:r w:rsidR="00B624B7">
        <w:t xml:space="preserve"> — </w:t>
      </w:r>
      <w:r>
        <w:t>see below</w:t>
      </w:r>
      <w:r w:rsidRPr="002C3F71">
        <w:t>), unless this is contrary to the national interest.</w:t>
      </w:r>
    </w:p>
    <w:p w:rsidR="00AE537D" w:rsidRPr="004137B2" w:rsidRDefault="00AE537D" w:rsidP="00835A41">
      <w:pPr>
        <w:pStyle w:val="Heading4noTOC"/>
      </w:pPr>
      <w:r w:rsidRPr="004137B2">
        <w:t xml:space="preserve">International </w:t>
      </w:r>
      <w:r w:rsidR="00980C12">
        <w:t>s</w:t>
      </w:r>
      <w:r w:rsidRPr="004137B2">
        <w:t>ervices</w:t>
      </w:r>
    </w:p>
    <w:p w:rsidR="00AE537D" w:rsidRPr="002C3F71" w:rsidRDefault="00AE537D" w:rsidP="00AE537D">
      <w:pPr>
        <w:pStyle w:val="NumberedParagraph"/>
      </w:pPr>
      <w:r w:rsidRPr="002C3F71">
        <w:t>Foreign persons (including foreign airlines) can generally expect approval to acquire up to 49 per cent of the equity in an Australian international carrier (other than Qantas) individually or in aggregate provided the proposal is not contrary to the national interest. In the case of Qantas, total foreign ownership is restricted to a maximum of 49 per cent in aggregate, with individual holdings limited to 25 per cent and aggregate ownership by foreign airlines limited to 35 per cent. In addition, a number of national interest criteria must be satisfied, relating to the nationality of Board members and operational location of the enterprise.</w:t>
      </w:r>
    </w:p>
    <w:p w:rsidR="00AE537D" w:rsidRPr="002C3F71" w:rsidRDefault="00AE537D" w:rsidP="00694137">
      <w:pPr>
        <w:pStyle w:val="Heading3noTOC"/>
      </w:pPr>
      <w:r w:rsidRPr="002C3F71">
        <w:t>Airports</w:t>
      </w:r>
    </w:p>
    <w:p w:rsidR="00AE537D" w:rsidRPr="002C3F71" w:rsidRDefault="00AE537D" w:rsidP="00AE537D">
      <w:pPr>
        <w:pStyle w:val="NumberedParagraph"/>
      </w:pPr>
      <w:r w:rsidRPr="002C3F71">
        <w:t>Foreign investment proposals for acquisitions of interests in Australian airports are subject to case</w:t>
      </w:r>
      <w:r w:rsidR="00B624B7">
        <w:noBreakHyphen/>
      </w:r>
      <w:r w:rsidRPr="002C3F71">
        <w:t>by</w:t>
      </w:r>
      <w:r w:rsidR="00B624B7">
        <w:noBreakHyphen/>
      </w:r>
      <w:r w:rsidRPr="002C3F71">
        <w:t xml:space="preserve">case examination in accordance with the standard notification requirements. In relation to the airports offered for sale by the Commonwealth, the </w:t>
      </w:r>
      <w:r w:rsidRPr="002C3F71">
        <w:rPr>
          <w:i/>
        </w:rPr>
        <w:t>Airports Act 1996</w:t>
      </w:r>
      <w:r w:rsidRPr="002C3F71">
        <w:t xml:space="preserve"> stipulates a 49 per cent foreign ownership limit, a 5 per cent airline ownership limit and cross ownership limits between Sydney airport (together with Sydney West) and Melbourne, Brisbane and Perth airports.</w:t>
      </w:r>
    </w:p>
    <w:p w:rsidR="00AE537D" w:rsidRPr="002C3F71" w:rsidRDefault="00AE537D" w:rsidP="00694137">
      <w:pPr>
        <w:pStyle w:val="Heading3noTOC"/>
      </w:pPr>
      <w:r w:rsidRPr="002C3F71">
        <w:t>Shipping</w:t>
      </w:r>
    </w:p>
    <w:p w:rsidR="00AE537D" w:rsidRPr="002C3F71" w:rsidRDefault="00AE537D" w:rsidP="00AE537D">
      <w:pPr>
        <w:pStyle w:val="NumberedParagraph"/>
      </w:pPr>
      <w:r w:rsidRPr="002C3F71">
        <w:t xml:space="preserve">The </w:t>
      </w:r>
      <w:r w:rsidRPr="002C3F71">
        <w:rPr>
          <w:i/>
        </w:rPr>
        <w:t>Shipping Registration Act 1981</w:t>
      </w:r>
      <w:r w:rsidRPr="002C3F71">
        <w:t xml:space="preserve"> requires that, for a ship to be registered in Australia, it must be majority Australian</w:t>
      </w:r>
      <w:r w:rsidR="00B624B7">
        <w:noBreakHyphen/>
      </w:r>
      <w:r w:rsidRPr="002C3F71">
        <w:t>owned (that is, owned by an Australian citizen, a body corporate established by or under law of the Commonwealth or of a State or Territory of Australia), unless the ship is designated as chartered by an Australian operator.</w:t>
      </w:r>
    </w:p>
    <w:p w:rsidR="00AE537D" w:rsidRPr="002C3F71" w:rsidRDefault="00AE537D" w:rsidP="00694137">
      <w:pPr>
        <w:pStyle w:val="Heading3noTOC"/>
      </w:pPr>
      <w:r w:rsidRPr="002C3F71">
        <w:lastRenderedPageBreak/>
        <w:t>Media</w:t>
      </w:r>
      <w:r w:rsidRPr="00A20992">
        <w:rPr>
          <w:vertAlign w:val="superscript"/>
        </w:rPr>
        <w:footnoteReference w:id="15"/>
      </w:r>
    </w:p>
    <w:p w:rsidR="00AE537D" w:rsidRPr="002C3F71" w:rsidRDefault="00AE537D" w:rsidP="00AE537D">
      <w:pPr>
        <w:pStyle w:val="NumberedParagraph"/>
      </w:pPr>
      <w:r w:rsidRPr="002C3F71">
        <w:t>All direct (that is, non</w:t>
      </w:r>
      <w:r w:rsidR="00B624B7">
        <w:noBreakHyphen/>
      </w:r>
      <w:r w:rsidRPr="002C3F71">
        <w:t>portfolio) proposals by foreign persons to invest in the media sector irrespective of size are subject to prior approval under the policy. Proposals involving portfolio shareholdings of 5 per cent or more must also be submitted for examination.</w:t>
      </w:r>
    </w:p>
    <w:p w:rsidR="00AE537D" w:rsidRPr="002C3F71" w:rsidRDefault="00AE537D" w:rsidP="00835A41">
      <w:pPr>
        <w:pStyle w:val="Heading3noTOC"/>
      </w:pPr>
      <w:r w:rsidRPr="002C3F71">
        <w:t>Telecommunications</w:t>
      </w:r>
    </w:p>
    <w:p w:rsidR="00AE537D" w:rsidRPr="002C3F71" w:rsidRDefault="00AE537D" w:rsidP="00AE537D">
      <w:pPr>
        <w:pStyle w:val="NumberedParagraph"/>
      </w:pPr>
      <w:r w:rsidRPr="002C3F71">
        <w:t>Around 83 per cent of Telstra Corporation Limited (Telstra) is owned by institutional and individual investors, with the remaining approximately 17 per cent to be transferred by the Government to the Future Fund, a fund established by the Government to fund its public service superannuation liabilities. Shares transferred to the Future Fund will be held in escrow for a two year period.</w:t>
      </w:r>
    </w:p>
    <w:p w:rsidR="00AE537D" w:rsidRPr="002C3F71" w:rsidRDefault="00AE537D" w:rsidP="00AE537D">
      <w:pPr>
        <w:pStyle w:val="NumberedParagraph"/>
      </w:pPr>
      <w:r w:rsidRPr="002C3F71">
        <w:t>Aggregate foreign ownership of Telstra is restricted to 35 per cent of the privatised equity (including instalment receipts) and individual foreign investors are only allowed to acquire a holding of no more than 5 per cent of the privatised equity.</w:t>
      </w:r>
    </w:p>
    <w:p w:rsidR="00AE537D" w:rsidRPr="002C3F71" w:rsidRDefault="00AE537D" w:rsidP="00694137">
      <w:pPr>
        <w:pStyle w:val="Heading2noTOC"/>
      </w:pPr>
      <w:bookmarkStart w:id="7" w:name="OLE_LINK5"/>
      <w:bookmarkStart w:id="8" w:name="OLE_LINK6"/>
      <w:r w:rsidRPr="002C3F71">
        <w:t xml:space="preserve">Approval </w:t>
      </w:r>
      <w:r w:rsidR="00980C12">
        <w:t>p</w:t>
      </w:r>
      <w:r w:rsidRPr="002C3F71">
        <w:t>eriod</w:t>
      </w:r>
    </w:p>
    <w:p w:rsidR="00AE537D" w:rsidRPr="002C3F71" w:rsidRDefault="00AE537D" w:rsidP="00AE537D">
      <w:pPr>
        <w:pStyle w:val="NumberedParagraph"/>
      </w:pPr>
      <w:r w:rsidRPr="002C3F71">
        <w:t>Approval under the policy is normally only given for a specific transaction which is expected to be completed in a timely manner. If an approved transaction does not proceed at that time and/or the parties enter into new agreements at a later date, or if a transaction is not completed within 12 months, further approval must be sought for the transaction.</w:t>
      </w:r>
    </w:p>
    <w:p w:rsidR="00AE537D" w:rsidRPr="002C3F71" w:rsidRDefault="00AE537D" w:rsidP="00AE537D">
      <w:pPr>
        <w:pStyle w:val="NumberedParagraph"/>
      </w:pPr>
      <w:r w:rsidRPr="002C3F71">
        <w:t xml:space="preserve">Approvals for share acquisitions involving a full or partial bid under the </w:t>
      </w:r>
      <w:r w:rsidRPr="002C3F71">
        <w:rPr>
          <w:i/>
        </w:rPr>
        <w:t>Corporations Act 2001</w:t>
      </w:r>
      <w:r w:rsidRPr="002C3F71">
        <w:t xml:space="preserve"> only apply to the shares acquired during the bid period. For example, if approval is given for a full bid and the bidder only acquires 60 per cent of the shares, but then subsequently wishes to proceed to acquire further shares on market using the ‘creep provisions’ of the </w:t>
      </w:r>
      <w:r w:rsidRPr="002C3F71">
        <w:rPr>
          <w:i/>
        </w:rPr>
        <w:t>Corporations Act 2001</w:t>
      </w:r>
      <w:r w:rsidRPr="002C3F71">
        <w:t xml:space="preserve"> or to acquire the balance of the shares through a subsequent bid, further prior approval must be sought.</w:t>
      </w:r>
    </w:p>
    <w:p w:rsidR="00AE537D" w:rsidRPr="002C3F71" w:rsidRDefault="00AE537D" w:rsidP="00AE537D">
      <w:pPr>
        <w:pStyle w:val="NumberedParagraph"/>
      </w:pPr>
      <w:r w:rsidRPr="002C3F71">
        <w:t>Where a proposal involves option agreements for the purchase of shares, assets or property, prior approval is required to acquire the options. Normally, approvals for options will also extend to the exercise of those options, provided the option is exercised within 12 months of approval. Subsequent approval for the exercise of the options may be sought on an annual basis.</w:t>
      </w:r>
    </w:p>
    <w:p w:rsidR="00AE537D" w:rsidRPr="002C3F71" w:rsidRDefault="00AE537D" w:rsidP="00AE537D">
      <w:pPr>
        <w:pStyle w:val="NumberedParagraph"/>
      </w:pPr>
      <w:r w:rsidRPr="002C3F71">
        <w:t xml:space="preserve">The time period for an approval may be varied where it can be shown that an extended period is fundamental to the success of a proposal and that extending the </w:t>
      </w:r>
      <w:r w:rsidRPr="002C3F71">
        <w:lastRenderedPageBreak/>
        <w:t>timing of the proposal does not involve an activity (for example, real estate speculation) that would be contrary to the national interest. In this situation the extended period will be stated in the approval.</w:t>
      </w:r>
    </w:p>
    <w:p w:rsidR="00AE537D" w:rsidRPr="002C3F71" w:rsidRDefault="00AE537D" w:rsidP="00694137">
      <w:pPr>
        <w:pStyle w:val="Heading2noTOC"/>
      </w:pPr>
      <w:r w:rsidRPr="002C3F71">
        <w:t>Confidentiality/privacy</w:t>
      </w:r>
    </w:p>
    <w:p w:rsidR="00AE537D" w:rsidRPr="002C3F71" w:rsidRDefault="00AE537D" w:rsidP="00AE537D">
      <w:pPr>
        <w:pStyle w:val="NumberedParagraph"/>
      </w:pPr>
      <w:r w:rsidRPr="002C3F71">
        <w:t>The Government recognises the commercial</w:t>
      </w:r>
      <w:r w:rsidR="00B624B7">
        <w:noBreakHyphen/>
      </w:r>
      <w:r w:rsidRPr="002C3F71">
        <w:t>in</w:t>
      </w:r>
      <w:r w:rsidR="00B624B7">
        <w:noBreakHyphen/>
      </w:r>
      <w:r w:rsidRPr="002C3F71">
        <w:t xml:space="preserve">confidence sensitivity of much of the information provided to </w:t>
      </w:r>
      <w:r>
        <w:t>FIRB</w:t>
      </w:r>
      <w:r w:rsidRPr="002C3F71">
        <w:t>. The Government respects this confidential status and ensures that appropriate security is given to it. Where third parties outside of Government seek to obtain access to confidential information held by the Government, subject to the operation of applicable legislation, it will not be made available without the permission of the applicant, except upon the order of a court of competent jurisdiction. In this respect, the Government will pursue the defence of this policy through the judicial system.</w:t>
      </w:r>
    </w:p>
    <w:p w:rsidR="00AE537D" w:rsidRPr="002C3F71" w:rsidRDefault="00AE537D" w:rsidP="00AE537D">
      <w:pPr>
        <w:pStyle w:val="NumberedParagraph"/>
      </w:pPr>
      <w:r w:rsidRPr="002C3F71">
        <w:t xml:space="preserve">In addition, the Government is obligated to respect the privacy of personal information that is provided by applicants in accordance with and subject to the requirements of the </w:t>
      </w:r>
      <w:r w:rsidRPr="002C3F71">
        <w:rPr>
          <w:i/>
        </w:rPr>
        <w:t>Privacy Act 1988</w:t>
      </w:r>
      <w:r w:rsidRPr="002C3F71">
        <w:t xml:space="preserve"> and the </w:t>
      </w:r>
      <w:r w:rsidRPr="002C3F71">
        <w:rPr>
          <w:i/>
        </w:rPr>
        <w:t>Freedom of Information Act 1982</w:t>
      </w:r>
      <w:r w:rsidRPr="002C3F71">
        <w:t>. In accordance with those Acts, the Government advises that</w:t>
      </w:r>
      <w:r w:rsidRPr="00897356">
        <w:t xml:space="preserve"> </w:t>
      </w:r>
      <w:r w:rsidRPr="002C3F71">
        <w:t xml:space="preserve">relevant personal information </w:t>
      </w:r>
      <w:r>
        <w:t xml:space="preserve">may be passed </w:t>
      </w:r>
      <w:r w:rsidRPr="002C3F71">
        <w:t xml:space="preserve">to </w:t>
      </w:r>
      <w:r>
        <w:t>other</w:t>
      </w:r>
      <w:r w:rsidRPr="002C3F71">
        <w:t xml:space="preserve"> government agencies</w:t>
      </w:r>
      <w:r>
        <w:t xml:space="preserve">, such as </w:t>
      </w:r>
      <w:r w:rsidRPr="002C3F71">
        <w:t xml:space="preserve">the Department of Immigration and </w:t>
      </w:r>
      <w:r>
        <w:t>Citizenship</w:t>
      </w:r>
      <w:r w:rsidRPr="002C3F71">
        <w:t>, the Australian Taxation Office or the Australian Federal Police.</w:t>
      </w:r>
    </w:p>
    <w:bookmarkEnd w:id="7"/>
    <w:bookmarkEnd w:id="8"/>
    <w:p w:rsidR="00AE537D" w:rsidRPr="002C3F71" w:rsidRDefault="00AE537D" w:rsidP="00694137">
      <w:pPr>
        <w:pStyle w:val="Heading2noTOC"/>
      </w:pPr>
      <w:r w:rsidRPr="002C3F71">
        <w:t>Applications</w:t>
      </w:r>
    </w:p>
    <w:p w:rsidR="00AE537D" w:rsidRPr="002C3F71" w:rsidRDefault="00AE537D" w:rsidP="00AE537D">
      <w:pPr>
        <w:pStyle w:val="NumberedParagraph"/>
      </w:pPr>
      <w:r>
        <w:t>Please refer to FIRB</w:t>
      </w:r>
      <w:r w:rsidRPr="002C3F71">
        <w:t xml:space="preserve">’s </w:t>
      </w:r>
      <w:r>
        <w:t xml:space="preserve">website </w:t>
      </w:r>
      <w:hyperlink r:id="rId17" w:history="1">
        <w:r w:rsidRPr="002C3F71">
          <w:rPr>
            <w:rStyle w:val="Hyperlink"/>
          </w:rPr>
          <w:t>www.firb.gov.au</w:t>
        </w:r>
      </w:hyperlink>
      <w:r>
        <w:t xml:space="preserve"> or the relevant </w:t>
      </w:r>
      <w:hyperlink r:id="rId18" w:history="1">
        <w:r>
          <w:rPr>
            <w:rStyle w:val="Hyperlink"/>
          </w:rPr>
          <w:t>How to Apply</w:t>
        </w:r>
      </w:hyperlink>
      <w:r>
        <w:t xml:space="preserve"> guide for further details. </w:t>
      </w:r>
      <w:r w:rsidRPr="002C3F71">
        <w:rPr>
          <w:b/>
        </w:rPr>
        <w:t>No fees or charges</w:t>
      </w:r>
      <w:r w:rsidRPr="002C3F71">
        <w:t xml:space="preserve"> apply to applications.</w:t>
      </w:r>
    </w:p>
    <w:p w:rsidR="00AE537D" w:rsidRPr="002C3F71" w:rsidRDefault="00AE537D" w:rsidP="00694137">
      <w:pPr>
        <w:pStyle w:val="Heading2noTOC"/>
      </w:pPr>
      <w:r w:rsidRPr="002C3F71">
        <w:t xml:space="preserve">Further </w:t>
      </w:r>
      <w:r w:rsidR="00980C12">
        <w:t>e</w:t>
      </w:r>
      <w:r w:rsidRPr="002C3F71">
        <w:t>nquiries</w:t>
      </w:r>
    </w:p>
    <w:p w:rsidR="00AE537D" w:rsidRPr="002C3F71" w:rsidRDefault="00AE537D" w:rsidP="00AE537D">
      <w:pPr>
        <w:pStyle w:val="NumberedParagraph"/>
      </w:pPr>
      <w:r w:rsidRPr="002C3F71">
        <w:t xml:space="preserve">Further information on the policy may be found at the </w:t>
      </w:r>
      <w:r>
        <w:t>FIRB</w:t>
      </w:r>
      <w:r w:rsidRPr="002C3F71">
        <w:t>’s</w:t>
      </w:r>
      <w:r>
        <w:t xml:space="preserve"> website</w:t>
      </w:r>
      <w:r w:rsidRPr="002C3F71">
        <w:t xml:space="preserve"> </w:t>
      </w:r>
      <w:hyperlink r:id="rId19" w:history="1">
        <w:r w:rsidRPr="002C3F71">
          <w:rPr>
            <w:rStyle w:val="Hyperlink"/>
          </w:rPr>
          <w:t>www.firb.gov.au</w:t>
        </w:r>
      </w:hyperlink>
      <w:r w:rsidRPr="002C3F71">
        <w:t>.</w:t>
      </w:r>
    </w:p>
    <w:p w:rsidR="00AE537D" w:rsidRDefault="00AE537D" w:rsidP="00AE537D">
      <w:pPr>
        <w:pStyle w:val="NumberedParagraph"/>
      </w:pPr>
      <w:r w:rsidRPr="002C3F71">
        <w:t xml:space="preserve">Should you have any further enquiries please contact </w:t>
      </w:r>
      <w:r>
        <w:t>FIRB</w:t>
      </w:r>
      <w:r w:rsidRPr="002C3F71">
        <w:t>’s Executive on:</w:t>
      </w:r>
    </w:p>
    <w:tbl>
      <w:tblPr>
        <w:tblStyle w:val="TableGrid"/>
        <w:tblW w:w="0" w:type="auto"/>
        <w:tblInd w:w="0" w:type="dxa"/>
        <w:tblLayout w:type="fixed"/>
        <w:tblLook w:val="01E0" w:firstRow="1" w:lastRow="1" w:firstColumn="1" w:lastColumn="1" w:noHBand="0" w:noVBand="0"/>
      </w:tblPr>
      <w:tblGrid>
        <w:gridCol w:w="959"/>
        <w:gridCol w:w="3685"/>
        <w:gridCol w:w="3144"/>
      </w:tblGrid>
      <w:tr w:rsidR="00AE537D" w:rsidRPr="00AE42BA" w:rsidTr="00AE42BA">
        <w:tc>
          <w:tcPr>
            <w:tcW w:w="4644" w:type="dxa"/>
            <w:gridSpan w:val="2"/>
          </w:tcPr>
          <w:p w:rsidR="00AE537D" w:rsidRPr="00AE42BA" w:rsidRDefault="00AE537D" w:rsidP="00AE537D">
            <w:pPr>
              <w:pStyle w:val="TableColumnHeadingLeft"/>
              <w:spacing w:line="260" w:lineRule="exact"/>
              <w:rPr>
                <w:rFonts w:ascii="Book Antiqua" w:hAnsi="Book Antiqua"/>
                <w:sz w:val="20"/>
              </w:rPr>
            </w:pPr>
            <w:r w:rsidRPr="00AE42BA">
              <w:rPr>
                <w:rFonts w:ascii="Book Antiqua" w:hAnsi="Book Antiqua"/>
                <w:sz w:val="20"/>
              </w:rPr>
              <w:t>General enquiries:</w:t>
            </w:r>
          </w:p>
        </w:tc>
        <w:tc>
          <w:tcPr>
            <w:tcW w:w="3144" w:type="dxa"/>
          </w:tcPr>
          <w:p w:rsidR="00AE537D" w:rsidRPr="00AE42BA" w:rsidRDefault="00AE537D" w:rsidP="00AE537D">
            <w:pPr>
              <w:pStyle w:val="TableColumnHeadingLeft"/>
              <w:spacing w:line="260" w:lineRule="exact"/>
              <w:rPr>
                <w:rFonts w:ascii="Book Antiqua" w:hAnsi="Book Antiqua"/>
                <w:sz w:val="20"/>
              </w:rPr>
            </w:pPr>
            <w:r w:rsidRPr="00AE42BA">
              <w:rPr>
                <w:rFonts w:ascii="Book Antiqua" w:hAnsi="Book Antiqua"/>
                <w:sz w:val="20"/>
              </w:rPr>
              <w:t>From overseas:</w:t>
            </w:r>
          </w:p>
        </w:tc>
      </w:tr>
      <w:tr w:rsidR="00AE537D" w:rsidRPr="00AE42BA" w:rsidTr="00AE42BA">
        <w:tc>
          <w:tcPr>
            <w:tcW w:w="959" w:type="dxa"/>
          </w:tcPr>
          <w:p w:rsidR="00AE537D" w:rsidRPr="00AE42BA" w:rsidRDefault="00AE537D" w:rsidP="00F929C5">
            <w:pPr>
              <w:pStyle w:val="TableTextLeft"/>
              <w:spacing w:line="260" w:lineRule="exact"/>
              <w:rPr>
                <w:rFonts w:ascii="Book Antiqua" w:hAnsi="Book Antiqua"/>
                <w:sz w:val="20"/>
              </w:rPr>
            </w:pPr>
            <w:r w:rsidRPr="00AE42BA">
              <w:rPr>
                <w:rFonts w:ascii="Book Antiqua" w:hAnsi="Book Antiqua"/>
                <w:sz w:val="20"/>
              </w:rPr>
              <w:t>Phone:</w:t>
            </w:r>
          </w:p>
        </w:tc>
        <w:tc>
          <w:tcPr>
            <w:tcW w:w="3685" w:type="dxa"/>
          </w:tcPr>
          <w:p w:rsidR="00AE537D" w:rsidRPr="00AE42BA" w:rsidRDefault="00AE537D" w:rsidP="00AE537D">
            <w:pPr>
              <w:pStyle w:val="TableTextLeft"/>
              <w:spacing w:line="260" w:lineRule="exact"/>
              <w:rPr>
                <w:rFonts w:ascii="Book Antiqua" w:hAnsi="Book Antiqua"/>
                <w:sz w:val="20"/>
              </w:rPr>
            </w:pPr>
            <w:r w:rsidRPr="00AE42BA">
              <w:rPr>
                <w:rFonts w:ascii="Book Antiqua" w:hAnsi="Book Antiqua"/>
                <w:sz w:val="20"/>
              </w:rPr>
              <w:t>02 6263 3795</w:t>
            </w:r>
          </w:p>
        </w:tc>
        <w:tc>
          <w:tcPr>
            <w:tcW w:w="3144" w:type="dxa"/>
          </w:tcPr>
          <w:p w:rsidR="00AE537D" w:rsidRPr="00AE42BA" w:rsidRDefault="00AE537D" w:rsidP="00AE537D">
            <w:pPr>
              <w:pStyle w:val="TableTextLeft"/>
              <w:spacing w:line="260" w:lineRule="exact"/>
              <w:rPr>
                <w:rFonts w:ascii="Book Antiqua" w:hAnsi="Book Antiqua"/>
                <w:sz w:val="20"/>
              </w:rPr>
            </w:pPr>
            <w:r w:rsidRPr="00AE42BA">
              <w:rPr>
                <w:rFonts w:ascii="Book Antiqua" w:hAnsi="Book Antiqua"/>
                <w:sz w:val="20"/>
              </w:rPr>
              <w:t>+61 2 6263 3795</w:t>
            </w:r>
          </w:p>
        </w:tc>
      </w:tr>
      <w:tr w:rsidR="00AE537D" w:rsidRPr="00AE42BA" w:rsidTr="00AE42BA">
        <w:tc>
          <w:tcPr>
            <w:tcW w:w="959" w:type="dxa"/>
          </w:tcPr>
          <w:p w:rsidR="00AE537D" w:rsidRPr="00AE42BA" w:rsidRDefault="00AE537D" w:rsidP="00AE537D">
            <w:pPr>
              <w:pStyle w:val="TableTextLeft"/>
              <w:spacing w:line="260" w:lineRule="exact"/>
              <w:rPr>
                <w:rFonts w:ascii="Book Antiqua" w:hAnsi="Book Antiqua"/>
                <w:sz w:val="20"/>
              </w:rPr>
            </w:pPr>
            <w:r w:rsidRPr="00AE42BA">
              <w:rPr>
                <w:rFonts w:ascii="Book Antiqua" w:hAnsi="Book Antiqua"/>
                <w:sz w:val="20"/>
              </w:rPr>
              <w:t>Fax:</w:t>
            </w:r>
          </w:p>
        </w:tc>
        <w:tc>
          <w:tcPr>
            <w:tcW w:w="3685" w:type="dxa"/>
          </w:tcPr>
          <w:p w:rsidR="00AE537D" w:rsidRPr="00AE42BA" w:rsidRDefault="00AE537D" w:rsidP="00AE537D">
            <w:pPr>
              <w:pStyle w:val="TableTextLeft"/>
              <w:spacing w:line="260" w:lineRule="exact"/>
              <w:rPr>
                <w:rFonts w:ascii="Book Antiqua" w:hAnsi="Book Antiqua"/>
                <w:sz w:val="20"/>
              </w:rPr>
            </w:pPr>
            <w:r w:rsidRPr="00AE42BA">
              <w:rPr>
                <w:rFonts w:ascii="Book Antiqua" w:hAnsi="Book Antiqua"/>
                <w:sz w:val="20"/>
              </w:rPr>
              <w:t>02 6263 2940</w:t>
            </w:r>
          </w:p>
        </w:tc>
        <w:tc>
          <w:tcPr>
            <w:tcW w:w="3144" w:type="dxa"/>
          </w:tcPr>
          <w:p w:rsidR="00AE537D" w:rsidRPr="00AE42BA" w:rsidRDefault="00AE537D" w:rsidP="00AE537D">
            <w:pPr>
              <w:pStyle w:val="TableTextLeft"/>
              <w:spacing w:line="260" w:lineRule="exact"/>
              <w:rPr>
                <w:rFonts w:ascii="Book Antiqua" w:hAnsi="Book Antiqua"/>
                <w:sz w:val="20"/>
              </w:rPr>
            </w:pPr>
            <w:r w:rsidRPr="00AE42BA">
              <w:rPr>
                <w:rFonts w:ascii="Book Antiqua" w:hAnsi="Book Antiqua"/>
                <w:sz w:val="20"/>
              </w:rPr>
              <w:t>+61 2 6263 2940</w:t>
            </w:r>
          </w:p>
        </w:tc>
      </w:tr>
      <w:tr w:rsidR="00AE537D" w:rsidRPr="00AE42BA" w:rsidTr="00AE42BA">
        <w:tc>
          <w:tcPr>
            <w:tcW w:w="959" w:type="dxa"/>
          </w:tcPr>
          <w:p w:rsidR="00AE537D" w:rsidRPr="00AE42BA" w:rsidRDefault="00AE537D" w:rsidP="00AE537D">
            <w:pPr>
              <w:pStyle w:val="TableTextLeft"/>
              <w:spacing w:line="260" w:lineRule="exact"/>
              <w:rPr>
                <w:rFonts w:ascii="Book Antiqua" w:hAnsi="Book Antiqua"/>
                <w:sz w:val="20"/>
              </w:rPr>
            </w:pPr>
            <w:r w:rsidRPr="00AE42BA">
              <w:rPr>
                <w:rFonts w:ascii="Book Antiqua" w:hAnsi="Book Antiqua"/>
                <w:sz w:val="20"/>
              </w:rPr>
              <w:t>Email:</w:t>
            </w:r>
          </w:p>
        </w:tc>
        <w:tc>
          <w:tcPr>
            <w:tcW w:w="3685" w:type="dxa"/>
          </w:tcPr>
          <w:p w:rsidR="00AE537D" w:rsidRPr="00AE42BA" w:rsidRDefault="00AE537D" w:rsidP="00AE537D">
            <w:pPr>
              <w:pStyle w:val="TableTextLeft"/>
              <w:spacing w:line="260" w:lineRule="exact"/>
              <w:rPr>
                <w:rFonts w:ascii="Book Antiqua" w:hAnsi="Book Antiqua"/>
                <w:sz w:val="20"/>
              </w:rPr>
            </w:pPr>
            <w:hyperlink r:id="rId20" w:history="1">
              <w:r w:rsidRPr="00AE42BA">
                <w:rPr>
                  <w:rStyle w:val="Hyperlink"/>
                  <w:rFonts w:ascii="Book Antiqua" w:hAnsi="Book Antiqua"/>
                  <w:sz w:val="20"/>
                </w:rPr>
                <w:t>firbenquiries@treasury.gov.au</w:t>
              </w:r>
            </w:hyperlink>
          </w:p>
        </w:tc>
        <w:tc>
          <w:tcPr>
            <w:tcW w:w="3144" w:type="dxa"/>
          </w:tcPr>
          <w:p w:rsidR="00AE537D" w:rsidRPr="00AE42BA" w:rsidRDefault="00AE537D" w:rsidP="00AE537D">
            <w:pPr>
              <w:pStyle w:val="TableTextLeft"/>
              <w:spacing w:line="260" w:lineRule="exact"/>
              <w:rPr>
                <w:rFonts w:ascii="Book Antiqua" w:hAnsi="Book Antiqua"/>
                <w:sz w:val="20"/>
              </w:rPr>
            </w:pPr>
            <w:hyperlink r:id="rId21" w:history="1">
              <w:r w:rsidRPr="00AE42BA">
                <w:rPr>
                  <w:rStyle w:val="Hyperlink"/>
                  <w:rFonts w:ascii="Book Antiqua" w:hAnsi="Book Antiqua"/>
                  <w:sz w:val="20"/>
                </w:rPr>
                <w:t>firbenquiries@treasury.gov.au</w:t>
              </w:r>
            </w:hyperlink>
          </w:p>
        </w:tc>
      </w:tr>
    </w:tbl>
    <w:p w:rsidR="00AE537D" w:rsidRDefault="00AE537D" w:rsidP="00AE537D">
      <w:pPr>
        <w:spacing w:after="0"/>
      </w:pPr>
    </w:p>
    <w:p w:rsidR="00AE537D" w:rsidRPr="002C3F71" w:rsidRDefault="00AE537D" w:rsidP="00694137">
      <w:pPr>
        <w:pStyle w:val="Heading9noTOC"/>
      </w:pPr>
      <w:r>
        <w:br w:type="page"/>
      </w:r>
      <w:bookmarkStart w:id="9" w:name="OLE_LINK8"/>
      <w:bookmarkEnd w:id="9"/>
      <w:r w:rsidRPr="002C3F71">
        <w:lastRenderedPageBreak/>
        <w:t xml:space="preserve">Attachment </w:t>
      </w:r>
      <w:r>
        <w:t>A</w:t>
      </w:r>
    </w:p>
    <w:p w:rsidR="00AE537D" w:rsidRPr="003C7C32" w:rsidRDefault="00AE537D" w:rsidP="00694137">
      <w:pPr>
        <w:pStyle w:val="Heading2noTOC"/>
      </w:pPr>
      <w:r w:rsidRPr="003C7C32">
        <w:t>Guidelines for foreign government investment proposals</w:t>
      </w:r>
    </w:p>
    <w:p w:rsidR="00AE537D" w:rsidRPr="00211E06" w:rsidRDefault="00AE537D" w:rsidP="00AE537D">
      <w:r w:rsidRPr="00211E06">
        <w:t>Proposed investments by foreign governments and their agencies (</w:t>
      </w:r>
      <w:r>
        <w:t>for example,</w:t>
      </w:r>
      <w:r w:rsidRPr="00211E06">
        <w:t xml:space="preserve"> state</w:t>
      </w:r>
      <w:r w:rsidR="00B624B7">
        <w:noBreakHyphen/>
      </w:r>
      <w:r w:rsidRPr="00211E06">
        <w:t>owned enterprises and sovereign wealth funds (SWF)) are assessed on the same basis as private sector proposals.</w:t>
      </w:r>
      <w:r>
        <w:t xml:space="preserve"> </w:t>
      </w:r>
      <w:r w:rsidRPr="00211E06">
        <w:t>National interest implications are determined on a case</w:t>
      </w:r>
      <w:r w:rsidR="00B624B7">
        <w:noBreakHyphen/>
      </w:r>
      <w:r w:rsidRPr="00211E06">
        <w:t>by</w:t>
      </w:r>
      <w:r w:rsidR="00B624B7">
        <w:noBreakHyphen/>
      </w:r>
      <w:r w:rsidRPr="00211E06">
        <w:t>case basis.</w:t>
      </w:r>
      <w:r>
        <w:t xml:space="preserve"> </w:t>
      </w:r>
    </w:p>
    <w:p w:rsidR="00AE537D" w:rsidRPr="00211E06" w:rsidRDefault="00AE537D" w:rsidP="00AE537D">
      <w:r w:rsidRPr="00211E06">
        <w:t>However, the fact that these investors are owned or controlled by a foreign government raises additional factors that must also be examined.</w:t>
      </w:r>
      <w:r>
        <w:t xml:space="preserve"> </w:t>
      </w:r>
    </w:p>
    <w:p w:rsidR="00AE537D" w:rsidRPr="00211E06" w:rsidRDefault="00AE537D" w:rsidP="00AE537D">
      <w:r w:rsidRPr="00211E06">
        <w:t>This reflects the fact that investors with links to foreign governments may not operate solely in accordance with normal commercial considerations and may instead pursue broader political or strategic objectives that could be contrary to Australia’s national interest.</w:t>
      </w:r>
      <w:r>
        <w:t xml:space="preserve"> </w:t>
      </w:r>
    </w:p>
    <w:p w:rsidR="00AE537D" w:rsidRPr="00211E06" w:rsidRDefault="00AE537D" w:rsidP="00AE537D">
      <w:r w:rsidRPr="00211E06">
        <w:t xml:space="preserve">The Government is obliged under the </w:t>
      </w:r>
      <w:r w:rsidRPr="004A024F">
        <w:rPr>
          <w:i/>
        </w:rPr>
        <w:t>Foreign Acquisitions and Takeovers Act 1975</w:t>
      </w:r>
      <w:r w:rsidRPr="00211E06">
        <w:t xml:space="preserve"> to </w:t>
      </w:r>
      <w:r w:rsidRPr="000F6CDE">
        <w:t xml:space="preserve">determine whether proposed foreign acquisitions are </w:t>
      </w:r>
      <w:r w:rsidR="004A024F" w:rsidRPr="000F6CDE">
        <w:t>contrary to</w:t>
      </w:r>
      <w:r w:rsidRPr="000F6CDE">
        <w:t xml:space="preserve"> Australia’s national</w:t>
      </w:r>
      <w:r w:rsidRPr="00211E06">
        <w:t xml:space="preserve"> interest.</w:t>
      </w:r>
      <w:r>
        <w:t xml:space="preserve"> </w:t>
      </w:r>
      <w:r w:rsidRPr="00211E06">
        <w:t>In examining proposed investments by foreign governments and their agencies, the Australian Government will typically have regard to the following six issues.</w:t>
      </w:r>
      <w:r>
        <w:t xml:space="preserve"> </w:t>
      </w:r>
    </w:p>
    <w:p w:rsidR="00AE537D" w:rsidRPr="00211E06" w:rsidRDefault="00AE537D" w:rsidP="00694137">
      <w:pPr>
        <w:pStyle w:val="AppendixAHeading3"/>
      </w:pPr>
      <w:r w:rsidRPr="00211E06">
        <w:t>An investor’s operations are independent from the relevant foreign government.</w:t>
      </w:r>
      <w:r>
        <w:t xml:space="preserve"> </w:t>
      </w:r>
    </w:p>
    <w:p w:rsidR="00AE537D" w:rsidRPr="00211E06" w:rsidRDefault="00AE537D" w:rsidP="00694137">
      <w:pPr>
        <w:pStyle w:val="NormalIndent"/>
      </w:pPr>
      <w:r w:rsidRPr="00211E06">
        <w:t>In considering issues relating to independence, the Government will focus on the extent to which the prospective foreign investor operates at arm’s length from the relevant government.</w:t>
      </w:r>
      <w:r>
        <w:t xml:space="preserve"> </w:t>
      </w:r>
    </w:p>
    <w:p w:rsidR="00AE537D" w:rsidRPr="00211E06" w:rsidRDefault="00AE537D" w:rsidP="00694137">
      <w:pPr>
        <w:pStyle w:val="NormalIndent"/>
      </w:pPr>
      <w:r w:rsidRPr="00211E06">
        <w:t>It also considers whether the prospective investor’s governance arrangements could facilitate actual or potential control by a foreign government (including through the investor’s funding arrangements).</w:t>
      </w:r>
      <w:r>
        <w:t xml:space="preserve"> </w:t>
      </w:r>
    </w:p>
    <w:p w:rsidR="00AE537D" w:rsidRPr="00211E06" w:rsidRDefault="00AE537D" w:rsidP="00694137">
      <w:pPr>
        <w:pStyle w:val="NormalIndent"/>
      </w:pPr>
      <w:r w:rsidRPr="00211E06">
        <w:t>Where the investor has been partly privatised, the Government would consider the size and composition of any non</w:t>
      </w:r>
      <w:r w:rsidR="00B624B7">
        <w:noBreakHyphen/>
      </w:r>
      <w:r w:rsidRPr="00211E06">
        <w:t>government interests, including any restrictions on governance rights.</w:t>
      </w:r>
      <w:r>
        <w:t xml:space="preserve"> </w:t>
      </w:r>
    </w:p>
    <w:p w:rsidR="00AE537D" w:rsidRPr="00211E06" w:rsidRDefault="00AE537D" w:rsidP="00694137">
      <w:pPr>
        <w:pStyle w:val="AppendixAHeading3"/>
      </w:pPr>
      <w:r w:rsidRPr="00211E06">
        <w:t>An investor is subject to and adheres to the law and observes common standards of business behaviour.</w:t>
      </w:r>
      <w:r>
        <w:t xml:space="preserve"> </w:t>
      </w:r>
    </w:p>
    <w:p w:rsidR="00AE537D" w:rsidRPr="00211E06" w:rsidRDefault="00AE537D" w:rsidP="00694137">
      <w:pPr>
        <w:pStyle w:val="NormalIndent"/>
      </w:pPr>
      <w:r w:rsidRPr="00211E06">
        <w:t>To this end, the Government considers the extent to which the investor has clear commercial objectives and has been subject to adequate and transparent regulation and supervision in other jurisdictions.</w:t>
      </w:r>
      <w:r>
        <w:t xml:space="preserve"> </w:t>
      </w:r>
    </w:p>
    <w:p w:rsidR="00AE537D" w:rsidRPr="00211E06" w:rsidRDefault="00AE537D" w:rsidP="00694137">
      <w:pPr>
        <w:pStyle w:val="NormalIndent"/>
      </w:pPr>
      <w:r w:rsidRPr="00211E06">
        <w:t>The Government will examine the corporate governance practices of foreign government investors.</w:t>
      </w:r>
      <w:r>
        <w:t xml:space="preserve"> </w:t>
      </w:r>
      <w:r w:rsidRPr="00211E06">
        <w:t xml:space="preserve">In the case of an SWF, the Government would also </w:t>
      </w:r>
      <w:r w:rsidRPr="00211E06">
        <w:lastRenderedPageBreak/>
        <w:t>consider the fund’s investment policy and how it proposes to exercise voting power in relation to Australian companies.</w:t>
      </w:r>
      <w:r>
        <w:t xml:space="preserve"> </w:t>
      </w:r>
    </w:p>
    <w:p w:rsidR="00AE537D" w:rsidRPr="00211E06" w:rsidRDefault="00AE537D" w:rsidP="00694137">
      <w:pPr>
        <w:pStyle w:val="NormalIndent"/>
      </w:pPr>
      <w:r w:rsidRPr="00211E06">
        <w:t>Proposals by foreign government owned or controlled investors that operate on a transparent and commercial basis are less likely to raise additional national interest concerns than proposals from those that do not.</w:t>
      </w:r>
      <w:r>
        <w:t xml:space="preserve"> </w:t>
      </w:r>
    </w:p>
    <w:p w:rsidR="00AE537D" w:rsidRPr="00211E06" w:rsidRDefault="00AE537D" w:rsidP="00694137">
      <w:pPr>
        <w:pStyle w:val="AppendixAHeading3"/>
      </w:pPr>
      <w:r w:rsidRPr="00211E06">
        <w:t>An investment may hinder competition or lead to undue concentration or control in the industry or sectors concerned.</w:t>
      </w:r>
      <w:r>
        <w:t xml:space="preserve"> </w:t>
      </w:r>
    </w:p>
    <w:p w:rsidR="00AE537D" w:rsidRPr="00211E06" w:rsidRDefault="00AE537D" w:rsidP="00694137">
      <w:pPr>
        <w:pStyle w:val="NormalIndent"/>
      </w:pPr>
      <w:r w:rsidRPr="00211E06">
        <w:t>These issues are also examined by the Australian Competition and Consumer Commission in accordance with Australia’s competition policy regime.</w:t>
      </w:r>
      <w:r>
        <w:t xml:space="preserve"> </w:t>
      </w:r>
    </w:p>
    <w:p w:rsidR="00AE537D" w:rsidRPr="00211E06" w:rsidRDefault="00AE537D" w:rsidP="00694137">
      <w:pPr>
        <w:pStyle w:val="AppendixAHeading3"/>
      </w:pPr>
      <w:r w:rsidRPr="00211E06">
        <w:t>An investment may impact on Australian Government revenue or other policies.</w:t>
      </w:r>
      <w:r>
        <w:t xml:space="preserve"> </w:t>
      </w:r>
    </w:p>
    <w:p w:rsidR="00AE537D" w:rsidRPr="00211E06" w:rsidRDefault="00AE537D" w:rsidP="00694137">
      <w:pPr>
        <w:pStyle w:val="NormalIndent"/>
      </w:pPr>
      <w:r w:rsidRPr="00211E06">
        <w:t>For example, investments by foreign government entities must be taxed on the same basis as operations by other commercial entities.</w:t>
      </w:r>
      <w:r>
        <w:t xml:space="preserve"> </w:t>
      </w:r>
      <w:r w:rsidRPr="00211E06">
        <w:t>They must also be consistent with the Government’s objectives in relation to matters such as the environment.</w:t>
      </w:r>
      <w:r>
        <w:t xml:space="preserve"> </w:t>
      </w:r>
    </w:p>
    <w:p w:rsidR="00AE537D" w:rsidRPr="00211E06" w:rsidRDefault="00AE537D" w:rsidP="00694137">
      <w:pPr>
        <w:pStyle w:val="AppendixAHeading3"/>
      </w:pPr>
      <w:r w:rsidRPr="00211E06">
        <w:t>An investment may impact on Australia’s national security.</w:t>
      </w:r>
      <w:r>
        <w:t xml:space="preserve"> </w:t>
      </w:r>
    </w:p>
    <w:p w:rsidR="00AE537D" w:rsidRPr="00211E06" w:rsidRDefault="00AE537D" w:rsidP="00694137">
      <w:pPr>
        <w:pStyle w:val="NormalIndent"/>
      </w:pPr>
      <w:r w:rsidRPr="00211E06">
        <w:t>The Government would consider the extent to which investments might affect Australia’s ability to protect its strategic and security interests.</w:t>
      </w:r>
      <w:r>
        <w:t xml:space="preserve"> </w:t>
      </w:r>
    </w:p>
    <w:p w:rsidR="00AE537D" w:rsidRPr="00211E06" w:rsidRDefault="00AE537D" w:rsidP="00694137">
      <w:pPr>
        <w:pStyle w:val="AppendixAHeading3"/>
      </w:pPr>
      <w:r w:rsidRPr="00211E06">
        <w:t>An investment may impact on the operations and directions of an Australian business, as well as its contribution to the Australian economy and broader community.</w:t>
      </w:r>
      <w:r>
        <w:t xml:space="preserve"> </w:t>
      </w:r>
    </w:p>
    <w:p w:rsidR="00AE537D" w:rsidRPr="00211E06" w:rsidRDefault="00AE537D" w:rsidP="00694137">
      <w:pPr>
        <w:pStyle w:val="NormalIndent"/>
      </w:pPr>
      <w:r w:rsidRPr="00211E06">
        <w:t>The Government would consider any plans by an acquiring entity to restructure an Australian business following its acquisition.</w:t>
      </w:r>
      <w:r>
        <w:t xml:space="preserve"> </w:t>
      </w:r>
      <w:r w:rsidRPr="00211E06">
        <w:t>Key interests would include impacts on imports, exports, local processing of materials, research and development and industrial relations.</w:t>
      </w:r>
      <w:r>
        <w:t xml:space="preserve"> </w:t>
      </w:r>
    </w:p>
    <w:p w:rsidR="00AE537D" w:rsidRPr="00211E06" w:rsidRDefault="00AE537D" w:rsidP="00694137">
      <w:pPr>
        <w:pStyle w:val="NormalIndent"/>
      </w:pPr>
      <w:r w:rsidRPr="00211E06">
        <w:t>The Government would also consider the extent of Australian participation in ownership, control and management of an enterprise that would remain after a foreign investment, including the interests of employees, creditors and other stakeholders.</w:t>
      </w:r>
      <w:r>
        <w:t xml:space="preserve"> </w:t>
      </w:r>
    </w:p>
    <w:p w:rsidR="00AE537D" w:rsidRDefault="00AE537D" w:rsidP="00694137">
      <w:pPr>
        <w:pStyle w:val="Heading9noTOC"/>
      </w:pPr>
      <w:r>
        <w:br w:type="page"/>
      </w:r>
      <w:bookmarkStart w:id="10" w:name="OLE_LINK9"/>
      <w:bookmarkEnd w:id="10"/>
      <w:r w:rsidRPr="00E46419">
        <w:lastRenderedPageBreak/>
        <w:t>Attachment B</w:t>
      </w:r>
    </w:p>
    <w:p w:rsidR="00AE537D" w:rsidRPr="00356837" w:rsidRDefault="00AE537D" w:rsidP="00694137">
      <w:pPr>
        <w:pStyle w:val="Heading2noTOC"/>
      </w:pPr>
      <w:bookmarkStart w:id="11" w:name="_Rural_Land"/>
      <w:bookmarkEnd w:id="11"/>
      <w:r w:rsidRPr="00356837">
        <w:t xml:space="preserve">Rural </w:t>
      </w:r>
      <w:r w:rsidR="00980C12">
        <w:t>l</w:t>
      </w:r>
      <w:r w:rsidRPr="00356837">
        <w:t>and</w:t>
      </w:r>
    </w:p>
    <w:p w:rsidR="00AE537D" w:rsidRPr="00356837" w:rsidRDefault="00070B88" w:rsidP="00694137">
      <w:r>
        <w:t>Rural l</w:t>
      </w:r>
      <w:r w:rsidR="00AE537D" w:rsidRPr="00356837">
        <w:t>and is land that is used wholly and exclusively for carrying on a substantial business of primary production.</w:t>
      </w:r>
      <w:r w:rsidR="00AE537D">
        <w:t xml:space="preserve"> </w:t>
      </w:r>
      <w:r w:rsidR="00AE537D" w:rsidRPr="00356837">
        <w:t xml:space="preserve">The definition of primary production is taken from the </w:t>
      </w:r>
      <w:r w:rsidR="00AE537D" w:rsidRPr="00356837">
        <w:rPr>
          <w:i/>
        </w:rPr>
        <w:t>Income Tax Assessment Act 1997</w:t>
      </w:r>
      <w:r w:rsidR="00AE537D" w:rsidRPr="00356837">
        <w:t xml:space="preserve"> and refers to production resulting directly from the cultivation of land; animal husbandry/farming; horticulture; fishing; forestry; viticulture or dairy farming.</w:t>
      </w:r>
      <w:r w:rsidR="00AE537D">
        <w:t xml:space="preserve"> </w:t>
      </w:r>
      <w:r w:rsidR="00AE537D" w:rsidRPr="00356837">
        <w:t>Primary production for the purpose of the rural land definition does not include vacant land (even if zoned ‘rural’), hobby farms, ‘rural residential’ blocks or land used for stock agistment or mining.</w:t>
      </w:r>
      <w:r w:rsidR="00AE537D">
        <w:t xml:space="preserve"> </w:t>
      </w:r>
    </w:p>
    <w:p w:rsidR="00AE537D" w:rsidRPr="00356837" w:rsidRDefault="00AE537D" w:rsidP="00694137">
      <w:r w:rsidRPr="00356837">
        <w:t>To constitute a business of primary production, it must be substantial and have a commercial purpose or character and not merely be carried on as a hobby or for recreation purposes.</w:t>
      </w:r>
      <w:r>
        <w:t xml:space="preserve"> </w:t>
      </w:r>
      <w:r w:rsidRPr="00356837">
        <w:t>A number of factors are considered in determining a business’ commercial purpose or character, including:</w:t>
      </w:r>
      <w:r>
        <w:t xml:space="preserve"> </w:t>
      </w:r>
    </w:p>
    <w:p w:rsidR="00AE537D" w:rsidRDefault="00AE537D" w:rsidP="00694137">
      <w:pPr>
        <w:pStyle w:val="Bullet"/>
      </w:pPr>
      <w:r>
        <w:t xml:space="preserve">operating as a significant commercial activity, and not a recreation or hobby; </w:t>
      </w:r>
    </w:p>
    <w:p w:rsidR="00AE537D" w:rsidRDefault="00AE537D" w:rsidP="00694137">
      <w:pPr>
        <w:pStyle w:val="Bullet"/>
      </w:pPr>
      <w:r>
        <w:t xml:space="preserve">the intention of the business is to make a profit from the activity; </w:t>
      </w:r>
    </w:p>
    <w:p w:rsidR="00AE537D" w:rsidRDefault="00AE537D" w:rsidP="00694137">
      <w:pPr>
        <w:pStyle w:val="Bullet"/>
      </w:pPr>
      <w:r>
        <w:t xml:space="preserve">repetition and regularity of activity; </w:t>
      </w:r>
    </w:p>
    <w:p w:rsidR="00AE537D" w:rsidRDefault="00AE537D" w:rsidP="00694137">
      <w:pPr>
        <w:pStyle w:val="Bullet"/>
      </w:pPr>
      <w:r>
        <w:t xml:space="preserve">activity organised and carried on in a businesslike manner with associated business records and reports; </w:t>
      </w:r>
    </w:p>
    <w:p w:rsidR="00AE537D" w:rsidRDefault="00AE537D" w:rsidP="00694137">
      <w:pPr>
        <w:pStyle w:val="Bullet"/>
      </w:pPr>
      <w:r>
        <w:t>reasonably large scale operation; and</w:t>
      </w:r>
    </w:p>
    <w:p w:rsidR="00AE537D" w:rsidRDefault="00AE537D" w:rsidP="00694137">
      <w:pPr>
        <w:pStyle w:val="Bullet"/>
      </w:pPr>
      <w:r>
        <w:t xml:space="preserve">commercial scale of sales of product. </w:t>
      </w:r>
    </w:p>
    <w:p w:rsidR="00AE537D" w:rsidRPr="00356837" w:rsidRDefault="00AE537D" w:rsidP="00694137">
      <w:r w:rsidRPr="00356837">
        <w:t>A primary production business should also meet the following criteria:</w:t>
      </w:r>
      <w:r>
        <w:t xml:space="preserve"> </w:t>
      </w:r>
    </w:p>
    <w:p w:rsidR="00AE537D" w:rsidRDefault="00AE537D" w:rsidP="00694137">
      <w:pPr>
        <w:pStyle w:val="Bullet"/>
      </w:pPr>
      <w:r>
        <w:t>the value of the business’ Australian urban land should be less than 50 per cent of its total assets; and</w:t>
      </w:r>
    </w:p>
    <w:p w:rsidR="00AE537D" w:rsidRDefault="00AE537D" w:rsidP="00694137">
      <w:pPr>
        <w:pStyle w:val="Bullet"/>
      </w:pPr>
      <w:r>
        <w:t xml:space="preserve">the land on which the business is being conducted should be zoned rural and not residential. </w:t>
      </w:r>
    </w:p>
    <w:p w:rsidR="00AE537D" w:rsidRPr="00356837" w:rsidRDefault="00AE537D" w:rsidP="00694137">
      <w:r w:rsidRPr="00356837">
        <w:t>The acquisition of an interest in a primary production business where the total assets of the business do not exceed $100 million, or $953 million for US investors, is exempt from the need for foreign investment approval</w:t>
      </w:r>
      <w:r>
        <w:t xml:space="preserve"> (that is, the same monetary thresholds that apply to other acquisitions of Australian companies or business assets)</w:t>
      </w:r>
      <w:r w:rsidRPr="00356837">
        <w:t>.</w:t>
      </w:r>
    </w:p>
    <w:p w:rsidR="00AE537D" w:rsidRPr="002C3F71" w:rsidRDefault="00AE537D" w:rsidP="00694137">
      <w:pPr>
        <w:pStyle w:val="Heading9noTOC"/>
      </w:pPr>
      <w:r>
        <w:br w:type="page"/>
      </w:r>
      <w:bookmarkStart w:id="12" w:name="OLE_LINK10"/>
      <w:bookmarkEnd w:id="12"/>
      <w:r w:rsidRPr="00E46419">
        <w:lastRenderedPageBreak/>
        <w:t>Attachment C</w:t>
      </w:r>
    </w:p>
    <w:p w:rsidR="00AE537D" w:rsidRPr="002C3F71" w:rsidRDefault="00AE537D" w:rsidP="00694137">
      <w:pPr>
        <w:pStyle w:val="Heading2noTOC"/>
      </w:pPr>
      <w:bookmarkStart w:id="13" w:name="_Prescribed_Sensitive_Sectors"/>
      <w:bookmarkEnd w:id="13"/>
      <w:r w:rsidRPr="002C3F71">
        <w:t xml:space="preserve">Prescribed </w:t>
      </w:r>
      <w:r w:rsidR="00980C12">
        <w:t>s</w:t>
      </w:r>
      <w:r w:rsidRPr="002C3F71">
        <w:t xml:space="preserve">ensitive </w:t>
      </w:r>
      <w:r w:rsidR="00980C12">
        <w:t>s</w:t>
      </w:r>
      <w:r w:rsidRPr="002C3F71">
        <w:t>ectors under the Australia</w:t>
      </w:r>
      <w:r w:rsidR="00B624B7">
        <w:noBreakHyphen/>
      </w:r>
      <w:r w:rsidRPr="002C3F71">
        <w:t>United States Free Trade Agreement (AUSFTA)</w:t>
      </w:r>
    </w:p>
    <w:p w:rsidR="00AE537D" w:rsidRPr="002C3F71" w:rsidRDefault="00AE537D" w:rsidP="00694137">
      <w:r w:rsidRPr="002C3F71">
        <w:t>For US investors subject to the AUSFTA, the prescribed sensitive sectors are:</w:t>
      </w:r>
    </w:p>
    <w:p w:rsidR="00AE537D" w:rsidRPr="002C3F71" w:rsidRDefault="00AE537D" w:rsidP="00694137">
      <w:pPr>
        <w:pStyle w:val="Bullet"/>
      </w:pPr>
      <w:r w:rsidRPr="002C3F71">
        <w:t>media;</w:t>
      </w:r>
    </w:p>
    <w:p w:rsidR="00AE537D" w:rsidRPr="002C3F71" w:rsidRDefault="00AE537D" w:rsidP="00694137">
      <w:pPr>
        <w:pStyle w:val="Bullet"/>
      </w:pPr>
      <w:r w:rsidRPr="002C3F71">
        <w:t>telecommunications;</w:t>
      </w:r>
    </w:p>
    <w:p w:rsidR="00AE537D" w:rsidRPr="002C3F71" w:rsidRDefault="00AE537D" w:rsidP="00694137">
      <w:pPr>
        <w:pStyle w:val="Bullet"/>
      </w:pPr>
      <w:r w:rsidRPr="002C3F71">
        <w:t>transport (including airports, port facilities, rail infrastructure, international and domestic aviation and shipping services provided within, or to and from, Australia);</w:t>
      </w:r>
    </w:p>
    <w:p w:rsidR="00AE537D" w:rsidRPr="002C3F71" w:rsidRDefault="00AE537D" w:rsidP="00694137">
      <w:pPr>
        <w:pStyle w:val="Bullet"/>
      </w:pPr>
      <w:r w:rsidRPr="002C3F71">
        <w:t>the supply of training or human resources, or the manufacture or supply of military goods or equipment or technology, to the Australian Defence Force or other defence forces;</w:t>
      </w:r>
    </w:p>
    <w:p w:rsidR="00AE537D" w:rsidRPr="002C3F71" w:rsidRDefault="00AE537D" w:rsidP="00694137">
      <w:pPr>
        <w:pStyle w:val="Bullet"/>
      </w:pPr>
      <w:r w:rsidRPr="002C3F71">
        <w:t>the manufacture or supply of goods, equipment or technology able to be used for a military purpose;</w:t>
      </w:r>
    </w:p>
    <w:p w:rsidR="00AE537D" w:rsidRPr="002C3F71" w:rsidRDefault="00AE537D" w:rsidP="00694137">
      <w:pPr>
        <w:pStyle w:val="Bullet"/>
      </w:pPr>
      <w:r w:rsidRPr="002C3F71">
        <w:t>the development, manufacture or supply of, or the provision of services relating to, encryption and security technologies and communications systems; and</w:t>
      </w:r>
    </w:p>
    <w:p w:rsidR="00AE537D" w:rsidRPr="002C3F71" w:rsidRDefault="00AE537D" w:rsidP="00694137">
      <w:pPr>
        <w:pStyle w:val="Bullet"/>
      </w:pPr>
      <w:r w:rsidRPr="002C3F71">
        <w:t>the extraction of (or the holding of rights to extract) uranium or plutonium or the operation of nuclear facilities.</w:t>
      </w:r>
    </w:p>
    <w:p w:rsidR="00AE537D" w:rsidRPr="00CB5A2F" w:rsidRDefault="00AE537D" w:rsidP="00694137">
      <w:r w:rsidRPr="002C3F71">
        <w:t>Acquisitions in these sectors are subject to different thresholds under the FATA.</w:t>
      </w:r>
    </w:p>
    <w:p w:rsidR="00AE537D" w:rsidRPr="002C3F71" w:rsidRDefault="00AE537D" w:rsidP="00694137">
      <w:pPr>
        <w:pStyle w:val="Heading9noTOC"/>
      </w:pPr>
      <w:r>
        <w:br w:type="page"/>
      </w:r>
      <w:bookmarkStart w:id="14" w:name="OLE_LINK11"/>
      <w:bookmarkEnd w:id="14"/>
      <w:r w:rsidRPr="00E46419">
        <w:lastRenderedPageBreak/>
        <w:t>Attachment D</w:t>
      </w:r>
    </w:p>
    <w:p w:rsidR="00AE537D" w:rsidRPr="002C3F71" w:rsidRDefault="00AE537D" w:rsidP="00694137">
      <w:pPr>
        <w:pStyle w:val="Heading2noTOC"/>
      </w:pPr>
      <w:bookmarkStart w:id="15" w:name="_Definitions"/>
      <w:bookmarkEnd w:id="15"/>
      <w:r>
        <w:t>Definitions</w:t>
      </w:r>
    </w:p>
    <w:p w:rsidR="00AE537D" w:rsidRPr="002C3F71" w:rsidRDefault="00AE537D" w:rsidP="00694137">
      <w:pPr>
        <w:pStyle w:val="Bullet"/>
      </w:pPr>
      <w:r w:rsidRPr="005B0BD8">
        <w:t xml:space="preserve">Under the FATA, a person is </w:t>
      </w:r>
      <w:r w:rsidRPr="005B0BD8">
        <w:rPr>
          <w:b/>
        </w:rPr>
        <w:t>ordinarily resident</w:t>
      </w:r>
      <w:r w:rsidRPr="005B0BD8">
        <w:t xml:space="preserve"> if:</w:t>
      </w:r>
    </w:p>
    <w:p w:rsidR="00AE537D" w:rsidRPr="002C3F71" w:rsidRDefault="00AE537D" w:rsidP="00694137">
      <w:pPr>
        <w:pStyle w:val="Dash"/>
      </w:pPr>
      <w:r w:rsidRPr="005B0BD8">
        <w:t>their continued presence in Australia is not subject to any limitation as to time imposed by law (</w:t>
      </w:r>
      <w:r>
        <w:t>that is,</w:t>
      </w:r>
      <w:r w:rsidRPr="005B0BD8">
        <w:t xml:space="preserve"> they are permitted to stay in Australia indefinitely, such as NZ citizens and permanent residents); and</w:t>
      </w:r>
      <w:r>
        <w:t xml:space="preserve"> </w:t>
      </w:r>
    </w:p>
    <w:p w:rsidR="00AE537D" w:rsidRPr="002C3F71" w:rsidRDefault="00AE537D" w:rsidP="00694137">
      <w:pPr>
        <w:pStyle w:val="Dash"/>
      </w:pPr>
      <w:r>
        <w:t>the person has actually been in Australia during 200 or more days in the previous 12 months.</w:t>
      </w:r>
    </w:p>
    <w:p w:rsidR="00AE537D" w:rsidRPr="006C7E5D" w:rsidRDefault="00AE537D" w:rsidP="00694137">
      <w:pPr>
        <w:pStyle w:val="Bullet"/>
      </w:pPr>
      <w:r w:rsidRPr="006C7E5D">
        <w:rPr>
          <w:b/>
        </w:rPr>
        <w:t>Spouse</w:t>
      </w:r>
      <w:r w:rsidRPr="006C7E5D">
        <w:t xml:space="preserve"> includes de facto partner (whether of the same sex or a different sex)</w:t>
      </w:r>
      <w:r w:rsidR="00B624B7">
        <w:t xml:space="preserve"> — </w:t>
      </w:r>
      <w:r w:rsidRPr="006C7E5D">
        <w:t>that is, although they may not be legally married, they have a relationship as a couple and live together on a genuine domestic basis (s</w:t>
      </w:r>
      <w:r>
        <w:t xml:space="preserve">ections </w:t>
      </w:r>
      <w:r w:rsidRPr="006C7E5D">
        <w:t xml:space="preserve">22A </w:t>
      </w:r>
      <w:r>
        <w:t>and</w:t>
      </w:r>
      <w:r w:rsidRPr="006C7E5D">
        <w:t xml:space="preserve"> 22B of the </w:t>
      </w:r>
      <w:r w:rsidRPr="006C7E5D">
        <w:rPr>
          <w:i/>
        </w:rPr>
        <w:t>Acts Interpretation Act 1901</w:t>
      </w:r>
      <w:r w:rsidRPr="006C7E5D">
        <w:t>).</w:t>
      </w:r>
    </w:p>
    <w:p w:rsidR="00AE537D" w:rsidRDefault="00AE537D" w:rsidP="00694137">
      <w:pPr>
        <w:pStyle w:val="Bullet"/>
      </w:pPr>
      <w:r w:rsidRPr="001531D1">
        <w:t xml:space="preserve">A </w:t>
      </w:r>
      <w:r w:rsidRPr="001531D1">
        <w:rPr>
          <w:b/>
        </w:rPr>
        <w:t>substantial interest</w:t>
      </w:r>
      <w:r w:rsidRPr="001531D1">
        <w:t xml:space="preserve"> occurs when a single foreigner (and any associates</w:t>
      </w:r>
      <w:r>
        <w:t>)</w:t>
      </w:r>
      <w:r>
        <w:rPr>
          <w:rStyle w:val="FootnoteReference"/>
        </w:rPr>
        <w:footnoteReference w:id="16"/>
      </w:r>
      <w:r w:rsidRPr="001531D1">
        <w:t xml:space="preserve"> has 15 per cent or more of the ownership or several foreigners (and any associates) have 40 per cent or more in </w:t>
      </w:r>
      <w:r w:rsidRPr="001531D1">
        <w:rPr>
          <w:b/>
        </w:rPr>
        <w:t>aggregate</w:t>
      </w:r>
      <w:r w:rsidRPr="001531D1">
        <w:t xml:space="preserve"> of the ownership of a corporation, business or trust.</w:t>
      </w:r>
    </w:p>
    <w:p w:rsidR="00AE537D" w:rsidRDefault="00AE537D" w:rsidP="00694137">
      <w:pPr>
        <w:pStyle w:val="Bullet"/>
      </w:pPr>
      <w:r>
        <w:t xml:space="preserve">A person is a </w:t>
      </w:r>
      <w:r w:rsidRPr="001531D1">
        <w:rPr>
          <w:b/>
        </w:rPr>
        <w:t>temporary resident</w:t>
      </w:r>
      <w:r>
        <w:t xml:space="preserve"> if they are living in Australia and:</w:t>
      </w:r>
    </w:p>
    <w:p w:rsidR="00AE537D" w:rsidRPr="001531D1" w:rsidRDefault="00AE537D" w:rsidP="00694137">
      <w:pPr>
        <w:pStyle w:val="Dash"/>
      </w:pPr>
      <w:r>
        <w:t>they hold a temporary (that is, non</w:t>
      </w:r>
      <w:r w:rsidR="00B624B7">
        <w:noBreakHyphen/>
      </w:r>
      <w:r>
        <w:t xml:space="preserve">permanent) visa which permits them to stay in Australia for a continuous period of more than 12 months; or </w:t>
      </w:r>
    </w:p>
    <w:p w:rsidR="00AE537D" w:rsidRDefault="00AE537D" w:rsidP="00694137">
      <w:pPr>
        <w:pStyle w:val="Dash"/>
      </w:pPr>
      <w:r>
        <w:t>they have submitted an application for permanent residency, and they hold a bridging visa which permits them to stay in Australia until that application has been finalised.</w:t>
      </w:r>
    </w:p>
    <w:p w:rsidR="00AE537D" w:rsidRPr="00E46419" w:rsidRDefault="00AE537D" w:rsidP="00694137">
      <w:pPr>
        <w:pStyle w:val="Bullet"/>
      </w:pPr>
      <w:r w:rsidRPr="00E46419">
        <w:t xml:space="preserve">An </w:t>
      </w:r>
      <w:r w:rsidRPr="00E46419">
        <w:rPr>
          <w:b/>
        </w:rPr>
        <w:t>Australian urban land corporation or trust</w:t>
      </w:r>
      <w:r w:rsidRPr="00E46419">
        <w:t xml:space="preserve"> is a corporation or trust whose assets consist primarily Australian urban land</w:t>
      </w:r>
      <w:r w:rsidR="00B624B7">
        <w:t xml:space="preserve"> — </w:t>
      </w:r>
      <w:r w:rsidRPr="00E46419">
        <w:t>that is, the value of its eligible land assets exceeds 50 per cent of the value of its total assets (see sections 13C and 13D of the FATA).</w:t>
      </w:r>
    </w:p>
    <w:p w:rsidR="00AE537D" w:rsidRPr="001531D1" w:rsidRDefault="00AE537D" w:rsidP="00694137">
      <w:pPr>
        <w:pStyle w:val="Bullet"/>
      </w:pPr>
      <w:r w:rsidRPr="001531D1">
        <w:t xml:space="preserve">A </w:t>
      </w:r>
      <w:r w:rsidRPr="001531D1">
        <w:rPr>
          <w:b/>
        </w:rPr>
        <w:t>‘US investor’</w:t>
      </w:r>
      <w:r w:rsidRPr="001531D1">
        <w:t xml:space="preserve"> is a national or permanent resident of the United States of America; a US enterprise; or a branch of an entity located in the United States of America and carrying on business activities there.</w:t>
      </w:r>
      <w:r w:rsidRPr="001531D1">
        <w:rPr>
          <w:rStyle w:val="FootnoteReference"/>
        </w:rPr>
        <w:t xml:space="preserve"> </w:t>
      </w:r>
    </w:p>
    <w:p w:rsidR="00AE537D" w:rsidRPr="002C3F71" w:rsidRDefault="00AE537D" w:rsidP="00694137">
      <w:pPr>
        <w:pStyle w:val="Dash"/>
      </w:pPr>
      <w:r w:rsidRPr="00A12564">
        <w:t xml:space="preserve">A </w:t>
      </w:r>
      <w:r w:rsidRPr="00A12564">
        <w:rPr>
          <w:b/>
        </w:rPr>
        <w:t>US enterprise</w:t>
      </w:r>
      <w:r w:rsidRPr="00A12564">
        <w:t xml:space="preserve"> is an entity constituted or organised under a law of the United States</w:t>
      </w:r>
      <w:r w:rsidRPr="005B4DBA">
        <w:t xml:space="preserve"> </w:t>
      </w:r>
      <w:r w:rsidRPr="001531D1">
        <w:t>of America</w:t>
      </w:r>
      <w:r w:rsidRPr="00A12564">
        <w:t xml:space="preserve">. The form in which the entity may be constituted or organised </w:t>
      </w:r>
      <w:r w:rsidRPr="00A12564">
        <w:lastRenderedPageBreak/>
        <w:t xml:space="preserve">may be, but is not limited to a corporation, a trust, a partnership, a sole proprietorship, </w:t>
      </w:r>
      <w:r>
        <w:t>or</w:t>
      </w:r>
      <w:r w:rsidRPr="00A12564">
        <w:t xml:space="preserve"> a joint venture.</w:t>
      </w:r>
      <w:r w:rsidRPr="005B0BD8">
        <w:t xml:space="preserve"> </w:t>
      </w:r>
    </w:p>
    <w:p w:rsidR="00AE537D" w:rsidRPr="00AB709A" w:rsidRDefault="00AE537D" w:rsidP="00694137">
      <w:pPr>
        <w:pStyle w:val="Dash"/>
      </w:pPr>
      <w:r w:rsidRPr="00A12564">
        <w:t xml:space="preserve">A </w:t>
      </w:r>
      <w:r w:rsidRPr="00A12564">
        <w:rPr>
          <w:b/>
        </w:rPr>
        <w:t>branch</w:t>
      </w:r>
      <w:r w:rsidRPr="00A12564">
        <w:t xml:space="preserve"> may be ‘carrying on business activities in the United States of America’ where it is doing so in a way other than being solely a representative office; and in a way other than being engaged solely in agency activities, including the sale of goods or services that cannot reasonably be regarded as undertaken in the United States of America; and by having its administration in the United States of America.</w:t>
      </w:r>
    </w:p>
    <w:sectPr w:rsidR="00AE537D" w:rsidRPr="00AB709A" w:rsidSect="00681F68">
      <w:headerReference w:type="default" r:id="rId22"/>
      <w:footerReference w:type="first" r:id="rId23"/>
      <w:pgSz w:w="11906" w:h="16838" w:code="9"/>
      <w:pgMar w:top="2466" w:right="2098" w:bottom="2466" w:left="2098" w:header="1899" w:footer="189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BD" w:rsidRDefault="00B461BD">
      <w:r>
        <w:separator/>
      </w:r>
    </w:p>
  </w:endnote>
  <w:endnote w:type="continuationSeparator" w:id="0">
    <w:p w:rsidR="00B461BD" w:rsidRDefault="00B4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Default="00B461BD">
    <w:pPr>
      <w:pStyle w:val="FooterEven"/>
    </w:pPr>
    <w:r>
      <w:fldChar w:fldCharType="begin"/>
    </w:r>
    <w:r>
      <w:instrText xml:space="preserve"> PAGE </w:instrText>
    </w:r>
    <w:r>
      <w:fldChar w:fldCharType="separate"/>
    </w:r>
    <w:r w:rsidR="004D4A7F">
      <w:rPr>
        <w:noProof/>
      </w:rPr>
      <w:t>90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Default="00B461BD">
    <w:pPr>
      <w:pStyle w:val="FooterOdd"/>
    </w:pPr>
    <w:r>
      <w:fldChar w:fldCharType="begin"/>
    </w:r>
    <w:r>
      <w:instrText xml:space="preserve"> PAGE </w:instrText>
    </w:r>
    <w:r>
      <w:fldChar w:fldCharType="separate"/>
    </w:r>
    <w:r w:rsidR="004D4A7F">
      <w:rPr>
        <w:noProof/>
      </w:rPr>
      <w:t>89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Default="00B461BD">
    <w:pPr>
      <w:pStyle w:val="FooterOd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Pr="008D701F" w:rsidRDefault="00B461BD" w:rsidP="008D701F">
    <w:pPr>
      <w:pStyle w:val="FooterOdd"/>
    </w:pPr>
    <w:r w:rsidRPr="008D701F">
      <w:rPr>
        <w:rStyle w:val="PageNumber"/>
        <w:rFonts w:ascii="Arial" w:hAnsi="Arial"/>
      </w:rPr>
      <w:fldChar w:fldCharType="begin"/>
    </w:r>
    <w:r w:rsidRPr="008D701F">
      <w:rPr>
        <w:rStyle w:val="PageNumber"/>
        <w:rFonts w:ascii="Arial" w:hAnsi="Arial"/>
      </w:rPr>
      <w:instrText xml:space="preserve"> PAGE </w:instrText>
    </w:r>
    <w:r w:rsidRPr="008D701F">
      <w:rPr>
        <w:rStyle w:val="PageNumber"/>
        <w:rFonts w:ascii="Arial" w:hAnsi="Arial"/>
      </w:rPr>
      <w:fldChar w:fldCharType="separate"/>
    </w:r>
    <w:r w:rsidR="004D4A7F">
      <w:rPr>
        <w:rStyle w:val="PageNumber"/>
        <w:rFonts w:ascii="Arial" w:hAnsi="Arial"/>
        <w:noProof/>
      </w:rPr>
      <w:t>71</w:t>
    </w:r>
    <w:r w:rsidRPr="008D701F">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BD" w:rsidRDefault="00B461BD">
      <w:r>
        <w:separator/>
      </w:r>
    </w:p>
  </w:footnote>
  <w:footnote w:type="continuationSeparator" w:id="0">
    <w:p w:rsidR="00B461BD" w:rsidRDefault="00B461BD">
      <w:r>
        <w:continuationSeparator/>
      </w:r>
    </w:p>
  </w:footnote>
  <w:footnote w:id="1">
    <w:p w:rsidR="00000000" w:rsidRDefault="00B461BD" w:rsidP="00CD4F3C">
      <w:pPr>
        <w:pStyle w:val="FootnoteText"/>
        <w:spacing w:after="40"/>
      </w:pPr>
      <w:r w:rsidRPr="006B042C">
        <w:rPr>
          <w:rStyle w:val="FootnoteReference"/>
          <w:vertAlign w:val="baseline"/>
        </w:rPr>
        <w:footnoteRef/>
      </w:r>
      <w:r w:rsidRPr="006B042C">
        <w:tab/>
        <w:t xml:space="preserve">This document should be considered in conjunction with the </w:t>
      </w:r>
      <w:hyperlink r:id="rId1" w:history="1">
        <w:r w:rsidRPr="006B042C">
          <w:rPr>
            <w:rStyle w:val="Hyperlink"/>
            <w:i/>
          </w:rPr>
          <w:t>Foreign Acquisitions and Takeovers Act 1975</w:t>
        </w:r>
      </w:hyperlink>
      <w:r w:rsidRPr="006B042C">
        <w:t xml:space="preserve"> and the </w:t>
      </w:r>
      <w:hyperlink r:id="rId2" w:history="1">
        <w:r w:rsidRPr="006B042C">
          <w:rPr>
            <w:rStyle w:val="Hyperlink"/>
            <w:i/>
          </w:rPr>
          <w:t>Foreign Acquisitions and Takeovers Regulations 1989</w:t>
        </w:r>
      </w:hyperlink>
      <w:r w:rsidRPr="006B042C">
        <w:t>.</w:t>
      </w:r>
    </w:p>
  </w:footnote>
  <w:footnote w:id="2">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 xml:space="preserve">Definitions of relevant terms are provided at </w:t>
      </w:r>
      <w:hyperlink w:anchor="OLE_LINK11" w:history="1">
        <w:r w:rsidRPr="006B042C">
          <w:rPr>
            <w:rStyle w:val="Hyperlink"/>
          </w:rPr>
          <w:t>Attachment D</w:t>
        </w:r>
      </w:hyperlink>
      <w:r w:rsidRPr="006B042C">
        <w:t>.</w:t>
      </w:r>
    </w:p>
  </w:footnote>
  <w:footnote w:id="3">
    <w:p w:rsidR="00000000" w:rsidRDefault="00B461BD" w:rsidP="006B042C">
      <w:pPr>
        <w:pStyle w:val="FootnoteText"/>
      </w:pPr>
      <w:r w:rsidRPr="006B042C">
        <w:rPr>
          <w:rStyle w:val="FootnoteReference"/>
          <w:vertAlign w:val="baseline"/>
        </w:rPr>
        <w:footnoteRef/>
      </w:r>
      <w:r w:rsidRPr="006B042C">
        <w:tab/>
        <w:t>Under the Australia</w:t>
      </w:r>
      <w:r w:rsidRPr="006B042C">
        <w:noBreakHyphen/>
        <w:t>United States Free Trade Agreement (AUSFTA) which came into effect on 1 January 2005.</w:t>
      </w:r>
    </w:p>
  </w:footnote>
  <w:footnote w:id="4">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$50 million prior to December 2006.</w:t>
      </w:r>
    </w:p>
  </w:footnote>
  <w:footnote w:id="5">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 xml:space="preserve">The FATA does not apply to investments by US investors in those financial sector entities which are subject to the operation of the </w:t>
      </w:r>
      <w:r w:rsidRPr="006B042C">
        <w:rPr>
          <w:i/>
        </w:rPr>
        <w:t>Financial Sector (Shareholdings) Act 1998</w:t>
      </w:r>
      <w:r w:rsidRPr="006B042C">
        <w:t>.</w:t>
      </w:r>
    </w:p>
  </w:footnote>
  <w:footnote w:id="6">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The US thresholds are subject to annual indexation.</w:t>
      </w:r>
    </w:p>
  </w:footnote>
  <w:footnote w:id="7">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$105 million during the calendar year 2008.</w:t>
      </w:r>
    </w:p>
  </w:footnote>
  <w:footnote w:id="8">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$913 million during the calendar year 2008.</w:t>
      </w:r>
    </w:p>
  </w:footnote>
  <w:footnote w:id="9">
    <w:p w:rsidR="00000000" w:rsidRDefault="00B461BD" w:rsidP="006B042C">
      <w:pPr>
        <w:pStyle w:val="FootnoteText"/>
      </w:pPr>
      <w:r w:rsidRPr="006B042C">
        <w:rPr>
          <w:rStyle w:val="FootnoteReference"/>
          <w:vertAlign w:val="baseline"/>
        </w:rPr>
        <w:footnoteRef/>
      </w:r>
      <w:r w:rsidRPr="006B042C">
        <w:t xml:space="preserve"> </w:t>
      </w:r>
      <w:r w:rsidRPr="006B042C">
        <w:tab/>
        <w:t>$50 million prior to December 2006.</w:t>
      </w:r>
    </w:p>
  </w:footnote>
  <w:footnote w:id="10">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 xml:space="preserve">Some exemptions apply – refer to </w:t>
      </w:r>
      <w:hyperlink w:anchor="OLE_LINK7" w:history="1">
        <w:r w:rsidRPr="006B042C">
          <w:rPr>
            <w:rStyle w:val="Hyperlink"/>
          </w:rPr>
          <w:t>Acquisitions not requiring notification</w:t>
        </w:r>
      </w:hyperlink>
      <w:r w:rsidRPr="006B042C">
        <w:t xml:space="preserve"> under </w:t>
      </w:r>
      <w:hyperlink w:anchor="OLE_LINK7" w:history="1">
        <w:r w:rsidRPr="006B042C">
          <w:rPr>
            <w:rStyle w:val="Hyperlink"/>
          </w:rPr>
          <w:t>Residential real estate</w:t>
        </w:r>
      </w:hyperlink>
      <w:r w:rsidRPr="006B042C">
        <w:t>.</w:t>
      </w:r>
    </w:p>
  </w:footnote>
  <w:footnote w:id="11">
    <w:p w:rsidR="00000000" w:rsidRDefault="00B461BD" w:rsidP="006B042C">
      <w:pPr>
        <w:pStyle w:val="FootnoteText"/>
      </w:pPr>
      <w:r w:rsidRPr="006B042C">
        <w:rPr>
          <w:rStyle w:val="FootnoteReference"/>
          <w:vertAlign w:val="baseline"/>
        </w:rPr>
        <w:footnoteRef/>
      </w:r>
      <w:r w:rsidRPr="006B042C">
        <w:t xml:space="preserve"> </w:t>
      </w:r>
      <w:r w:rsidRPr="006B042C">
        <w:tab/>
        <w:t xml:space="preserve">The guidelines for foreign government investment proposals are provided at </w:t>
      </w:r>
      <w:hyperlink w:anchor="OLE_LINK8" w:history="1">
        <w:r w:rsidRPr="006B042C">
          <w:rPr>
            <w:rStyle w:val="Hyperlink"/>
          </w:rPr>
          <w:t>Attachment A</w:t>
        </w:r>
      </w:hyperlink>
      <w:r w:rsidRPr="006B042C">
        <w:t>, as announced in the Treasurer’s media release of 17 February 2008.</w:t>
      </w:r>
    </w:p>
  </w:footnote>
  <w:footnote w:id="12">
    <w:p w:rsidR="00000000" w:rsidRDefault="00B461BD" w:rsidP="00CD4F3C">
      <w:pPr>
        <w:pStyle w:val="FootnoteText"/>
        <w:spacing w:after="40"/>
      </w:pPr>
      <w:r w:rsidRPr="006B042C">
        <w:rPr>
          <w:rStyle w:val="FootnoteReference"/>
          <w:vertAlign w:val="baseline"/>
        </w:rPr>
        <w:footnoteRef/>
      </w:r>
      <w:r w:rsidRPr="006B042C">
        <w:t xml:space="preserve"> </w:t>
      </w:r>
      <w:r w:rsidRPr="006B042C">
        <w:tab/>
        <w:t>Under the FATA, the Treasurer’s responsibility is to determine whether or not to raise any objections to specific proposals in consideration of the national interest, rather than to technically ‘approve’ proposals.</w:t>
      </w:r>
    </w:p>
  </w:footnote>
  <w:footnote w:id="13">
    <w:p w:rsidR="00000000" w:rsidRDefault="00B461BD" w:rsidP="006B042C">
      <w:pPr>
        <w:pStyle w:val="FootnoteText"/>
      </w:pPr>
      <w:r w:rsidRPr="006B042C">
        <w:rPr>
          <w:rStyle w:val="FootnoteReference"/>
          <w:vertAlign w:val="baseline"/>
        </w:rPr>
        <w:footnoteRef/>
      </w:r>
      <w:r w:rsidRPr="006B042C">
        <w:t xml:space="preserve"> </w:t>
      </w:r>
      <w:r w:rsidRPr="006B042C">
        <w:tab/>
        <w:t xml:space="preserve">Additional information regarding rural land is provided at </w:t>
      </w:r>
      <w:hyperlink w:anchor="OLE_LINK9" w:history="1">
        <w:r w:rsidRPr="006B042C">
          <w:rPr>
            <w:rStyle w:val="Hyperlink"/>
          </w:rPr>
          <w:t>Attachment B</w:t>
        </w:r>
      </w:hyperlink>
      <w:r w:rsidRPr="006B042C">
        <w:t>.</w:t>
      </w:r>
    </w:p>
  </w:footnote>
  <w:footnote w:id="14">
    <w:p w:rsidR="00000000" w:rsidRDefault="00B461BD" w:rsidP="006B042C">
      <w:pPr>
        <w:pStyle w:val="FootnoteText"/>
      </w:pPr>
      <w:r w:rsidRPr="006B042C">
        <w:rPr>
          <w:rStyle w:val="FootnoteReference"/>
          <w:vertAlign w:val="baseline"/>
        </w:rPr>
        <w:footnoteRef/>
      </w:r>
      <w:r w:rsidRPr="006B042C">
        <w:t xml:space="preserve"> </w:t>
      </w:r>
      <w:r w:rsidRPr="006B042C">
        <w:tab/>
        <w:t>It is the intention that such pre-approvals will no longer be issued to developers, but current pre-approvals remain valid.</w:t>
      </w:r>
    </w:p>
  </w:footnote>
  <w:footnote w:id="15">
    <w:p w:rsidR="00000000" w:rsidRDefault="00B461BD" w:rsidP="006B042C">
      <w:pPr>
        <w:pStyle w:val="FootnoteText"/>
      </w:pPr>
      <w:r w:rsidRPr="006B042C">
        <w:rPr>
          <w:rStyle w:val="FootnoteReference"/>
          <w:vertAlign w:val="baseline"/>
        </w:rPr>
        <w:footnoteRef/>
      </w:r>
      <w:r w:rsidRPr="006B042C">
        <w:t xml:space="preserve"> </w:t>
      </w:r>
      <w:r w:rsidRPr="006B042C">
        <w:tab/>
        <w:t xml:space="preserve">The requirements that previously applied to broadcasting and newspapers were removed following proclamation of the </w:t>
      </w:r>
      <w:r w:rsidRPr="000B0A23">
        <w:rPr>
          <w:i/>
        </w:rPr>
        <w:t>Broadcasting Services Amendment (Media Ownership) Act 2006</w:t>
      </w:r>
      <w:r w:rsidRPr="006B042C">
        <w:t xml:space="preserve"> which came into effect on 4 April 2007.</w:t>
      </w:r>
    </w:p>
  </w:footnote>
  <w:footnote w:id="16">
    <w:p w:rsidR="00000000" w:rsidRDefault="00B461BD" w:rsidP="006B042C">
      <w:pPr>
        <w:pStyle w:val="FootnoteText"/>
      </w:pPr>
      <w:r w:rsidRPr="006B042C">
        <w:rPr>
          <w:rStyle w:val="FootnoteReference"/>
          <w:vertAlign w:val="baseline"/>
        </w:rPr>
        <w:footnoteRef/>
      </w:r>
      <w:r w:rsidRPr="006B042C">
        <w:t xml:space="preserve"> </w:t>
      </w:r>
      <w:r w:rsidRPr="006B042C">
        <w:tab/>
        <w:t>See section 6 of the FATA for the list of ‘associates’.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Default="00B461BD">
    <w:pPr>
      <w:pStyle w:val="HeaderEven"/>
    </w:pPr>
    <w:r>
      <w:t xml:space="preserve">Foreign Investment Review Board Annual Report 2007-08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Pr="005743D5" w:rsidRDefault="00B461BD" w:rsidP="005743D5">
    <w:pPr>
      <w:pStyle w:val="Header"/>
      <w:jc w:val="right"/>
    </w:pPr>
    <w:r>
      <w:t>Appendix A:</w:t>
    </w:r>
    <w:r>
      <w:rPr>
        <w:i/>
      </w:rPr>
      <w:t xml:space="preserve"> Australia’s Foreign Investment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BD" w:rsidRPr="005743D5" w:rsidRDefault="00B461BD" w:rsidP="005743D5">
    <w:pPr>
      <w:pStyle w:val="Header"/>
      <w:jc w:val="right"/>
    </w:pPr>
    <w:r>
      <w:t>Appendix A:</w:t>
    </w:r>
    <w:r>
      <w:rPr>
        <w:i/>
      </w:rPr>
      <w:t xml:space="preserve"> Australia’s Foreign Investment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26E5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B2DB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222B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6C10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9A38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0F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722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38D6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76E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B88EDC"/>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19">
    <w:nsid w:val="312C1B26"/>
    <w:multiLevelType w:val="multilevel"/>
    <w:tmpl w:val="F20E85C2"/>
    <w:name w:val="AppendixAHeading3"/>
    <w:lvl w:ilvl="0">
      <w:start w:val="1"/>
      <w:numFmt w:val="decimal"/>
      <w:lvlRestart w:val="0"/>
      <w:pStyle w:val="AppendixAHeading3"/>
      <w:lvlText w:val="%1."/>
      <w:lvlJc w:val="left"/>
      <w:pPr>
        <w:tabs>
          <w:tab w:val="num" w:pos="567"/>
        </w:tabs>
        <w:ind w:left="567" w:hanging="567"/>
      </w:pPr>
      <w:rPr>
        <w:rFonts w:ascii="Arial" w:hAnsi="Arial" w:cs="Arial"/>
        <w:b/>
        <w:i/>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3">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7">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nsid w:val="5F870855"/>
    <w:multiLevelType w:val="hybridMultilevel"/>
    <w:tmpl w:val="7A9AD054"/>
    <w:lvl w:ilvl="0" w:tplc="871242DA">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2">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4"/>
  </w:num>
  <w:num w:numId="3">
    <w:abstractNumId w:val="18"/>
  </w:num>
  <w:num w:numId="4">
    <w:abstractNumId w:val="24"/>
  </w:num>
  <w:num w:numId="5">
    <w:abstractNumId w:val="13"/>
  </w:num>
  <w:num w:numId="6">
    <w:abstractNumId w:val="13"/>
  </w:num>
  <w:num w:numId="7">
    <w:abstractNumId w:val="13"/>
  </w:num>
  <w:num w:numId="8">
    <w:abstractNumId w:val="33"/>
  </w:num>
  <w:num w:numId="9">
    <w:abstractNumId w:val="27"/>
  </w:num>
  <w:num w:numId="10">
    <w:abstractNumId w:val="10"/>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0"/>
  </w:num>
  <w:num w:numId="24">
    <w:abstractNumId w:val="17"/>
  </w:num>
  <w:num w:numId="25">
    <w:abstractNumId w:val="25"/>
  </w:num>
  <w:num w:numId="26">
    <w:abstractNumId w:val="20"/>
  </w:num>
  <w:num w:numId="27">
    <w:abstractNumId w:val="32"/>
  </w:num>
  <w:num w:numId="28">
    <w:abstractNumId w:val="28"/>
  </w:num>
  <w:num w:numId="29">
    <w:abstractNumId w:val="21"/>
  </w:num>
  <w:num w:numId="30">
    <w:abstractNumId w:val="18"/>
  </w:num>
  <w:num w:numId="31">
    <w:abstractNumId w:val="11"/>
  </w:num>
  <w:num w:numId="32">
    <w:abstractNumId w:val="23"/>
  </w:num>
  <w:num w:numId="33">
    <w:abstractNumId w:val="23"/>
  </w:num>
  <w:num w:numId="34">
    <w:abstractNumId w:val="23"/>
  </w:num>
  <w:num w:numId="35">
    <w:abstractNumId w:val="23"/>
  </w:num>
  <w:num w:numId="36">
    <w:abstractNumId w:val="23"/>
  </w:num>
  <w:num w:numId="37">
    <w:abstractNumId w:val="12"/>
  </w:num>
  <w:num w:numId="38">
    <w:abstractNumId w:val="12"/>
  </w:num>
  <w:num w:numId="39">
    <w:abstractNumId w:val="12"/>
  </w:num>
  <w:num w:numId="40">
    <w:abstractNumId w:val="23"/>
  </w:num>
  <w:num w:numId="41">
    <w:abstractNumId w:val="19"/>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96"/>
    <w:rsid w:val="00001A82"/>
    <w:rsid w:val="0000527A"/>
    <w:rsid w:val="00070B88"/>
    <w:rsid w:val="00093A04"/>
    <w:rsid w:val="000A29B0"/>
    <w:rsid w:val="000B0A23"/>
    <w:rsid w:val="000F6CDE"/>
    <w:rsid w:val="001215C6"/>
    <w:rsid w:val="001531D1"/>
    <w:rsid w:val="00185AB9"/>
    <w:rsid w:val="00190289"/>
    <w:rsid w:val="00190C41"/>
    <w:rsid w:val="001A0547"/>
    <w:rsid w:val="001A5BAF"/>
    <w:rsid w:val="001E64C2"/>
    <w:rsid w:val="00211E06"/>
    <w:rsid w:val="002159BC"/>
    <w:rsid w:val="00217F30"/>
    <w:rsid w:val="00224A78"/>
    <w:rsid w:val="0022566A"/>
    <w:rsid w:val="002410C5"/>
    <w:rsid w:val="00243FFB"/>
    <w:rsid w:val="00295661"/>
    <w:rsid w:val="002A5BD1"/>
    <w:rsid w:val="002C3F71"/>
    <w:rsid w:val="002E3C94"/>
    <w:rsid w:val="002E4343"/>
    <w:rsid w:val="002F3BDC"/>
    <w:rsid w:val="003028D5"/>
    <w:rsid w:val="0030516A"/>
    <w:rsid w:val="003319CF"/>
    <w:rsid w:val="00356837"/>
    <w:rsid w:val="0037576C"/>
    <w:rsid w:val="003A0CCC"/>
    <w:rsid w:val="003B1275"/>
    <w:rsid w:val="003B4C87"/>
    <w:rsid w:val="003C7C32"/>
    <w:rsid w:val="003E59FD"/>
    <w:rsid w:val="003F1220"/>
    <w:rsid w:val="003F4553"/>
    <w:rsid w:val="00402423"/>
    <w:rsid w:val="00403DFE"/>
    <w:rsid w:val="004137B2"/>
    <w:rsid w:val="00472193"/>
    <w:rsid w:val="00485CCB"/>
    <w:rsid w:val="004944D2"/>
    <w:rsid w:val="004A024F"/>
    <w:rsid w:val="004C3641"/>
    <w:rsid w:val="004D4A7F"/>
    <w:rsid w:val="004E2596"/>
    <w:rsid w:val="004E6299"/>
    <w:rsid w:val="004F295D"/>
    <w:rsid w:val="00537FE6"/>
    <w:rsid w:val="0054096F"/>
    <w:rsid w:val="005630E0"/>
    <w:rsid w:val="005743D5"/>
    <w:rsid w:val="00575FBD"/>
    <w:rsid w:val="00596E2C"/>
    <w:rsid w:val="005A23B9"/>
    <w:rsid w:val="005A6481"/>
    <w:rsid w:val="005B0BD8"/>
    <w:rsid w:val="005B4DBA"/>
    <w:rsid w:val="005C1542"/>
    <w:rsid w:val="005C6A96"/>
    <w:rsid w:val="005D485B"/>
    <w:rsid w:val="005F619C"/>
    <w:rsid w:val="00610916"/>
    <w:rsid w:val="006209CB"/>
    <w:rsid w:val="00650C99"/>
    <w:rsid w:val="00656B7E"/>
    <w:rsid w:val="006653B6"/>
    <w:rsid w:val="00681F68"/>
    <w:rsid w:val="00684F09"/>
    <w:rsid w:val="00694137"/>
    <w:rsid w:val="006A4C69"/>
    <w:rsid w:val="006B042C"/>
    <w:rsid w:val="006C17D8"/>
    <w:rsid w:val="006C66E0"/>
    <w:rsid w:val="006C7E5D"/>
    <w:rsid w:val="006D18F6"/>
    <w:rsid w:val="006D75C4"/>
    <w:rsid w:val="00711EF2"/>
    <w:rsid w:val="00723AFE"/>
    <w:rsid w:val="007278B4"/>
    <w:rsid w:val="00730DF9"/>
    <w:rsid w:val="00746446"/>
    <w:rsid w:val="007472FD"/>
    <w:rsid w:val="00760573"/>
    <w:rsid w:val="007912CD"/>
    <w:rsid w:val="0079139F"/>
    <w:rsid w:val="00797BAB"/>
    <w:rsid w:val="007A16F6"/>
    <w:rsid w:val="007C6A28"/>
    <w:rsid w:val="007E3397"/>
    <w:rsid w:val="007E5019"/>
    <w:rsid w:val="008131DD"/>
    <w:rsid w:val="0083348A"/>
    <w:rsid w:val="00835A41"/>
    <w:rsid w:val="00841B70"/>
    <w:rsid w:val="00846B60"/>
    <w:rsid w:val="0085046C"/>
    <w:rsid w:val="00853840"/>
    <w:rsid w:val="0087537E"/>
    <w:rsid w:val="008767FC"/>
    <w:rsid w:val="00886A9A"/>
    <w:rsid w:val="00897356"/>
    <w:rsid w:val="008B28DD"/>
    <w:rsid w:val="008C48D1"/>
    <w:rsid w:val="008C5C00"/>
    <w:rsid w:val="008D32BF"/>
    <w:rsid w:val="008D701F"/>
    <w:rsid w:val="0091584F"/>
    <w:rsid w:val="009160B7"/>
    <w:rsid w:val="00920142"/>
    <w:rsid w:val="0095126F"/>
    <w:rsid w:val="0096124D"/>
    <w:rsid w:val="00980C12"/>
    <w:rsid w:val="009859DC"/>
    <w:rsid w:val="00986C27"/>
    <w:rsid w:val="009D37E3"/>
    <w:rsid w:val="009E117F"/>
    <w:rsid w:val="009E4D17"/>
    <w:rsid w:val="00A12564"/>
    <w:rsid w:val="00A20992"/>
    <w:rsid w:val="00A26B8A"/>
    <w:rsid w:val="00A31B03"/>
    <w:rsid w:val="00A34D01"/>
    <w:rsid w:val="00AB709A"/>
    <w:rsid w:val="00AC23B0"/>
    <w:rsid w:val="00AD0F91"/>
    <w:rsid w:val="00AE42BA"/>
    <w:rsid w:val="00AE537D"/>
    <w:rsid w:val="00B35DC7"/>
    <w:rsid w:val="00B4320A"/>
    <w:rsid w:val="00B461BD"/>
    <w:rsid w:val="00B52375"/>
    <w:rsid w:val="00B624B7"/>
    <w:rsid w:val="00B86E13"/>
    <w:rsid w:val="00BE36D5"/>
    <w:rsid w:val="00C21565"/>
    <w:rsid w:val="00C636AA"/>
    <w:rsid w:val="00C957D1"/>
    <w:rsid w:val="00CA2BD9"/>
    <w:rsid w:val="00CB4748"/>
    <w:rsid w:val="00CB4DA1"/>
    <w:rsid w:val="00CB5A2F"/>
    <w:rsid w:val="00CC7A0F"/>
    <w:rsid w:val="00CD0DAD"/>
    <w:rsid w:val="00CD4F3C"/>
    <w:rsid w:val="00CF18EC"/>
    <w:rsid w:val="00CF26BD"/>
    <w:rsid w:val="00D15B27"/>
    <w:rsid w:val="00D306C3"/>
    <w:rsid w:val="00D30B2A"/>
    <w:rsid w:val="00D457AF"/>
    <w:rsid w:val="00D63F4F"/>
    <w:rsid w:val="00DA632F"/>
    <w:rsid w:val="00DA701F"/>
    <w:rsid w:val="00DC0EC3"/>
    <w:rsid w:val="00DC1252"/>
    <w:rsid w:val="00DC2210"/>
    <w:rsid w:val="00DC53FB"/>
    <w:rsid w:val="00E32977"/>
    <w:rsid w:val="00E46419"/>
    <w:rsid w:val="00E665E4"/>
    <w:rsid w:val="00E67E85"/>
    <w:rsid w:val="00E95268"/>
    <w:rsid w:val="00EB0DE8"/>
    <w:rsid w:val="00EE1FD6"/>
    <w:rsid w:val="00F0323C"/>
    <w:rsid w:val="00F14AF4"/>
    <w:rsid w:val="00F22D16"/>
    <w:rsid w:val="00F266F3"/>
    <w:rsid w:val="00F50151"/>
    <w:rsid w:val="00F63551"/>
    <w:rsid w:val="00F7471B"/>
    <w:rsid w:val="00F82EC1"/>
    <w:rsid w:val="00F929C5"/>
    <w:rsid w:val="00FF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01"/>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A34D01"/>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A34D01"/>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A34D01"/>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A34D01"/>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A34D01"/>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A34D01"/>
    <w:pPr>
      <w:keepNext/>
      <w:spacing w:after="120"/>
      <w:outlineLvl w:val="5"/>
    </w:pPr>
    <w:rPr>
      <w:bCs/>
      <w:szCs w:val="22"/>
    </w:rPr>
  </w:style>
  <w:style w:type="paragraph" w:styleId="Heading7">
    <w:name w:val="heading 7"/>
    <w:basedOn w:val="Heading2"/>
    <w:next w:val="Normal"/>
    <w:link w:val="Heading7Char"/>
    <w:uiPriority w:val="99"/>
    <w:qFormat/>
    <w:rsid w:val="00A34D01"/>
    <w:pPr>
      <w:jc w:val="right"/>
      <w:outlineLvl w:val="6"/>
    </w:pPr>
  </w:style>
  <w:style w:type="paragraph" w:styleId="Heading8">
    <w:name w:val="heading 8"/>
    <w:basedOn w:val="HeadingBase"/>
    <w:next w:val="Normal"/>
    <w:link w:val="Heading8Char"/>
    <w:uiPriority w:val="99"/>
    <w:qFormat/>
    <w:rsid w:val="00A34D01"/>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A34D01"/>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A34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A34D01"/>
    <w:pPr>
      <w:spacing w:after="0"/>
    </w:pPr>
  </w:style>
  <w:style w:type="character" w:styleId="Hyperlink">
    <w:name w:val="Hyperlink"/>
    <w:basedOn w:val="DefaultParagraphFont"/>
    <w:uiPriority w:val="99"/>
    <w:rsid w:val="00A34D01"/>
    <w:rPr>
      <w:rFonts w:cs="Times New Roman"/>
      <w:color w:val="000000"/>
      <w:u w:val="none"/>
    </w:rPr>
  </w:style>
  <w:style w:type="character" w:styleId="FootnoteReference">
    <w:name w:val="footnote reference"/>
    <w:basedOn w:val="DefaultParagraphFont"/>
    <w:uiPriority w:val="99"/>
    <w:rsid w:val="00A34D01"/>
    <w:rPr>
      <w:rFonts w:cs="Times New Roman"/>
      <w:vertAlign w:val="superscript"/>
    </w:rPr>
  </w:style>
  <w:style w:type="paragraph" w:styleId="BalloonText">
    <w:name w:val="Balloon Text"/>
    <w:basedOn w:val="Normal"/>
    <w:link w:val="BalloonTextChar"/>
    <w:uiPriority w:val="99"/>
    <w:rsid w:val="00A34D0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A34D01"/>
    <w:rPr>
      <w:rFonts w:ascii="Times" w:hAnsi="Times" w:cs="Times New Roman"/>
      <w:color w:val="2B7C32"/>
      <w:sz w:val="18"/>
      <w:szCs w:val="18"/>
    </w:rPr>
  </w:style>
  <w:style w:type="paragraph" w:styleId="FootnoteText">
    <w:name w:val="footnote text"/>
    <w:basedOn w:val="Normal"/>
    <w:link w:val="FootnoteTextChar"/>
    <w:uiPriority w:val="99"/>
    <w:rsid w:val="00A34D01"/>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A34D01"/>
    <w:pPr>
      <w:numPr>
        <w:numId w:val="1"/>
      </w:numPr>
      <w:ind w:left="284" w:hanging="284"/>
    </w:pPr>
  </w:style>
  <w:style w:type="paragraph" w:customStyle="1" w:styleId="Dash">
    <w:name w:val="Dash"/>
    <w:basedOn w:val="Normal"/>
    <w:uiPriority w:val="99"/>
    <w:rsid w:val="00A34D01"/>
    <w:pPr>
      <w:numPr>
        <w:ilvl w:val="1"/>
        <w:numId w:val="1"/>
      </w:numPr>
      <w:ind w:left="568"/>
    </w:pPr>
  </w:style>
  <w:style w:type="paragraph" w:customStyle="1" w:styleId="DoubleDot">
    <w:name w:val="Double Dot"/>
    <w:basedOn w:val="Normal"/>
    <w:uiPriority w:val="99"/>
    <w:rsid w:val="00A34D01"/>
    <w:pPr>
      <w:numPr>
        <w:ilvl w:val="2"/>
        <w:numId w:val="1"/>
      </w:numPr>
    </w:pPr>
  </w:style>
  <w:style w:type="paragraph" w:customStyle="1" w:styleId="OutlineNumbered1">
    <w:name w:val="Outline Numbered 1"/>
    <w:basedOn w:val="Normal"/>
    <w:uiPriority w:val="99"/>
    <w:rsid w:val="00A34D01"/>
    <w:pPr>
      <w:numPr>
        <w:numId w:val="2"/>
      </w:numPr>
    </w:pPr>
  </w:style>
  <w:style w:type="paragraph" w:customStyle="1" w:styleId="OutlineNumbered2">
    <w:name w:val="Outline Numbered 2"/>
    <w:basedOn w:val="Normal"/>
    <w:uiPriority w:val="99"/>
    <w:rsid w:val="00A34D01"/>
    <w:pPr>
      <w:numPr>
        <w:ilvl w:val="1"/>
        <w:numId w:val="2"/>
      </w:numPr>
    </w:pPr>
  </w:style>
  <w:style w:type="paragraph" w:customStyle="1" w:styleId="OutlineNumbered3">
    <w:name w:val="Outline Numbered 3"/>
    <w:basedOn w:val="Normal"/>
    <w:uiPriority w:val="99"/>
    <w:rsid w:val="00A34D01"/>
    <w:pPr>
      <w:numPr>
        <w:ilvl w:val="2"/>
        <w:numId w:val="2"/>
      </w:numPr>
    </w:pPr>
  </w:style>
  <w:style w:type="paragraph" w:customStyle="1" w:styleId="AlphaParagraph">
    <w:name w:val="Alpha Paragraph"/>
    <w:basedOn w:val="Normal"/>
    <w:uiPriority w:val="99"/>
    <w:rsid w:val="00A34D01"/>
    <w:pPr>
      <w:numPr>
        <w:numId w:val="3"/>
      </w:numPr>
    </w:pPr>
  </w:style>
  <w:style w:type="paragraph" w:customStyle="1" w:styleId="HeadingBase">
    <w:name w:val="Heading Base"/>
    <w:next w:val="Normal"/>
    <w:uiPriority w:val="99"/>
    <w:rsid w:val="00A34D01"/>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A34D01"/>
    <w:pPr>
      <w:spacing w:before="720" w:after="360"/>
    </w:pPr>
    <w:rPr>
      <w:rFonts w:ascii="Arial Bold" w:hAnsi="Arial Bold"/>
      <w:b/>
      <w:smallCaps/>
      <w:sz w:val="36"/>
      <w:szCs w:val="36"/>
    </w:rPr>
  </w:style>
  <w:style w:type="character" w:customStyle="1" w:styleId="Bold">
    <w:name w:val="Bold"/>
    <w:basedOn w:val="DefaultParagraphFont"/>
    <w:uiPriority w:val="99"/>
    <w:rsid w:val="00A34D01"/>
    <w:rPr>
      <w:rFonts w:cs="Times New Roman"/>
      <w:b/>
    </w:rPr>
  </w:style>
  <w:style w:type="paragraph" w:customStyle="1" w:styleId="BoxHeading">
    <w:name w:val="Box Heading"/>
    <w:basedOn w:val="HeadingBase"/>
    <w:next w:val="BoxText"/>
    <w:uiPriority w:val="99"/>
    <w:rsid w:val="00A34D01"/>
    <w:pPr>
      <w:spacing w:before="120" w:after="120"/>
    </w:pPr>
    <w:rPr>
      <w:b/>
      <w:sz w:val="22"/>
    </w:rPr>
  </w:style>
  <w:style w:type="paragraph" w:customStyle="1" w:styleId="BoxTextBase">
    <w:name w:val="Box Text Base"/>
    <w:basedOn w:val="Normal"/>
    <w:uiPriority w:val="99"/>
    <w:rsid w:val="00A34D01"/>
    <w:pPr>
      <w:spacing w:before="120" w:after="120" w:line="240" w:lineRule="auto"/>
    </w:pPr>
  </w:style>
  <w:style w:type="paragraph" w:customStyle="1" w:styleId="ChartandTableFootnoteAlpha">
    <w:name w:val="Chart and Table Footnote Alpha"/>
    <w:uiPriority w:val="99"/>
    <w:rsid w:val="00A34D01"/>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A34D01"/>
    <w:pPr>
      <w:jc w:val="center"/>
    </w:pPr>
  </w:style>
  <w:style w:type="paragraph" w:customStyle="1" w:styleId="ChartMainHeading">
    <w:name w:val="Chart Main Heading"/>
    <w:basedOn w:val="HeadingBase"/>
    <w:next w:val="ChartGraphic"/>
    <w:uiPriority w:val="99"/>
    <w:rsid w:val="00A34D01"/>
    <w:pPr>
      <w:keepNext/>
      <w:spacing w:before="170" w:after="113"/>
      <w:jc w:val="center"/>
    </w:pPr>
    <w:rPr>
      <w:b/>
      <w:sz w:val="22"/>
    </w:rPr>
  </w:style>
  <w:style w:type="paragraph" w:customStyle="1" w:styleId="ChartorTableNote">
    <w:name w:val="Chart or Table Note"/>
    <w:next w:val="Normal"/>
    <w:uiPriority w:val="99"/>
    <w:rsid w:val="00A34D01"/>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A34D01"/>
    <w:pPr>
      <w:keepNext/>
      <w:spacing w:after="20"/>
      <w:jc w:val="center"/>
    </w:pPr>
  </w:style>
  <w:style w:type="paragraph" w:customStyle="1" w:styleId="Classification">
    <w:name w:val="Classification"/>
    <w:basedOn w:val="HeadingBase"/>
    <w:next w:val="Footer"/>
    <w:uiPriority w:val="99"/>
    <w:rsid w:val="00A34D01"/>
    <w:pPr>
      <w:spacing w:after="120"/>
      <w:jc w:val="center"/>
    </w:pPr>
    <w:rPr>
      <w:b/>
      <w:smallCaps/>
    </w:rPr>
  </w:style>
  <w:style w:type="paragraph" w:styleId="Footer">
    <w:name w:val="footer"/>
    <w:basedOn w:val="HeadingBase"/>
    <w:link w:val="FooterChar"/>
    <w:uiPriority w:val="99"/>
    <w:rsid w:val="00A34D01"/>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A34D01"/>
    <w:pPr>
      <w:spacing w:after="360"/>
    </w:pPr>
    <w:rPr>
      <w:smallCaps/>
      <w:sz w:val="36"/>
      <w:szCs w:val="36"/>
    </w:rPr>
  </w:style>
  <w:style w:type="paragraph" w:customStyle="1" w:styleId="CoverTitleMain">
    <w:name w:val="Cover Title Main"/>
    <w:basedOn w:val="HeadingBase"/>
    <w:next w:val="Normal"/>
    <w:uiPriority w:val="99"/>
    <w:rsid w:val="00A34D01"/>
    <w:pPr>
      <w:spacing w:after="360"/>
      <w:jc w:val="right"/>
    </w:pPr>
    <w:rPr>
      <w:b/>
      <w:sz w:val="44"/>
    </w:rPr>
  </w:style>
  <w:style w:type="paragraph" w:customStyle="1" w:styleId="CoverTitleSub">
    <w:name w:val="Cover Title Sub"/>
    <w:basedOn w:val="HeadingBase"/>
    <w:uiPriority w:val="99"/>
    <w:rsid w:val="00A34D01"/>
    <w:pPr>
      <w:spacing w:after="360"/>
      <w:jc w:val="center"/>
    </w:pPr>
    <w:rPr>
      <w:sz w:val="36"/>
    </w:rPr>
  </w:style>
  <w:style w:type="paragraph" w:customStyle="1" w:styleId="FooterCentered">
    <w:name w:val="Footer Centered"/>
    <w:basedOn w:val="Footer"/>
    <w:uiPriority w:val="99"/>
    <w:rsid w:val="00A34D01"/>
    <w:pPr>
      <w:jc w:val="center"/>
    </w:pPr>
  </w:style>
  <w:style w:type="paragraph" w:customStyle="1" w:styleId="FooterEven">
    <w:name w:val="Footer Even"/>
    <w:basedOn w:val="Footer"/>
    <w:uiPriority w:val="99"/>
    <w:rsid w:val="00A34D01"/>
  </w:style>
  <w:style w:type="paragraph" w:customStyle="1" w:styleId="FooterOdd">
    <w:name w:val="Footer Odd"/>
    <w:basedOn w:val="Footer"/>
    <w:uiPriority w:val="99"/>
    <w:rsid w:val="00A34D01"/>
    <w:pPr>
      <w:jc w:val="right"/>
    </w:pPr>
  </w:style>
  <w:style w:type="character" w:customStyle="1" w:styleId="FramedFooter">
    <w:name w:val="Framed Footer"/>
    <w:uiPriority w:val="99"/>
    <w:rsid w:val="00A34D01"/>
    <w:rPr>
      <w:rFonts w:ascii="Arial" w:hAnsi="Arial"/>
      <w:color w:val="2B7C32"/>
      <w:sz w:val="18"/>
    </w:rPr>
  </w:style>
  <w:style w:type="character" w:customStyle="1" w:styleId="FramedHeader">
    <w:name w:val="Framed Header"/>
    <w:basedOn w:val="DefaultParagraphFont"/>
    <w:uiPriority w:val="99"/>
    <w:rsid w:val="00A34D01"/>
    <w:rPr>
      <w:rFonts w:ascii="Arial" w:hAnsi="Arial" w:cs="Times New Roman"/>
      <w:color w:val="2B7C32"/>
      <w:sz w:val="18"/>
      <w:szCs w:val="18"/>
      <w:vertAlign w:val="baseline"/>
    </w:rPr>
  </w:style>
  <w:style w:type="paragraph" w:styleId="Header">
    <w:name w:val="header"/>
    <w:basedOn w:val="HeadingBase"/>
    <w:link w:val="HeaderChar"/>
    <w:uiPriority w:val="99"/>
    <w:rsid w:val="00A34D01"/>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A34D01"/>
  </w:style>
  <w:style w:type="paragraph" w:customStyle="1" w:styleId="HeaderOdd">
    <w:name w:val="Header Odd"/>
    <w:basedOn w:val="Header"/>
    <w:uiPriority w:val="99"/>
    <w:rsid w:val="00A34D01"/>
    <w:pPr>
      <w:jc w:val="right"/>
    </w:pPr>
  </w:style>
  <w:style w:type="paragraph" w:styleId="NormalIndent">
    <w:name w:val="Normal Indent"/>
    <w:basedOn w:val="Normal"/>
    <w:uiPriority w:val="99"/>
    <w:rsid w:val="00A34D01"/>
    <w:pPr>
      <w:ind w:left="567"/>
    </w:pPr>
  </w:style>
  <w:style w:type="paragraph" w:customStyle="1" w:styleId="RecommendationHeading">
    <w:name w:val="Recommendation Heading"/>
    <w:basedOn w:val="HeadingBase"/>
    <w:next w:val="RecommendationText"/>
    <w:uiPriority w:val="99"/>
    <w:rsid w:val="00A34D01"/>
    <w:pPr>
      <w:spacing w:after="240"/>
    </w:pPr>
    <w:rPr>
      <w:b/>
      <w:sz w:val="22"/>
    </w:rPr>
  </w:style>
  <w:style w:type="paragraph" w:customStyle="1" w:styleId="RecommendationBaseText">
    <w:name w:val="Recommendation Base Text"/>
    <w:basedOn w:val="Normal"/>
    <w:uiPriority w:val="99"/>
    <w:rsid w:val="00A34D01"/>
  </w:style>
  <w:style w:type="paragraph" w:customStyle="1" w:styleId="RecommendationText">
    <w:name w:val="Recommendation Text"/>
    <w:basedOn w:val="RecommendationBaseText"/>
    <w:uiPriority w:val="99"/>
    <w:rsid w:val="00A34D01"/>
  </w:style>
  <w:style w:type="paragraph" w:customStyle="1" w:styleId="TableTextBase">
    <w:name w:val="Table Text Base"/>
    <w:uiPriority w:val="99"/>
    <w:rsid w:val="00A34D01"/>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A34D01"/>
    <w:pPr>
      <w:jc w:val="center"/>
    </w:pPr>
    <w:rPr>
      <w:b/>
    </w:rPr>
  </w:style>
  <w:style w:type="paragraph" w:customStyle="1" w:styleId="TableColumnHeadingLeft">
    <w:name w:val="Table Column Heading Left"/>
    <w:basedOn w:val="TableTextBase"/>
    <w:uiPriority w:val="99"/>
    <w:rsid w:val="00A34D01"/>
    <w:rPr>
      <w:b/>
    </w:rPr>
  </w:style>
  <w:style w:type="paragraph" w:customStyle="1" w:styleId="TableColumnHeadingRight">
    <w:name w:val="Table Column Heading Right"/>
    <w:basedOn w:val="TableTextBase"/>
    <w:uiPriority w:val="99"/>
    <w:rsid w:val="00A34D01"/>
    <w:pPr>
      <w:jc w:val="right"/>
    </w:pPr>
    <w:rPr>
      <w:b/>
    </w:rPr>
  </w:style>
  <w:style w:type="paragraph" w:customStyle="1" w:styleId="TableGraphic">
    <w:name w:val="Table Graphic"/>
    <w:basedOn w:val="HeadingBase"/>
    <w:next w:val="Normal"/>
    <w:uiPriority w:val="99"/>
    <w:rsid w:val="00A34D01"/>
    <w:pPr>
      <w:spacing w:after="20"/>
      <w:ind w:right="-113"/>
    </w:pPr>
    <w:rPr>
      <w:rFonts w:ascii="Helvetica" w:hAnsi="Helvetica"/>
    </w:rPr>
  </w:style>
  <w:style w:type="paragraph" w:customStyle="1" w:styleId="TableMainHeading">
    <w:name w:val="Table Main Heading"/>
    <w:basedOn w:val="HeadingBase"/>
    <w:next w:val="TableGraphic"/>
    <w:uiPriority w:val="99"/>
    <w:rsid w:val="00A34D01"/>
    <w:pPr>
      <w:keepNext/>
      <w:spacing w:before="170" w:after="113"/>
    </w:pPr>
    <w:rPr>
      <w:b/>
      <w:sz w:val="22"/>
    </w:rPr>
  </w:style>
  <w:style w:type="paragraph" w:customStyle="1" w:styleId="TableMainHeadingContd">
    <w:name w:val="Table Main Heading Contd"/>
    <w:basedOn w:val="HeadingBase"/>
    <w:next w:val="TableGraphic"/>
    <w:uiPriority w:val="99"/>
    <w:rsid w:val="00A34D01"/>
    <w:pPr>
      <w:keepNext/>
      <w:spacing w:after="20"/>
    </w:pPr>
    <w:rPr>
      <w:b/>
      <w:sz w:val="22"/>
    </w:rPr>
  </w:style>
  <w:style w:type="paragraph" w:customStyle="1" w:styleId="TableSecondHeading">
    <w:name w:val="Table Second Heading"/>
    <w:basedOn w:val="HeadingBase"/>
    <w:next w:val="TableGraphic"/>
    <w:uiPriority w:val="99"/>
    <w:rsid w:val="00A34D01"/>
    <w:pPr>
      <w:keepNext/>
      <w:spacing w:after="20"/>
    </w:pPr>
  </w:style>
  <w:style w:type="paragraph" w:customStyle="1" w:styleId="TableTextCentered">
    <w:name w:val="Table Text Centered"/>
    <w:basedOn w:val="TableTextBase"/>
    <w:uiPriority w:val="99"/>
    <w:rsid w:val="00A34D01"/>
    <w:pPr>
      <w:jc w:val="center"/>
    </w:pPr>
  </w:style>
  <w:style w:type="paragraph" w:customStyle="1" w:styleId="TableTextIndented">
    <w:name w:val="Table Text Indented"/>
    <w:basedOn w:val="TableTextBase"/>
    <w:uiPriority w:val="99"/>
    <w:rsid w:val="00A34D01"/>
    <w:pPr>
      <w:ind w:left="284"/>
    </w:pPr>
  </w:style>
  <w:style w:type="paragraph" w:customStyle="1" w:styleId="TableTextLeft">
    <w:name w:val="Table Text Left"/>
    <w:basedOn w:val="TableTextBase"/>
    <w:uiPriority w:val="99"/>
    <w:rsid w:val="00A34D01"/>
  </w:style>
  <w:style w:type="paragraph" w:customStyle="1" w:styleId="TableTextRight">
    <w:name w:val="Table Text Right"/>
    <w:basedOn w:val="TableTextBase"/>
    <w:uiPriority w:val="99"/>
    <w:rsid w:val="00A34D01"/>
    <w:pPr>
      <w:jc w:val="right"/>
    </w:pPr>
  </w:style>
  <w:style w:type="paragraph" w:styleId="TOC1">
    <w:name w:val="toc 1"/>
    <w:basedOn w:val="HeadingBase"/>
    <w:next w:val="Normal"/>
    <w:uiPriority w:val="99"/>
    <w:rsid w:val="00A34D01"/>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A34D01"/>
    <w:pPr>
      <w:tabs>
        <w:tab w:val="left" w:pos="1247"/>
        <w:tab w:val="right" w:leader="dot" w:pos="7700"/>
      </w:tabs>
      <w:spacing w:after="0"/>
      <w:ind w:right="851"/>
    </w:pPr>
    <w:rPr>
      <w:noProof/>
    </w:rPr>
  </w:style>
  <w:style w:type="paragraph" w:styleId="TOC3">
    <w:name w:val="toc 3"/>
    <w:basedOn w:val="Normal"/>
    <w:next w:val="Normal"/>
    <w:uiPriority w:val="99"/>
    <w:rsid w:val="00A34D01"/>
    <w:pPr>
      <w:tabs>
        <w:tab w:val="right" w:leader="dot" w:pos="7700"/>
      </w:tabs>
      <w:spacing w:after="0" w:line="240" w:lineRule="auto"/>
      <w:ind w:left="284" w:right="851"/>
    </w:pPr>
    <w:rPr>
      <w:noProof/>
    </w:rPr>
  </w:style>
  <w:style w:type="paragraph" w:styleId="TOC4">
    <w:name w:val="toc 4"/>
    <w:basedOn w:val="Normal"/>
    <w:next w:val="Normal"/>
    <w:uiPriority w:val="99"/>
    <w:rsid w:val="00A34D01"/>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A34D01"/>
    <w:rPr>
      <w:rFonts w:cs="Times New Roman"/>
      <w:i/>
    </w:rPr>
  </w:style>
  <w:style w:type="paragraph" w:customStyle="1" w:styleId="OneLevelNumberedParagraph">
    <w:name w:val="One Level Numbered Paragraph"/>
    <w:basedOn w:val="Normal"/>
    <w:uiPriority w:val="99"/>
    <w:rsid w:val="00A34D01"/>
    <w:pPr>
      <w:numPr>
        <w:numId w:val="10"/>
      </w:numPr>
    </w:pPr>
  </w:style>
  <w:style w:type="paragraph" w:customStyle="1" w:styleId="BoxText">
    <w:name w:val="Box Text"/>
    <w:basedOn w:val="BoxTextBase"/>
    <w:uiPriority w:val="99"/>
    <w:rsid w:val="00A34D01"/>
  </w:style>
  <w:style w:type="paragraph" w:customStyle="1" w:styleId="BoxBullet">
    <w:name w:val="Box Bullet"/>
    <w:basedOn w:val="BoxTextBase"/>
    <w:uiPriority w:val="99"/>
    <w:rsid w:val="00A34D01"/>
    <w:pPr>
      <w:numPr>
        <w:numId w:val="9"/>
      </w:numPr>
    </w:pPr>
  </w:style>
  <w:style w:type="paragraph" w:customStyle="1" w:styleId="BoxDash">
    <w:name w:val="Box Dash"/>
    <w:basedOn w:val="Normal"/>
    <w:uiPriority w:val="99"/>
    <w:rsid w:val="00A34D01"/>
    <w:pPr>
      <w:numPr>
        <w:ilvl w:val="1"/>
        <w:numId w:val="9"/>
      </w:numPr>
    </w:pPr>
  </w:style>
  <w:style w:type="paragraph" w:customStyle="1" w:styleId="BoxDoubleDot">
    <w:name w:val="Box Double Dot"/>
    <w:basedOn w:val="BoxTextBase"/>
    <w:uiPriority w:val="99"/>
    <w:rsid w:val="00A34D01"/>
    <w:pPr>
      <w:numPr>
        <w:ilvl w:val="2"/>
        <w:numId w:val="9"/>
      </w:numPr>
    </w:pPr>
  </w:style>
  <w:style w:type="paragraph" w:customStyle="1" w:styleId="RecommendationBullet">
    <w:name w:val="Recommendation Bullet"/>
    <w:basedOn w:val="RecommendationBaseText"/>
    <w:uiPriority w:val="99"/>
    <w:rsid w:val="00A34D01"/>
    <w:pPr>
      <w:numPr>
        <w:numId w:val="11"/>
      </w:numPr>
    </w:pPr>
  </w:style>
  <w:style w:type="paragraph" w:customStyle="1" w:styleId="RecommendationDash">
    <w:name w:val="Recommendation Dash"/>
    <w:basedOn w:val="RecommendationBaseText"/>
    <w:uiPriority w:val="99"/>
    <w:rsid w:val="00A34D01"/>
    <w:pPr>
      <w:numPr>
        <w:ilvl w:val="1"/>
        <w:numId w:val="11"/>
      </w:numPr>
    </w:pPr>
  </w:style>
  <w:style w:type="paragraph" w:customStyle="1" w:styleId="RecommendationDoubleDot">
    <w:name w:val="Recommendation Double Dot"/>
    <w:basedOn w:val="RecommendationBaseText"/>
    <w:uiPriority w:val="99"/>
    <w:rsid w:val="00A34D01"/>
    <w:pPr>
      <w:numPr>
        <w:ilvl w:val="2"/>
        <w:numId w:val="11"/>
      </w:numPr>
    </w:pPr>
  </w:style>
  <w:style w:type="character" w:customStyle="1" w:styleId="Boldanditalic">
    <w:name w:val="Bold and italic"/>
    <w:basedOn w:val="DefaultParagraphFont"/>
    <w:uiPriority w:val="99"/>
    <w:rsid w:val="00A34D01"/>
    <w:rPr>
      <w:rFonts w:cs="Times New Roman"/>
      <w:b/>
      <w:i/>
    </w:rPr>
  </w:style>
  <w:style w:type="paragraph" w:styleId="Caption">
    <w:name w:val="caption"/>
    <w:basedOn w:val="Normal"/>
    <w:next w:val="Normal"/>
    <w:uiPriority w:val="99"/>
    <w:qFormat/>
    <w:rsid w:val="00A34D01"/>
    <w:pPr>
      <w:spacing w:before="120" w:after="120"/>
    </w:pPr>
    <w:rPr>
      <w:b/>
      <w:bCs/>
    </w:rPr>
  </w:style>
  <w:style w:type="character" w:styleId="CommentReference">
    <w:name w:val="annotation reference"/>
    <w:basedOn w:val="DefaultParagraphFont"/>
    <w:uiPriority w:val="99"/>
    <w:rsid w:val="00A34D01"/>
    <w:rPr>
      <w:rFonts w:cs="Times New Roman"/>
      <w:sz w:val="16"/>
      <w:szCs w:val="16"/>
    </w:rPr>
  </w:style>
  <w:style w:type="paragraph" w:styleId="CommentText">
    <w:name w:val="annotation text"/>
    <w:basedOn w:val="Normal"/>
    <w:link w:val="CommentTextChar"/>
    <w:uiPriority w:val="99"/>
    <w:rsid w:val="00A34D01"/>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A34D01"/>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A34D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A34D01"/>
    <w:rPr>
      <w:rFonts w:cs="Times New Roman"/>
      <w:vertAlign w:val="superscript"/>
    </w:rPr>
  </w:style>
  <w:style w:type="paragraph" w:styleId="EndnoteText">
    <w:name w:val="endnote text"/>
    <w:basedOn w:val="Normal"/>
    <w:link w:val="EndnoteTextChar"/>
    <w:uiPriority w:val="99"/>
    <w:rsid w:val="00A34D01"/>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A34D01"/>
    <w:pPr>
      <w:ind w:left="200" w:hanging="200"/>
    </w:pPr>
  </w:style>
  <w:style w:type="paragraph" w:styleId="Index2">
    <w:name w:val="index 2"/>
    <w:basedOn w:val="Normal"/>
    <w:next w:val="Normal"/>
    <w:autoRedefine/>
    <w:uiPriority w:val="99"/>
    <w:rsid w:val="00A34D01"/>
    <w:pPr>
      <w:ind w:left="400" w:hanging="200"/>
    </w:pPr>
  </w:style>
  <w:style w:type="paragraph" w:styleId="Index3">
    <w:name w:val="index 3"/>
    <w:basedOn w:val="Normal"/>
    <w:next w:val="Normal"/>
    <w:autoRedefine/>
    <w:uiPriority w:val="99"/>
    <w:rsid w:val="00A34D01"/>
    <w:pPr>
      <w:ind w:left="600" w:hanging="200"/>
    </w:pPr>
  </w:style>
  <w:style w:type="paragraph" w:styleId="Index4">
    <w:name w:val="index 4"/>
    <w:basedOn w:val="Normal"/>
    <w:next w:val="Normal"/>
    <w:autoRedefine/>
    <w:uiPriority w:val="99"/>
    <w:rsid w:val="00A34D01"/>
    <w:pPr>
      <w:ind w:left="800" w:hanging="200"/>
    </w:pPr>
  </w:style>
  <w:style w:type="paragraph" w:styleId="Index5">
    <w:name w:val="index 5"/>
    <w:basedOn w:val="Normal"/>
    <w:next w:val="Normal"/>
    <w:autoRedefine/>
    <w:uiPriority w:val="99"/>
    <w:rsid w:val="00A34D01"/>
    <w:pPr>
      <w:ind w:left="1000" w:hanging="200"/>
    </w:pPr>
  </w:style>
  <w:style w:type="paragraph" w:styleId="Index6">
    <w:name w:val="index 6"/>
    <w:basedOn w:val="Normal"/>
    <w:next w:val="Normal"/>
    <w:autoRedefine/>
    <w:uiPriority w:val="99"/>
    <w:rsid w:val="00A34D01"/>
    <w:pPr>
      <w:ind w:left="1200" w:hanging="200"/>
    </w:pPr>
  </w:style>
  <w:style w:type="paragraph" w:styleId="Index7">
    <w:name w:val="index 7"/>
    <w:basedOn w:val="Normal"/>
    <w:next w:val="Normal"/>
    <w:autoRedefine/>
    <w:uiPriority w:val="99"/>
    <w:rsid w:val="00A34D01"/>
    <w:pPr>
      <w:ind w:left="1400" w:hanging="200"/>
    </w:pPr>
  </w:style>
  <w:style w:type="paragraph" w:styleId="Index8">
    <w:name w:val="index 8"/>
    <w:basedOn w:val="Normal"/>
    <w:next w:val="Normal"/>
    <w:autoRedefine/>
    <w:uiPriority w:val="99"/>
    <w:rsid w:val="00A34D01"/>
    <w:pPr>
      <w:ind w:left="1600" w:hanging="200"/>
    </w:pPr>
  </w:style>
  <w:style w:type="paragraph" w:styleId="Index9">
    <w:name w:val="index 9"/>
    <w:basedOn w:val="Normal"/>
    <w:next w:val="Normal"/>
    <w:autoRedefine/>
    <w:uiPriority w:val="99"/>
    <w:rsid w:val="00A34D01"/>
    <w:pPr>
      <w:ind w:left="1800" w:hanging="200"/>
    </w:pPr>
  </w:style>
  <w:style w:type="paragraph" w:styleId="IndexHeading">
    <w:name w:val="index heading"/>
    <w:basedOn w:val="Normal"/>
    <w:next w:val="Index1"/>
    <w:uiPriority w:val="99"/>
    <w:rsid w:val="00A34D01"/>
    <w:rPr>
      <w:rFonts w:ascii="Arial" w:hAnsi="Arial" w:cs="Arial"/>
      <w:b/>
      <w:bCs/>
      <w:color w:val="2B7C32"/>
    </w:rPr>
  </w:style>
  <w:style w:type="paragraph" w:styleId="MacroText">
    <w:name w:val="macro"/>
    <w:link w:val="MacroTextChar"/>
    <w:uiPriority w:val="99"/>
    <w:rsid w:val="00A34D0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A34D01"/>
    <w:pPr>
      <w:ind w:left="200" w:hanging="200"/>
    </w:pPr>
  </w:style>
  <w:style w:type="paragraph" w:styleId="TableofFigures">
    <w:name w:val="table of figures"/>
    <w:basedOn w:val="Normal"/>
    <w:next w:val="Normal"/>
    <w:uiPriority w:val="99"/>
    <w:rsid w:val="00A34D01"/>
    <w:pPr>
      <w:ind w:left="400" w:hanging="400"/>
    </w:pPr>
  </w:style>
  <w:style w:type="paragraph" w:styleId="TOAHeading">
    <w:name w:val="toa heading"/>
    <w:basedOn w:val="Normal"/>
    <w:next w:val="Normal"/>
    <w:uiPriority w:val="99"/>
    <w:rsid w:val="00A34D01"/>
    <w:pPr>
      <w:spacing w:before="120"/>
    </w:pPr>
    <w:rPr>
      <w:rFonts w:ascii="Arial" w:hAnsi="Arial" w:cs="Arial"/>
      <w:b/>
      <w:bCs/>
      <w:sz w:val="24"/>
      <w:szCs w:val="24"/>
    </w:rPr>
  </w:style>
  <w:style w:type="paragraph" w:styleId="TOC5">
    <w:name w:val="toc 5"/>
    <w:basedOn w:val="TOC2"/>
    <w:next w:val="Normal"/>
    <w:autoRedefine/>
    <w:uiPriority w:val="99"/>
    <w:rsid w:val="00A34D01"/>
    <w:pPr>
      <w:ind w:left="1260" w:hanging="1260"/>
    </w:pPr>
  </w:style>
  <w:style w:type="paragraph" w:styleId="TOC6">
    <w:name w:val="toc 6"/>
    <w:basedOn w:val="Normal"/>
    <w:next w:val="Normal"/>
    <w:autoRedefine/>
    <w:uiPriority w:val="99"/>
    <w:rsid w:val="00A34D01"/>
    <w:pPr>
      <w:ind w:left="1000"/>
    </w:pPr>
  </w:style>
  <w:style w:type="paragraph" w:styleId="TOC7">
    <w:name w:val="toc 7"/>
    <w:basedOn w:val="Normal"/>
    <w:next w:val="Normal"/>
    <w:autoRedefine/>
    <w:uiPriority w:val="99"/>
    <w:rsid w:val="00A34D01"/>
    <w:pPr>
      <w:ind w:left="1200"/>
    </w:pPr>
  </w:style>
  <w:style w:type="paragraph" w:styleId="TOC8">
    <w:name w:val="toc 8"/>
    <w:basedOn w:val="Normal"/>
    <w:next w:val="Normal"/>
    <w:autoRedefine/>
    <w:uiPriority w:val="99"/>
    <w:rsid w:val="00A34D01"/>
    <w:pPr>
      <w:ind w:left="1400"/>
    </w:pPr>
  </w:style>
  <w:style w:type="paragraph" w:styleId="TOC9">
    <w:name w:val="toc 9"/>
    <w:basedOn w:val="Normal"/>
    <w:next w:val="Normal"/>
    <w:autoRedefine/>
    <w:uiPriority w:val="99"/>
    <w:rsid w:val="00A34D01"/>
    <w:pPr>
      <w:ind w:left="1600"/>
    </w:pPr>
  </w:style>
  <w:style w:type="paragraph" w:customStyle="1" w:styleId="AppendixAHeading3">
    <w:name w:val="AppendixAHeading3"/>
    <w:basedOn w:val="Heading3"/>
    <w:next w:val="AppendixAHeading4"/>
    <w:uiPriority w:val="99"/>
    <w:rsid w:val="00A34D01"/>
    <w:pPr>
      <w:numPr>
        <w:numId w:val="41"/>
      </w:numPr>
    </w:pPr>
    <w:rPr>
      <w:rFonts w:ascii="Arial Bold" w:hAnsi="Arial Bold"/>
      <w:i/>
    </w:rPr>
  </w:style>
  <w:style w:type="paragraph" w:customStyle="1" w:styleId="AppendixAHeading4">
    <w:name w:val="AppendixAHeading4"/>
    <w:basedOn w:val="Heading4"/>
    <w:next w:val="Bullet"/>
    <w:uiPriority w:val="99"/>
    <w:rsid w:val="00A34D01"/>
    <w:pPr>
      <w:numPr>
        <w:ilvl w:val="1"/>
        <w:numId w:val="42"/>
      </w:numPr>
    </w:pPr>
  </w:style>
  <w:style w:type="paragraph" w:customStyle="1" w:styleId="AppendixGHeading3">
    <w:name w:val="AppendixGHeading3"/>
    <w:basedOn w:val="Heading3"/>
    <w:uiPriority w:val="99"/>
    <w:rsid w:val="00A34D01"/>
    <w:pPr>
      <w:numPr>
        <w:numId w:val="29"/>
      </w:numPr>
    </w:pPr>
  </w:style>
  <w:style w:type="paragraph" w:customStyle="1" w:styleId="NumberedParagraph">
    <w:name w:val="Numbered Paragraph"/>
    <w:basedOn w:val="Normal"/>
    <w:uiPriority w:val="99"/>
    <w:rsid w:val="00A34D01"/>
    <w:pPr>
      <w:numPr>
        <w:numId w:val="24"/>
      </w:numPr>
    </w:pPr>
  </w:style>
  <w:style w:type="paragraph" w:customStyle="1" w:styleId="Heading3noTOC">
    <w:name w:val="Heading 3 no TOC"/>
    <w:basedOn w:val="Heading3"/>
    <w:uiPriority w:val="99"/>
    <w:rsid w:val="00A34D01"/>
    <w:pPr>
      <w:outlineLvl w:val="9"/>
    </w:pPr>
  </w:style>
  <w:style w:type="character" w:styleId="FollowedHyperlink">
    <w:name w:val="FollowedHyperlink"/>
    <w:basedOn w:val="DefaultParagraphFont"/>
    <w:uiPriority w:val="99"/>
    <w:rsid w:val="00A34D01"/>
    <w:rPr>
      <w:rFonts w:cs="Times New Roman"/>
      <w:color w:val="000000"/>
      <w:u w:val="none"/>
    </w:rPr>
  </w:style>
  <w:style w:type="paragraph" w:customStyle="1" w:styleId="Style1">
    <w:name w:val="Style1"/>
    <w:basedOn w:val="AppendixAHeading3"/>
    <w:next w:val="AppendixAHeading4"/>
    <w:uiPriority w:val="99"/>
    <w:rsid w:val="00A34D01"/>
    <w:pPr>
      <w:numPr>
        <w:numId w:val="0"/>
      </w:numPr>
    </w:pPr>
  </w:style>
  <w:style w:type="paragraph" w:customStyle="1" w:styleId="AppendixAHeading3NotItalic">
    <w:name w:val="AppendixAHeading3NotItalic"/>
    <w:basedOn w:val="HeadingBase"/>
    <w:next w:val="AppendixAHeading4"/>
    <w:uiPriority w:val="99"/>
    <w:rsid w:val="00A34D01"/>
    <w:pPr>
      <w:numPr>
        <w:numId w:val="42"/>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A34D01"/>
  </w:style>
  <w:style w:type="paragraph" w:customStyle="1" w:styleId="Heading2noTOC">
    <w:name w:val="Heading 2 no TOC"/>
    <w:basedOn w:val="Heading2"/>
    <w:next w:val="Normal"/>
    <w:uiPriority w:val="99"/>
    <w:rsid w:val="00A34D01"/>
    <w:pPr>
      <w:outlineLvl w:val="9"/>
    </w:pPr>
    <w:rPr>
      <w:rFonts w:ascii="Arial" w:hAnsi="Arial"/>
    </w:rPr>
  </w:style>
  <w:style w:type="paragraph" w:customStyle="1" w:styleId="Heading9noTOC">
    <w:name w:val="Heading 9 no TOC"/>
    <w:basedOn w:val="Heading9"/>
    <w:uiPriority w:val="99"/>
    <w:rsid w:val="00A34D01"/>
    <w:pPr>
      <w:outlineLvl w:val="9"/>
    </w:pPr>
  </w:style>
  <w:style w:type="paragraph" w:customStyle="1" w:styleId="CharChar1Char">
    <w:name w:val="Char Char1 Char"/>
    <w:basedOn w:val="Normal"/>
    <w:uiPriority w:val="99"/>
    <w:rsid w:val="005C6A96"/>
    <w:pPr>
      <w:spacing w:after="160" w:line="240" w:lineRule="exact"/>
      <w:jc w:val="left"/>
    </w:pPr>
    <w:rPr>
      <w:rFonts w:ascii="Arial" w:hAnsi="Arial"/>
      <w:color w:val="auto"/>
      <w:sz w:val="22"/>
      <w:lang w:val="en-GB" w:eastAsia="en-US"/>
    </w:rPr>
  </w:style>
  <w:style w:type="paragraph" w:customStyle="1" w:styleId="FIRBfootnotes">
    <w:name w:val="FIRB footnotes"/>
    <w:basedOn w:val="FootnoteText"/>
    <w:uiPriority w:val="99"/>
    <w:rsid w:val="005C6A96"/>
    <w:pPr>
      <w:spacing w:after="60"/>
      <w:jc w:val="left"/>
    </w:pPr>
    <w:rPr>
      <w:rFonts w:ascii="Arial" w:hAnsi="Arial" w:cs="Arial"/>
      <w:szCs w:val="18"/>
    </w:rPr>
  </w:style>
  <w:style w:type="paragraph" w:customStyle="1" w:styleId="SinglePara">
    <w:name w:val="Single Para"/>
    <w:basedOn w:val="Normal"/>
    <w:uiPriority w:val="99"/>
    <w:rsid w:val="00AB709A"/>
    <w:pPr>
      <w:spacing w:after="0"/>
    </w:pPr>
  </w:style>
  <w:style w:type="paragraph" w:customStyle="1" w:styleId="Heading3A">
    <w:name w:val="Heading 3A"/>
    <w:basedOn w:val="Heading3"/>
    <w:uiPriority w:val="99"/>
    <w:rsid w:val="00AE537D"/>
    <w:pPr>
      <w:spacing w:before="240" w:after="240" w:line="240" w:lineRule="auto"/>
    </w:pPr>
    <w:rPr>
      <w:rFonts w:ascii="Helvetica" w:hAnsi="Helvetica" w:cs="Helvetica"/>
      <w:smallCaps/>
      <w:color w:val="000080"/>
    </w:rPr>
  </w:style>
  <w:style w:type="table" w:styleId="TableGrid">
    <w:name w:val="Table Grid"/>
    <w:basedOn w:val="TableNormal"/>
    <w:uiPriority w:val="99"/>
    <w:semiHidden/>
    <w:rsid w:val="00AE537D"/>
    <w:pPr>
      <w:spacing w:after="240" w:line="260" w:lineRule="exact"/>
      <w:jc w:val="both"/>
    </w:pPr>
    <w:rPr>
      <w:rFonts w:ascii="Arial" w:hAnsi="Arial"/>
      <w:sz w:val="20"/>
      <w:szCs w:val="20"/>
    </w:rPr>
    <w:tblPr>
      <w:tblInd w:w="0" w:type="nil"/>
    </w:tblPr>
    <w:tcPr>
      <w:shd w:val="clear" w:color="auto" w:fill="E6E6E6"/>
    </w:tcPr>
  </w:style>
  <w:style w:type="paragraph" w:customStyle="1" w:styleId="Heading4noTOC">
    <w:name w:val="Heading 4 no TOC"/>
    <w:basedOn w:val="Heading4"/>
    <w:uiPriority w:val="99"/>
    <w:rsid w:val="00835A41"/>
  </w:style>
  <w:style w:type="paragraph" w:customStyle="1" w:styleId="Heading5noTOC">
    <w:name w:val="Heading 5 no TOC"/>
    <w:basedOn w:val="Heading5"/>
    <w:uiPriority w:val="99"/>
    <w:rsid w:val="00835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01"/>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A34D01"/>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A34D01"/>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A34D01"/>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A34D01"/>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A34D01"/>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A34D01"/>
    <w:pPr>
      <w:keepNext/>
      <w:spacing w:after="120"/>
      <w:outlineLvl w:val="5"/>
    </w:pPr>
    <w:rPr>
      <w:bCs/>
      <w:szCs w:val="22"/>
    </w:rPr>
  </w:style>
  <w:style w:type="paragraph" w:styleId="Heading7">
    <w:name w:val="heading 7"/>
    <w:basedOn w:val="Heading2"/>
    <w:next w:val="Normal"/>
    <w:link w:val="Heading7Char"/>
    <w:uiPriority w:val="99"/>
    <w:qFormat/>
    <w:rsid w:val="00A34D01"/>
    <w:pPr>
      <w:jc w:val="right"/>
      <w:outlineLvl w:val="6"/>
    </w:pPr>
  </w:style>
  <w:style w:type="paragraph" w:styleId="Heading8">
    <w:name w:val="heading 8"/>
    <w:basedOn w:val="HeadingBase"/>
    <w:next w:val="Normal"/>
    <w:link w:val="Heading8Char"/>
    <w:uiPriority w:val="99"/>
    <w:qFormat/>
    <w:rsid w:val="00A34D01"/>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A34D01"/>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A34D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A34D01"/>
    <w:pPr>
      <w:spacing w:after="0"/>
    </w:pPr>
  </w:style>
  <w:style w:type="character" w:styleId="Hyperlink">
    <w:name w:val="Hyperlink"/>
    <w:basedOn w:val="DefaultParagraphFont"/>
    <w:uiPriority w:val="99"/>
    <w:rsid w:val="00A34D01"/>
    <w:rPr>
      <w:rFonts w:cs="Times New Roman"/>
      <w:color w:val="000000"/>
      <w:u w:val="none"/>
    </w:rPr>
  </w:style>
  <w:style w:type="character" w:styleId="FootnoteReference">
    <w:name w:val="footnote reference"/>
    <w:basedOn w:val="DefaultParagraphFont"/>
    <w:uiPriority w:val="99"/>
    <w:rsid w:val="00A34D01"/>
    <w:rPr>
      <w:rFonts w:cs="Times New Roman"/>
      <w:vertAlign w:val="superscript"/>
    </w:rPr>
  </w:style>
  <w:style w:type="paragraph" w:styleId="BalloonText">
    <w:name w:val="Balloon Text"/>
    <w:basedOn w:val="Normal"/>
    <w:link w:val="BalloonTextChar"/>
    <w:uiPriority w:val="99"/>
    <w:rsid w:val="00A34D0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A34D01"/>
    <w:rPr>
      <w:rFonts w:ascii="Times" w:hAnsi="Times" w:cs="Times New Roman"/>
      <w:color w:val="2B7C32"/>
      <w:sz w:val="18"/>
      <w:szCs w:val="18"/>
    </w:rPr>
  </w:style>
  <w:style w:type="paragraph" w:styleId="FootnoteText">
    <w:name w:val="footnote text"/>
    <w:basedOn w:val="Normal"/>
    <w:link w:val="FootnoteTextChar"/>
    <w:uiPriority w:val="99"/>
    <w:rsid w:val="00A34D01"/>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A34D01"/>
    <w:pPr>
      <w:numPr>
        <w:numId w:val="1"/>
      </w:numPr>
      <w:ind w:left="284" w:hanging="284"/>
    </w:pPr>
  </w:style>
  <w:style w:type="paragraph" w:customStyle="1" w:styleId="Dash">
    <w:name w:val="Dash"/>
    <w:basedOn w:val="Normal"/>
    <w:uiPriority w:val="99"/>
    <w:rsid w:val="00A34D01"/>
    <w:pPr>
      <w:numPr>
        <w:ilvl w:val="1"/>
        <w:numId w:val="1"/>
      </w:numPr>
      <w:ind w:left="568"/>
    </w:pPr>
  </w:style>
  <w:style w:type="paragraph" w:customStyle="1" w:styleId="DoubleDot">
    <w:name w:val="Double Dot"/>
    <w:basedOn w:val="Normal"/>
    <w:uiPriority w:val="99"/>
    <w:rsid w:val="00A34D01"/>
    <w:pPr>
      <w:numPr>
        <w:ilvl w:val="2"/>
        <w:numId w:val="1"/>
      </w:numPr>
    </w:pPr>
  </w:style>
  <w:style w:type="paragraph" w:customStyle="1" w:styleId="OutlineNumbered1">
    <w:name w:val="Outline Numbered 1"/>
    <w:basedOn w:val="Normal"/>
    <w:uiPriority w:val="99"/>
    <w:rsid w:val="00A34D01"/>
    <w:pPr>
      <w:numPr>
        <w:numId w:val="2"/>
      </w:numPr>
    </w:pPr>
  </w:style>
  <w:style w:type="paragraph" w:customStyle="1" w:styleId="OutlineNumbered2">
    <w:name w:val="Outline Numbered 2"/>
    <w:basedOn w:val="Normal"/>
    <w:uiPriority w:val="99"/>
    <w:rsid w:val="00A34D01"/>
    <w:pPr>
      <w:numPr>
        <w:ilvl w:val="1"/>
        <w:numId w:val="2"/>
      </w:numPr>
    </w:pPr>
  </w:style>
  <w:style w:type="paragraph" w:customStyle="1" w:styleId="OutlineNumbered3">
    <w:name w:val="Outline Numbered 3"/>
    <w:basedOn w:val="Normal"/>
    <w:uiPriority w:val="99"/>
    <w:rsid w:val="00A34D01"/>
    <w:pPr>
      <w:numPr>
        <w:ilvl w:val="2"/>
        <w:numId w:val="2"/>
      </w:numPr>
    </w:pPr>
  </w:style>
  <w:style w:type="paragraph" w:customStyle="1" w:styleId="AlphaParagraph">
    <w:name w:val="Alpha Paragraph"/>
    <w:basedOn w:val="Normal"/>
    <w:uiPriority w:val="99"/>
    <w:rsid w:val="00A34D01"/>
    <w:pPr>
      <w:numPr>
        <w:numId w:val="3"/>
      </w:numPr>
    </w:pPr>
  </w:style>
  <w:style w:type="paragraph" w:customStyle="1" w:styleId="HeadingBase">
    <w:name w:val="Heading Base"/>
    <w:next w:val="Normal"/>
    <w:uiPriority w:val="99"/>
    <w:rsid w:val="00A34D01"/>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A34D01"/>
    <w:pPr>
      <w:spacing w:before="720" w:after="360"/>
    </w:pPr>
    <w:rPr>
      <w:rFonts w:ascii="Arial Bold" w:hAnsi="Arial Bold"/>
      <w:b/>
      <w:smallCaps/>
      <w:sz w:val="36"/>
      <w:szCs w:val="36"/>
    </w:rPr>
  </w:style>
  <w:style w:type="character" w:customStyle="1" w:styleId="Bold">
    <w:name w:val="Bold"/>
    <w:basedOn w:val="DefaultParagraphFont"/>
    <w:uiPriority w:val="99"/>
    <w:rsid w:val="00A34D01"/>
    <w:rPr>
      <w:rFonts w:cs="Times New Roman"/>
      <w:b/>
    </w:rPr>
  </w:style>
  <w:style w:type="paragraph" w:customStyle="1" w:styleId="BoxHeading">
    <w:name w:val="Box Heading"/>
    <w:basedOn w:val="HeadingBase"/>
    <w:next w:val="BoxText"/>
    <w:uiPriority w:val="99"/>
    <w:rsid w:val="00A34D01"/>
    <w:pPr>
      <w:spacing w:before="120" w:after="120"/>
    </w:pPr>
    <w:rPr>
      <w:b/>
      <w:sz w:val="22"/>
    </w:rPr>
  </w:style>
  <w:style w:type="paragraph" w:customStyle="1" w:styleId="BoxTextBase">
    <w:name w:val="Box Text Base"/>
    <w:basedOn w:val="Normal"/>
    <w:uiPriority w:val="99"/>
    <w:rsid w:val="00A34D01"/>
    <w:pPr>
      <w:spacing w:before="120" w:after="120" w:line="240" w:lineRule="auto"/>
    </w:pPr>
  </w:style>
  <w:style w:type="paragraph" w:customStyle="1" w:styleId="ChartandTableFootnoteAlpha">
    <w:name w:val="Chart and Table Footnote Alpha"/>
    <w:uiPriority w:val="99"/>
    <w:rsid w:val="00A34D01"/>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A34D01"/>
    <w:pPr>
      <w:jc w:val="center"/>
    </w:pPr>
  </w:style>
  <w:style w:type="paragraph" w:customStyle="1" w:styleId="ChartMainHeading">
    <w:name w:val="Chart Main Heading"/>
    <w:basedOn w:val="HeadingBase"/>
    <w:next w:val="ChartGraphic"/>
    <w:uiPriority w:val="99"/>
    <w:rsid w:val="00A34D01"/>
    <w:pPr>
      <w:keepNext/>
      <w:spacing w:before="170" w:after="113"/>
      <w:jc w:val="center"/>
    </w:pPr>
    <w:rPr>
      <w:b/>
      <w:sz w:val="22"/>
    </w:rPr>
  </w:style>
  <w:style w:type="paragraph" w:customStyle="1" w:styleId="ChartorTableNote">
    <w:name w:val="Chart or Table Note"/>
    <w:next w:val="Normal"/>
    <w:uiPriority w:val="99"/>
    <w:rsid w:val="00A34D01"/>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A34D01"/>
    <w:pPr>
      <w:keepNext/>
      <w:spacing w:after="20"/>
      <w:jc w:val="center"/>
    </w:pPr>
  </w:style>
  <w:style w:type="paragraph" w:customStyle="1" w:styleId="Classification">
    <w:name w:val="Classification"/>
    <w:basedOn w:val="HeadingBase"/>
    <w:next w:val="Footer"/>
    <w:uiPriority w:val="99"/>
    <w:rsid w:val="00A34D01"/>
    <w:pPr>
      <w:spacing w:after="120"/>
      <w:jc w:val="center"/>
    </w:pPr>
    <w:rPr>
      <w:b/>
      <w:smallCaps/>
    </w:rPr>
  </w:style>
  <w:style w:type="paragraph" w:styleId="Footer">
    <w:name w:val="footer"/>
    <w:basedOn w:val="HeadingBase"/>
    <w:link w:val="FooterChar"/>
    <w:uiPriority w:val="99"/>
    <w:rsid w:val="00A34D01"/>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A34D01"/>
    <w:pPr>
      <w:spacing w:after="360"/>
    </w:pPr>
    <w:rPr>
      <w:smallCaps/>
      <w:sz w:val="36"/>
      <w:szCs w:val="36"/>
    </w:rPr>
  </w:style>
  <w:style w:type="paragraph" w:customStyle="1" w:styleId="CoverTitleMain">
    <w:name w:val="Cover Title Main"/>
    <w:basedOn w:val="HeadingBase"/>
    <w:next w:val="Normal"/>
    <w:uiPriority w:val="99"/>
    <w:rsid w:val="00A34D01"/>
    <w:pPr>
      <w:spacing w:after="360"/>
      <w:jc w:val="right"/>
    </w:pPr>
    <w:rPr>
      <w:b/>
      <w:sz w:val="44"/>
    </w:rPr>
  </w:style>
  <w:style w:type="paragraph" w:customStyle="1" w:styleId="CoverTitleSub">
    <w:name w:val="Cover Title Sub"/>
    <w:basedOn w:val="HeadingBase"/>
    <w:uiPriority w:val="99"/>
    <w:rsid w:val="00A34D01"/>
    <w:pPr>
      <w:spacing w:after="360"/>
      <w:jc w:val="center"/>
    </w:pPr>
    <w:rPr>
      <w:sz w:val="36"/>
    </w:rPr>
  </w:style>
  <w:style w:type="paragraph" w:customStyle="1" w:styleId="FooterCentered">
    <w:name w:val="Footer Centered"/>
    <w:basedOn w:val="Footer"/>
    <w:uiPriority w:val="99"/>
    <w:rsid w:val="00A34D01"/>
    <w:pPr>
      <w:jc w:val="center"/>
    </w:pPr>
  </w:style>
  <w:style w:type="paragraph" w:customStyle="1" w:styleId="FooterEven">
    <w:name w:val="Footer Even"/>
    <w:basedOn w:val="Footer"/>
    <w:uiPriority w:val="99"/>
    <w:rsid w:val="00A34D01"/>
  </w:style>
  <w:style w:type="paragraph" w:customStyle="1" w:styleId="FooterOdd">
    <w:name w:val="Footer Odd"/>
    <w:basedOn w:val="Footer"/>
    <w:uiPriority w:val="99"/>
    <w:rsid w:val="00A34D01"/>
    <w:pPr>
      <w:jc w:val="right"/>
    </w:pPr>
  </w:style>
  <w:style w:type="character" w:customStyle="1" w:styleId="FramedFooter">
    <w:name w:val="Framed Footer"/>
    <w:uiPriority w:val="99"/>
    <w:rsid w:val="00A34D01"/>
    <w:rPr>
      <w:rFonts w:ascii="Arial" w:hAnsi="Arial"/>
      <w:color w:val="2B7C32"/>
      <w:sz w:val="18"/>
    </w:rPr>
  </w:style>
  <w:style w:type="character" w:customStyle="1" w:styleId="FramedHeader">
    <w:name w:val="Framed Header"/>
    <w:basedOn w:val="DefaultParagraphFont"/>
    <w:uiPriority w:val="99"/>
    <w:rsid w:val="00A34D01"/>
    <w:rPr>
      <w:rFonts w:ascii="Arial" w:hAnsi="Arial" w:cs="Times New Roman"/>
      <w:color w:val="2B7C32"/>
      <w:sz w:val="18"/>
      <w:szCs w:val="18"/>
      <w:vertAlign w:val="baseline"/>
    </w:rPr>
  </w:style>
  <w:style w:type="paragraph" w:styleId="Header">
    <w:name w:val="header"/>
    <w:basedOn w:val="HeadingBase"/>
    <w:link w:val="HeaderChar"/>
    <w:uiPriority w:val="99"/>
    <w:rsid w:val="00A34D01"/>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A34D01"/>
  </w:style>
  <w:style w:type="paragraph" w:customStyle="1" w:styleId="HeaderOdd">
    <w:name w:val="Header Odd"/>
    <w:basedOn w:val="Header"/>
    <w:uiPriority w:val="99"/>
    <w:rsid w:val="00A34D01"/>
    <w:pPr>
      <w:jc w:val="right"/>
    </w:pPr>
  </w:style>
  <w:style w:type="paragraph" w:styleId="NormalIndent">
    <w:name w:val="Normal Indent"/>
    <w:basedOn w:val="Normal"/>
    <w:uiPriority w:val="99"/>
    <w:rsid w:val="00A34D01"/>
    <w:pPr>
      <w:ind w:left="567"/>
    </w:pPr>
  </w:style>
  <w:style w:type="paragraph" w:customStyle="1" w:styleId="RecommendationHeading">
    <w:name w:val="Recommendation Heading"/>
    <w:basedOn w:val="HeadingBase"/>
    <w:next w:val="RecommendationText"/>
    <w:uiPriority w:val="99"/>
    <w:rsid w:val="00A34D01"/>
    <w:pPr>
      <w:spacing w:after="240"/>
    </w:pPr>
    <w:rPr>
      <w:b/>
      <w:sz w:val="22"/>
    </w:rPr>
  </w:style>
  <w:style w:type="paragraph" w:customStyle="1" w:styleId="RecommendationBaseText">
    <w:name w:val="Recommendation Base Text"/>
    <w:basedOn w:val="Normal"/>
    <w:uiPriority w:val="99"/>
    <w:rsid w:val="00A34D01"/>
  </w:style>
  <w:style w:type="paragraph" w:customStyle="1" w:styleId="RecommendationText">
    <w:name w:val="Recommendation Text"/>
    <w:basedOn w:val="RecommendationBaseText"/>
    <w:uiPriority w:val="99"/>
    <w:rsid w:val="00A34D01"/>
  </w:style>
  <w:style w:type="paragraph" w:customStyle="1" w:styleId="TableTextBase">
    <w:name w:val="Table Text Base"/>
    <w:uiPriority w:val="99"/>
    <w:rsid w:val="00A34D01"/>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A34D01"/>
    <w:pPr>
      <w:jc w:val="center"/>
    </w:pPr>
    <w:rPr>
      <w:b/>
    </w:rPr>
  </w:style>
  <w:style w:type="paragraph" w:customStyle="1" w:styleId="TableColumnHeadingLeft">
    <w:name w:val="Table Column Heading Left"/>
    <w:basedOn w:val="TableTextBase"/>
    <w:uiPriority w:val="99"/>
    <w:rsid w:val="00A34D01"/>
    <w:rPr>
      <w:b/>
    </w:rPr>
  </w:style>
  <w:style w:type="paragraph" w:customStyle="1" w:styleId="TableColumnHeadingRight">
    <w:name w:val="Table Column Heading Right"/>
    <w:basedOn w:val="TableTextBase"/>
    <w:uiPriority w:val="99"/>
    <w:rsid w:val="00A34D01"/>
    <w:pPr>
      <w:jc w:val="right"/>
    </w:pPr>
    <w:rPr>
      <w:b/>
    </w:rPr>
  </w:style>
  <w:style w:type="paragraph" w:customStyle="1" w:styleId="TableGraphic">
    <w:name w:val="Table Graphic"/>
    <w:basedOn w:val="HeadingBase"/>
    <w:next w:val="Normal"/>
    <w:uiPriority w:val="99"/>
    <w:rsid w:val="00A34D01"/>
    <w:pPr>
      <w:spacing w:after="20"/>
      <w:ind w:right="-113"/>
    </w:pPr>
    <w:rPr>
      <w:rFonts w:ascii="Helvetica" w:hAnsi="Helvetica"/>
    </w:rPr>
  </w:style>
  <w:style w:type="paragraph" w:customStyle="1" w:styleId="TableMainHeading">
    <w:name w:val="Table Main Heading"/>
    <w:basedOn w:val="HeadingBase"/>
    <w:next w:val="TableGraphic"/>
    <w:uiPriority w:val="99"/>
    <w:rsid w:val="00A34D01"/>
    <w:pPr>
      <w:keepNext/>
      <w:spacing w:before="170" w:after="113"/>
    </w:pPr>
    <w:rPr>
      <w:b/>
      <w:sz w:val="22"/>
    </w:rPr>
  </w:style>
  <w:style w:type="paragraph" w:customStyle="1" w:styleId="TableMainHeadingContd">
    <w:name w:val="Table Main Heading Contd"/>
    <w:basedOn w:val="HeadingBase"/>
    <w:next w:val="TableGraphic"/>
    <w:uiPriority w:val="99"/>
    <w:rsid w:val="00A34D01"/>
    <w:pPr>
      <w:keepNext/>
      <w:spacing w:after="20"/>
    </w:pPr>
    <w:rPr>
      <w:b/>
      <w:sz w:val="22"/>
    </w:rPr>
  </w:style>
  <w:style w:type="paragraph" w:customStyle="1" w:styleId="TableSecondHeading">
    <w:name w:val="Table Second Heading"/>
    <w:basedOn w:val="HeadingBase"/>
    <w:next w:val="TableGraphic"/>
    <w:uiPriority w:val="99"/>
    <w:rsid w:val="00A34D01"/>
    <w:pPr>
      <w:keepNext/>
      <w:spacing w:after="20"/>
    </w:pPr>
  </w:style>
  <w:style w:type="paragraph" w:customStyle="1" w:styleId="TableTextCentered">
    <w:name w:val="Table Text Centered"/>
    <w:basedOn w:val="TableTextBase"/>
    <w:uiPriority w:val="99"/>
    <w:rsid w:val="00A34D01"/>
    <w:pPr>
      <w:jc w:val="center"/>
    </w:pPr>
  </w:style>
  <w:style w:type="paragraph" w:customStyle="1" w:styleId="TableTextIndented">
    <w:name w:val="Table Text Indented"/>
    <w:basedOn w:val="TableTextBase"/>
    <w:uiPriority w:val="99"/>
    <w:rsid w:val="00A34D01"/>
    <w:pPr>
      <w:ind w:left="284"/>
    </w:pPr>
  </w:style>
  <w:style w:type="paragraph" w:customStyle="1" w:styleId="TableTextLeft">
    <w:name w:val="Table Text Left"/>
    <w:basedOn w:val="TableTextBase"/>
    <w:uiPriority w:val="99"/>
    <w:rsid w:val="00A34D01"/>
  </w:style>
  <w:style w:type="paragraph" w:customStyle="1" w:styleId="TableTextRight">
    <w:name w:val="Table Text Right"/>
    <w:basedOn w:val="TableTextBase"/>
    <w:uiPriority w:val="99"/>
    <w:rsid w:val="00A34D01"/>
    <w:pPr>
      <w:jc w:val="right"/>
    </w:pPr>
  </w:style>
  <w:style w:type="paragraph" w:styleId="TOC1">
    <w:name w:val="toc 1"/>
    <w:basedOn w:val="HeadingBase"/>
    <w:next w:val="Normal"/>
    <w:uiPriority w:val="99"/>
    <w:rsid w:val="00A34D01"/>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A34D01"/>
    <w:pPr>
      <w:tabs>
        <w:tab w:val="left" w:pos="1247"/>
        <w:tab w:val="right" w:leader="dot" w:pos="7700"/>
      </w:tabs>
      <w:spacing w:after="0"/>
      <w:ind w:right="851"/>
    </w:pPr>
    <w:rPr>
      <w:noProof/>
    </w:rPr>
  </w:style>
  <w:style w:type="paragraph" w:styleId="TOC3">
    <w:name w:val="toc 3"/>
    <w:basedOn w:val="Normal"/>
    <w:next w:val="Normal"/>
    <w:uiPriority w:val="99"/>
    <w:rsid w:val="00A34D01"/>
    <w:pPr>
      <w:tabs>
        <w:tab w:val="right" w:leader="dot" w:pos="7700"/>
      </w:tabs>
      <w:spacing w:after="0" w:line="240" w:lineRule="auto"/>
      <w:ind w:left="284" w:right="851"/>
    </w:pPr>
    <w:rPr>
      <w:noProof/>
    </w:rPr>
  </w:style>
  <w:style w:type="paragraph" w:styleId="TOC4">
    <w:name w:val="toc 4"/>
    <w:basedOn w:val="Normal"/>
    <w:next w:val="Normal"/>
    <w:uiPriority w:val="99"/>
    <w:rsid w:val="00A34D01"/>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A34D01"/>
    <w:rPr>
      <w:rFonts w:cs="Times New Roman"/>
      <w:i/>
    </w:rPr>
  </w:style>
  <w:style w:type="paragraph" w:customStyle="1" w:styleId="OneLevelNumberedParagraph">
    <w:name w:val="One Level Numbered Paragraph"/>
    <w:basedOn w:val="Normal"/>
    <w:uiPriority w:val="99"/>
    <w:rsid w:val="00A34D01"/>
    <w:pPr>
      <w:numPr>
        <w:numId w:val="10"/>
      </w:numPr>
    </w:pPr>
  </w:style>
  <w:style w:type="paragraph" w:customStyle="1" w:styleId="BoxText">
    <w:name w:val="Box Text"/>
    <w:basedOn w:val="BoxTextBase"/>
    <w:uiPriority w:val="99"/>
    <w:rsid w:val="00A34D01"/>
  </w:style>
  <w:style w:type="paragraph" w:customStyle="1" w:styleId="BoxBullet">
    <w:name w:val="Box Bullet"/>
    <w:basedOn w:val="BoxTextBase"/>
    <w:uiPriority w:val="99"/>
    <w:rsid w:val="00A34D01"/>
    <w:pPr>
      <w:numPr>
        <w:numId w:val="9"/>
      </w:numPr>
    </w:pPr>
  </w:style>
  <w:style w:type="paragraph" w:customStyle="1" w:styleId="BoxDash">
    <w:name w:val="Box Dash"/>
    <w:basedOn w:val="Normal"/>
    <w:uiPriority w:val="99"/>
    <w:rsid w:val="00A34D01"/>
    <w:pPr>
      <w:numPr>
        <w:ilvl w:val="1"/>
        <w:numId w:val="9"/>
      </w:numPr>
    </w:pPr>
  </w:style>
  <w:style w:type="paragraph" w:customStyle="1" w:styleId="BoxDoubleDot">
    <w:name w:val="Box Double Dot"/>
    <w:basedOn w:val="BoxTextBase"/>
    <w:uiPriority w:val="99"/>
    <w:rsid w:val="00A34D01"/>
    <w:pPr>
      <w:numPr>
        <w:ilvl w:val="2"/>
        <w:numId w:val="9"/>
      </w:numPr>
    </w:pPr>
  </w:style>
  <w:style w:type="paragraph" w:customStyle="1" w:styleId="RecommendationBullet">
    <w:name w:val="Recommendation Bullet"/>
    <w:basedOn w:val="RecommendationBaseText"/>
    <w:uiPriority w:val="99"/>
    <w:rsid w:val="00A34D01"/>
    <w:pPr>
      <w:numPr>
        <w:numId w:val="11"/>
      </w:numPr>
    </w:pPr>
  </w:style>
  <w:style w:type="paragraph" w:customStyle="1" w:styleId="RecommendationDash">
    <w:name w:val="Recommendation Dash"/>
    <w:basedOn w:val="RecommendationBaseText"/>
    <w:uiPriority w:val="99"/>
    <w:rsid w:val="00A34D01"/>
    <w:pPr>
      <w:numPr>
        <w:ilvl w:val="1"/>
        <w:numId w:val="11"/>
      </w:numPr>
    </w:pPr>
  </w:style>
  <w:style w:type="paragraph" w:customStyle="1" w:styleId="RecommendationDoubleDot">
    <w:name w:val="Recommendation Double Dot"/>
    <w:basedOn w:val="RecommendationBaseText"/>
    <w:uiPriority w:val="99"/>
    <w:rsid w:val="00A34D01"/>
    <w:pPr>
      <w:numPr>
        <w:ilvl w:val="2"/>
        <w:numId w:val="11"/>
      </w:numPr>
    </w:pPr>
  </w:style>
  <w:style w:type="character" w:customStyle="1" w:styleId="Boldanditalic">
    <w:name w:val="Bold and italic"/>
    <w:basedOn w:val="DefaultParagraphFont"/>
    <w:uiPriority w:val="99"/>
    <w:rsid w:val="00A34D01"/>
    <w:rPr>
      <w:rFonts w:cs="Times New Roman"/>
      <w:b/>
      <w:i/>
    </w:rPr>
  </w:style>
  <w:style w:type="paragraph" w:styleId="Caption">
    <w:name w:val="caption"/>
    <w:basedOn w:val="Normal"/>
    <w:next w:val="Normal"/>
    <w:uiPriority w:val="99"/>
    <w:qFormat/>
    <w:rsid w:val="00A34D01"/>
    <w:pPr>
      <w:spacing w:before="120" w:after="120"/>
    </w:pPr>
    <w:rPr>
      <w:b/>
      <w:bCs/>
    </w:rPr>
  </w:style>
  <w:style w:type="character" w:styleId="CommentReference">
    <w:name w:val="annotation reference"/>
    <w:basedOn w:val="DefaultParagraphFont"/>
    <w:uiPriority w:val="99"/>
    <w:rsid w:val="00A34D01"/>
    <w:rPr>
      <w:rFonts w:cs="Times New Roman"/>
      <w:sz w:val="16"/>
      <w:szCs w:val="16"/>
    </w:rPr>
  </w:style>
  <w:style w:type="paragraph" w:styleId="CommentText">
    <w:name w:val="annotation text"/>
    <w:basedOn w:val="Normal"/>
    <w:link w:val="CommentTextChar"/>
    <w:uiPriority w:val="99"/>
    <w:rsid w:val="00A34D01"/>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A34D01"/>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A34D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A34D01"/>
    <w:rPr>
      <w:rFonts w:cs="Times New Roman"/>
      <w:vertAlign w:val="superscript"/>
    </w:rPr>
  </w:style>
  <w:style w:type="paragraph" w:styleId="EndnoteText">
    <w:name w:val="endnote text"/>
    <w:basedOn w:val="Normal"/>
    <w:link w:val="EndnoteTextChar"/>
    <w:uiPriority w:val="99"/>
    <w:rsid w:val="00A34D01"/>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A34D01"/>
    <w:pPr>
      <w:ind w:left="200" w:hanging="200"/>
    </w:pPr>
  </w:style>
  <w:style w:type="paragraph" w:styleId="Index2">
    <w:name w:val="index 2"/>
    <w:basedOn w:val="Normal"/>
    <w:next w:val="Normal"/>
    <w:autoRedefine/>
    <w:uiPriority w:val="99"/>
    <w:rsid w:val="00A34D01"/>
    <w:pPr>
      <w:ind w:left="400" w:hanging="200"/>
    </w:pPr>
  </w:style>
  <w:style w:type="paragraph" w:styleId="Index3">
    <w:name w:val="index 3"/>
    <w:basedOn w:val="Normal"/>
    <w:next w:val="Normal"/>
    <w:autoRedefine/>
    <w:uiPriority w:val="99"/>
    <w:rsid w:val="00A34D01"/>
    <w:pPr>
      <w:ind w:left="600" w:hanging="200"/>
    </w:pPr>
  </w:style>
  <w:style w:type="paragraph" w:styleId="Index4">
    <w:name w:val="index 4"/>
    <w:basedOn w:val="Normal"/>
    <w:next w:val="Normal"/>
    <w:autoRedefine/>
    <w:uiPriority w:val="99"/>
    <w:rsid w:val="00A34D01"/>
    <w:pPr>
      <w:ind w:left="800" w:hanging="200"/>
    </w:pPr>
  </w:style>
  <w:style w:type="paragraph" w:styleId="Index5">
    <w:name w:val="index 5"/>
    <w:basedOn w:val="Normal"/>
    <w:next w:val="Normal"/>
    <w:autoRedefine/>
    <w:uiPriority w:val="99"/>
    <w:rsid w:val="00A34D01"/>
    <w:pPr>
      <w:ind w:left="1000" w:hanging="200"/>
    </w:pPr>
  </w:style>
  <w:style w:type="paragraph" w:styleId="Index6">
    <w:name w:val="index 6"/>
    <w:basedOn w:val="Normal"/>
    <w:next w:val="Normal"/>
    <w:autoRedefine/>
    <w:uiPriority w:val="99"/>
    <w:rsid w:val="00A34D01"/>
    <w:pPr>
      <w:ind w:left="1200" w:hanging="200"/>
    </w:pPr>
  </w:style>
  <w:style w:type="paragraph" w:styleId="Index7">
    <w:name w:val="index 7"/>
    <w:basedOn w:val="Normal"/>
    <w:next w:val="Normal"/>
    <w:autoRedefine/>
    <w:uiPriority w:val="99"/>
    <w:rsid w:val="00A34D01"/>
    <w:pPr>
      <w:ind w:left="1400" w:hanging="200"/>
    </w:pPr>
  </w:style>
  <w:style w:type="paragraph" w:styleId="Index8">
    <w:name w:val="index 8"/>
    <w:basedOn w:val="Normal"/>
    <w:next w:val="Normal"/>
    <w:autoRedefine/>
    <w:uiPriority w:val="99"/>
    <w:rsid w:val="00A34D01"/>
    <w:pPr>
      <w:ind w:left="1600" w:hanging="200"/>
    </w:pPr>
  </w:style>
  <w:style w:type="paragraph" w:styleId="Index9">
    <w:name w:val="index 9"/>
    <w:basedOn w:val="Normal"/>
    <w:next w:val="Normal"/>
    <w:autoRedefine/>
    <w:uiPriority w:val="99"/>
    <w:rsid w:val="00A34D01"/>
    <w:pPr>
      <w:ind w:left="1800" w:hanging="200"/>
    </w:pPr>
  </w:style>
  <w:style w:type="paragraph" w:styleId="IndexHeading">
    <w:name w:val="index heading"/>
    <w:basedOn w:val="Normal"/>
    <w:next w:val="Index1"/>
    <w:uiPriority w:val="99"/>
    <w:rsid w:val="00A34D01"/>
    <w:rPr>
      <w:rFonts w:ascii="Arial" w:hAnsi="Arial" w:cs="Arial"/>
      <w:b/>
      <w:bCs/>
      <w:color w:val="2B7C32"/>
    </w:rPr>
  </w:style>
  <w:style w:type="paragraph" w:styleId="MacroText">
    <w:name w:val="macro"/>
    <w:link w:val="MacroTextChar"/>
    <w:uiPriority w:val="99"/>
    <w:rsid w:val="00A34D0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A34D01"/>
    <w:pPr>
      <w:ind w:left="200" w:hanging="200"/>
    </w:pPr>
  </w:style>
  <w:style w:type="paragraph" w:styleId="TableofFigures">
    <w:name w:val="table of figures"/>
    <w:basedOn w:val="Normal"/>
    <w:next w:val="Normal"/>
    <w:uiPriority w:val="99"/>
    <w:rsid w:val="00A34D01"/>
    <w:pPr>
      <w:ind w:left="400" w:hanging="400"/>
    </w:pPr>
  </w:style>
  <w:style w:type="paragraph" w:styleId="TOAHeading">
    <w:name w:val="toa heading"/>
    <w:basedOn w:val="Normal"/>
    <w:next w:val="Normal"/>
    <w:uiPriority w:val="99"/>
    <w:rsid w:val="00A34D01"/>
    <w:pPr>
      <w:spacing w:before="120"/>
    </w:pPr>
    <w:rPr>
      <w:rFonts w:ascii="Arial" w:hAnsi="Arial" w:cs="Arial"/>
      <w:b/>
      <w:bCs/>
      <w:sz w:val="24"/>
      <w:szCs w:val="24"/>
    </w:rPr>
  </w:style>
  <w:style w:type="paragraph" w:styleId="TOC5">
    <w:name w:val="toc 5"/>
    <w:basedOn w:val="TOC2"/>
    <w:next w:val="Normal"/>
    <w:autoRedefine/>
    <w:uiPriority w:val="99"/>
    <w:rsid w:val="00A34D01"/>
    <w:pPr>
      <w:ind w:left="1260" w:hanging="1260"/>
    </w:pPr>
  </w:style>
  <w:style w:type="paragraph" w:styleId="TOC6">
    <w:name w:val="toc 6"/>
    <w:basedOn w:val="Normal"/>
    <w:next w:val="Normal"/>
    <w:autoRedefine/>
    <w:uiPriority w:val="99"/>
    <w:rsid w:val="00A34D01"/>
    <w:pPr>
      <w:ind w:left="1000"/>
    </w:pPr>
  </w:style>
  <w:style w:type="paragraph" w:styleId="TOC7">
    <w:name w:val="toc 7"/>
    <w:basedOn w:val="Normal"/>
    <w:next w:val="Normal"/>
    <w:autoRedefine/>
    <w:uiPriority w:val="99"/>
    <w:rsid w:val="00A34D01"/>
    <w:pPr>
      <w:ind w:left="1200"/>
    </w:pPr>
  </w:style>
  <w:style w:type="paragraph" w:styleId="TOC8">
    <w:name w:val="toc 8"/>
    <w:basedOn w:val="Normal"/>
    <w:next w:val="Normal"/>
    <w:autoRedefine/>
    <w:uiPriority w:val="99"/>
    <w:rsid w:val="00A34D01"/>
    <w:pPr>
      <w:ind w:left="1400"/>
    </w:pPr>
  </w:style>
  <w:style w:type="paragraph" w:styleId="TOC9">
    <w:name w:val="toc 9"/>
    <w:basedOn w:val="Normal"/>
    <w:next w:val="Normal"/>
    <w:autoRedefine/>
    <w:uiPriority w:val="99"/>
    <w:rsid w:val="00A34D01"/>
    <w:pPr>
      <w:ind w:left="1600"/>
    </w:pPr>
  </w:style>
  <w:style w:type="paragraph" w:customStyle="1" w:styleId="AppendixAHeading3">
    <w:name w:val="AppendixAHeading3"/>
    <w:basedOn w:val="Heading3"/>
    <w:next w:val="AppendixAHeading4"/>
    <w:uiPriority w:val="99"/>
    <w:rsid w:val="00A34D01"/>
    <w:pPr>
      <w:numPr>
        <w:numId w:val="41"/>
      </w:numPr>
    </w:pPr>
    <w:rPr>
      <w:rFonts w:ascii="Arial Bold" w:hAnsi="Arial Bold"/>
      <w:i/>
    </w:rPr>
  </w:style>
  <w:style w:type="paragraph" w:customStyle="1" w:styleId="AppendixAHeading4">
    <w:name w:val="AppendixAHeading4"/>
    <w:basedOn w:val="Heading4"/>
    <w:next w:val="Bullet"/>
    <w:uiPriority w:val="99"/>
    <w:rsid w:val="00A34D01"/>
    <w:pPr>
      <w:numPr>
        <w:ilvl w:val="1"/>
        <w:numId w:val="42"/>
      </w:numPr>
    </w:pPr>
  </w:style>
  <w:style w:type="paragraph" w:customStyle="1" w:styleId="AppendixGHeading3">
    <w:name w:val="AppendixGHeading3"/>
    <w:basedOn w:val="Heading3"/>
    <w:uiPriority w:val="99"/>
    <w:rsid w:val="00A34D01"/>
    <w:pPr>
      <w:numPr>
        <w:numId w:val="29"/>
      </w:numPr>
    </w:pPr>
  </w:style>
  <w:style w:type="paragraph" w:customStyle="1" w:styleId="NumberedParagraph">
    <w:name w:val="Numbered Paragraph"/>
    <w:basedOn w:val="Normal"/>
    <w:uiPriority w:val="99"/>
    <w:rsid w:val="00A34D01"/>
    <w:pPr>
      <w:numPr>
        <w:numId w:val="24"/>
      </w:numPr>
    </w:pPr>
  </w:style>
  <w:style w:type="paragraph" w:customStyle="1" w:styleId="Heading3noTOC">
    <w:name w:val="Heading 3 no TOC"/>
    <w:basedOn w:val="Heading3"/>
    <w:uiPriority w:val="99"/>
    <w:rsid w:val="00A34D01"/>
    <w:pPr>
      <w:outlineLvl w:val="9"/>
    </w:pPr>
  </w:style>
  <w:style w:type="character" w:styleId="FollowedHyperlink">
    <w:name w:val="FollowedHyperlink"/>
    <w:basedOn w:val="DefaultParagraphFont"/>
    <w:uiPriority w:val="99"/>
    <w:rsid w:val="00A34D01"/>
    <w:rPr>
      <w:rFonts w:cs="Times New Roman"/>
      <w:color w:val="000000"/>
      <w:u w:val="none"/>
    </w:rPr>
  </w:style>
  <w:style w:type="paragraph" w:customStyle="1" w:styleId="Style1">
    <w:name w:val="Style1"/>
    <w:basedOn w:val="AppendixAHeading3"/>
    <w:next w:val="AppendixAHeading4"/>
    <w:uiPriority w:val="99"/>
    <w:rsid w:val="00A34D01"/>
    <w:pPr>
      <w:numPr>
        <w:numId w:val="0"/>
      </w:numPr>
    </w:pPr>
  </w:style>
  <w:style w:type="paragraph" w:customStyle="1" w:styleId="AppendixAHeading3NotItalic">
    <w:name w:val="AppendixAHeading3NotItalic"/>
    <w:basedOn w:val="HeadingBase"/>
    <w:next w:val="AppendixAHeading4"/>
    <w:uiPriority w:val="99"/>
    <w:rsid w:val="00A34D01"/>
    <w:pPr>
      <w:numPr>
        <w:numId w:val="42"/>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A34D01"/>
  </w:style>
  <w:style w:type="paragraph" w:customStyle="1" w:styleId="Heading2noTOC">
    <w:name w:val="Heading 2 no TOC"/>
    <w:basedOn w:val="Heading2"/>
    <w:next w:val="Normal"/>
    <w:uiPriority w:val="99"/>
    <w:rsid w:val="00A34D01"/>
    <w:pPr>
      <w:outlineLvl w:val="9"/>
    </w:pPr>
    <w:rPr>
      <w:rFonts w:ascii="Arial" w:hAnsi="Arial"/>
    </w:rPr>
  </w:style>
  <w:style w:type="paragraph" w:customStyle="1" w:styleId="Heading9noTOC">
    <w:name w:val="Heading 9 no TOC"/>
    <w:basedOn w:val="Heading9"/>
    <w:uiPriority w:val="99"/>
    <w:rsid w:val="00A34D01"/>
    <w:pPr>
      <w:outlineLvl w:val="9"/>
    </w:pPr>
  </w:style>
  <w:style w:type="paragraph" w:customStyle="1" w:styleId="CharChar1Char">
    <w:name w:val="Char Char1 Char"/>
    <w:basedOn w:val="Normal"/>
    <w:uiPriority w:val="99"/>
    <w:rsid w:val="005C6A96"/>
    <w:pPr>
      <w:spacing w:after="160" w:line="240" w:lineRule="exact"/>
      <w:jc w:val="left"/>
    </w:pPr>
    <w:rPr>
      <w:rFonts w:ascii="Arial" w:hAnsi="Arial"/>
      <w:color w:val="auto"/>
      <w:sz w:val="22"/>
      <w:lang w:val="en-GB" w:eastAsia="en-US"/>
    </w:rPr>
  </w:style>
  <w:style w:type="paragraph" w:customStyle="1" w:styleId="FIRBfootnotes">
    <w:name w:val="FIRB footnotes"/>
    <w:basedOn w:val="FootnoteText"/>
    <w:uiPriority w:val="99"/>
    <w:rsid w:val="005C6A96"/>
    <w:pPr>
      <w:spacing w:after="60"/>
      <w:jc w:val="left"/>
    </w:pPr>
    <w:rPr>
      <w:rFonts w:ascii="Arial" w:hAnsi="Arial" w:cs="Arial"/>
      <w:szCs w:val="18"/>
    </w:rPr>
  </w:style>
  <w:style w:type="paragraph" w:customStyle="1" w:styleId="SinglePara">
    <w:name w:val="Single Para"/>
    <w:basedOn w:val="Normal"/>
    <w:uiPriority w:val="99"/>
    <w:rsid w:val="00AB709A"/>
    <w:pPr>
      <w:spacing w:after="0"/>
    </w:pPr>
  </w:style>
  <w:style w:type="paragraph" w:customStyle="1" w:styleId="Heading3A">
    <w:name w:val="Heading 3A"/>
    <w:basedOn w:val="Heading3"/>
    <w:uiPriority w:val="99"/>
    <w:rsid w:val="00AE537D"/>
    <w:pPr>
      <w:spacing w:before="240" w:after="240" w:line="240" w:lineRule="auto"/>
    </w:pPr>
    <w:rPr>
      <w:rFonts w:ascii="Helvetica" w:hAnsi="Helvetica" w:cs="Helvetica"/>
      <w:smallCaps/>
      <w:color w:val="000080"/>
    </w:rPr>
  </w:style>
  <w:style w:type="table" w:styleId="TableGrid">
    <w:name w:val="Table Grid"/>
    <w:basedOn w:val="TableNormal"/>
    <w:uiPriority w:val="99"/>
    <w:semiHidden/>
    <w:rsid w:val="00AE537D"/>
    <w:pPr>
      <w:spacing w:after="240" w:line="260" w:lineRule="exact"/>
      <w:jc w:val="both"/>
    </w:pPr>
    <w:rPr>
      <w:rFonts w:ascii="Arial" w:hAnsi="Arial"/>
      <w:sz w:val="20"/>
      <w:szCs w:val="20"/>
    </w:rPr>
    <w:tblPr>
      <w:tblInd w:w="0" w:type="nil"/>
    </w:tblPr>
    <w:tcPr>
      <w:shd w:val="clear" w:color="auto" w:fill="E6E6E6"/>
    </w:tcPr>
  </w:style>
  <w:style w:type="paragraph" w:customStyle="1" w:styleId="Heading4noTOC">
    <w:name w:val="Heading 4 no TOC"/>
    <w:basedOn w:val="Heading4"/>
    <w:uiPriority w:val="99"/>
    <w:rsid w:val="00835A41"/>
  </w:style>
  <w:style w:type="paragraph" w:customStyle="1" w:styleId="Heading5noTOC">
    <w:name w:val="Heading 5 no TOC"/>
    <w:basedOn w:val="Heading5"/>
    <w:uiPriority w:val="99"/>
    <w:rsid w:val="0083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law.gov.au/comlaw/management.nsf/lookupindexpagesbyid/IP200402783?OpenDocument" TargetMode="External"/><Relationship Id="rId18" Type="http://schemas.openxmlformats.org/officeDocument/2006/relationships/hyperlink" Target="http://www.firb.gov.au/content/policy.asp?NavID=1" TargetMode="External"/><Relationship Id="rId3" Type="http://schemas.microsoft.com/office/2007/relationships/stylesWithEffects" Target="stylesWithEffects.xml"/><Relationship Id="rId21" Type="http://schemas.openxmlformats.org/officeDocument/2006/relationships/hyperlink" Target="mailto:enquiries@treasury.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firb.gov.au/content/default.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law.gov.au/ComLaw/Management.nsf/current/bytitle/C1FC7DB8C7CF23A6CA256F710006B982?OpenDocument&amp;mostrecent=1" TargetMode="External"/><Relationship Id="rId20" Type="http://schemas.openxmlformats.org/officeDocument/2006/relationships/hyperlink" Target="mailto:firbenquiries@treasury.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rb.gov.au/content/policy.asp?NavID=1"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firb.gov.au/content/default.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mlaw.gov.au/ComLaw/Management.nsf/current/bytitle/6650A5A69073BDF8CA256F710006B363?OpenDocument&amp;mostrecent=1"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mlaw.gov.au/ComLaw/Management.nsf/current/bytitle/6650A5A69073BDF8CA256F710006B363?OpenDocument&amp;mostrecent=1" TargetMode="External"/><Relationship Id="rId1" Type="http://schemas.openxmlformats.org/officeDocument/2006/relationships/hyperlink" Target="http://www.comlaw.gov.au/ComLaw/Legislation/ActCompilation1.nsf/current/bytitle/AA1C2617808E9AA9CA256F89001094E6?OpenDocument&amp;mostrecen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1</TotalTime>
  <Pages>22</Pages>
  <Words>6040</Words>
  <Characters>34431</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Appendix A - FIRB 2007-08 Annual Report</vt:lpstr>
    </vt:vector>
  </TitlesOfParts>
  <Company>Australian Government - The Treasury</Company>
  <LinksUpToDate>false</LinksUpToDate>
  <CharactersWithSpaces>40391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FIRB 2007-08 Annual Report</dc:title>
  <dc:creator>McCormack, Kate</dc:creator>
  <cp:lastModifiedBy>Keogh, Vicky</cp:lastModifiedBy>
  <cp:revision>2</cp:revision>
  <cp:lastPrinted>2009-07-07T05:43:00Z</cp:lastPrinted>
  <dcterms:created xsi:type="dcterms:W3CDTF">2016-01-18T00:52:00Z</dcterms:created>
  <dcterms:modified xsi:type="dcterms:W3CDTF">2016-01-18T00:52:00Z</dcterms:modified>
</cp:coreProperties>
</file>