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75" w:rsidRPr="00110415" w:rsidRDefault="00F06B75" w:rsidP="006E3DD8">
      <w:pPr>
        <w:pStyle w:val="Heading8"/>
      </w:pPr>
      <w:bookmarkStart w:id="0" w:name="_GoBack"/>
      <w:bookmarkEnd w:id="0"/>
      <w:r w:rsidRPr="00110415">
        <w:t>Chapter 2</w:t>
      </w:r>
    </w:p>
    <w:p w:rsidR="00F06B75" w:rsidRDefault="00F06B75" w:rsidP="006E3DD8">
      <w:pPr>
        <w:pStyle w:val="Heading9"/>
      </w:pPr>
      <w:r>
        <w:t xml:space="preserve">Foreign </w:t>
      </w:r>
      <w:r w:rsidR="003A03D3">
        <w:t>investment</w:t>
      </w:r>
      <w:r>
        <w:br/>
      </w:r>
      <w:r w:rsidR="003A03D3">
        <w:t>proposals</w:t>
      </w:r>
    </w:p>
    <w:p w:rsidR="00F06B75" w:rsidRDefault="00F06B75" w:rsidP="006E3DD8">
      <w:pPr>
        <w:pStyle w:val="Heading9"/>
        <w:sectPr w:rsidR="00F06B75" w:rsidSect="00CF1959">
          <w:headerReference w:type="even" r:id="rId8"/>
          <w:headerReference w:type="default" r:id="rId9"/>
          <w:footnotePr>
            <w:numStart w:val="3"/>
          </w:footnotePr>
          <w:pgSz w:w="11907" w:h="16840" w:code="9"/>
          <w:pgMar w:top="2466" w:right="2098" w:bottom="2466" w:left="2098" w:header="1899" w:footer="1899" w:gutter="0"/>
          <w:paperSrc w:first="15" w:other="15"/>
          <w:pgNumType w:start="13"/>
          <w:cols w:space="720"/>
          <w:titlePg/>
          <w:docGrid w:linePitch="360"/>
        </w:sectPr>
      </w:pPr>
    </w:p>
    <w:p w:rsidR="00F06B75" w:rsidRDefault="00F06B75"/>
    <w:p w:rsidR="00F06B75" w:rsidRDefault="00F06B75" w:rsidP="00667611">
      <w:pPr>
        <w:sectPr w:rsidR="00F06B75" w:rsidSect="00CF1959">
          <w:headerReference w:type="first" r:id="rId10"/>
          <w:footerReference w:type="first" r:id="rId11"/>
          <w:footnotePr>
            <w:numStart w:val="3"/>
          </w:footnotePr>
          <w:pgSz w:w="11907" w:h="16840" w:code="9"/>
          <w:pgMar w:top="2466" w:right="2098" w:bottom="2466" w:left="2098" w:header="1899" w:footer="1899" w:gutter="0"/>
          <w:paperSrc w:first="15" w:other="15"/>
          <w:cols w:space="720"/>
          <w:titlePg/>
          <w:docGrid w:linePitch="360"/>
        </w:sectPr>
      </w:pPr>
    </w:p>
    <w:p w:rsidR="00F06B75" w:rsidRDefault="00F06B75" w:rsidP="00367B71">
      <w:pPr>
        <w:pStyle w:val="Heading1noTOC"/>
      </w:pPr>
      <w:r>
        <w:lastRenderedPageBreak/>
        <w:t xml:space="preserve">Foreign </w:t>
      </w:r>
      <w:r w:rsidR="006C5F4A">
        <w:t>investment proposals</w:t>
      </w:r>
    </w:p>
    <w:p w:rsidR="00F06B75" w:rsidRDefault="00F06B75">
      <w:r>
        <w:t xml:space="preserve">This chapter provides </w:t>
      </w:r>
      <w:r w:rsidR="002B7612">
        <w:t xml:space="preserve">an overview and </w:t>
      </w:r>
      <w:r>
        <w:t xml:space="preserve">statistical information on </w:t>
      </w:r>
      <w:r w:rsidR="00FA4868">
        <w:t>applications</w:t>
      </w:r>
      <w:r w:rsidR="004965E2" w:rsidRPr="00D278BA">
        <w:t xml:space="preserve"> </w:t>
      </w:r>
      <w:r w:rsidR="005579A1">
        <w:t>consider</w:t>
      </w:r>
      <w:r w:rsidR="00075E10" w:rsidRPr="00D278BA">
        <w:t>ed</w:t>
      </w:r>
      <w:r w:rsidRPr="00D278BA">
        <w:t xml:space="preserve"> in 200</w:t>
      </w:r>
      <w:r w:rsidR="009C2653">
        <w:t>7</w:t>
      </w:r>
      <w:r w:rsidR="007D00F8">
        <w:noBreakHyphen/>
      </w:r>
      <w:r w:rsidR="00AD754B">
        <w:t>0</w:t>
      </w:r>
      <w:r w:rsidR="009C2653">
        <w:t>8</w:t>
      </w:r>
      <w:r w:rsidRPr="00D278BA">
        <w:t>.</w:t>
      </w:r>
      <w:r>
        <w:t xml:space="preserve"> </w:t>
      </w:r>
    </w:p>
    <w:p w:rsidR="00F06B75" w:rsidRDefault="002B7612" w:rsidP="003D79FF">
      <w:pPr>
        <w:pStyle w:val="Heading2"/>
      </w:pPr>
      <w:r>
        <w:t xml:space="preserve">Features </w:t>
      </w:r>
      <w:r w:rsidR="00F06B75">
        <w:t>of the</w:t>
      </w:r>
      <w:r>
        <w:t>se</w:t>
      </w:r>
      <w:r w:rsidR="00F06B75">
        <w:t xml:space="preserve"> </w:t>
      </w:r>
      <w:r w:rsidR="00517983">
        <w:t>s</w:t>
      </w:r>
      <w:r>
        <w:t>tatistics</w:t>
      </w:r>
    </w:p>
    <w:p w:rsidR="00F06B75" w:rsidRDefault="00F06B75">
      <w:r>
        <w:t>While</w:t>
      </w:r>
      <w:r w:rsidRPr="002C0AF4">
        <w:rPr>
          <w:color w:val="auto"/>
        </w:rPr>
        <w:t xml:space="preserve"> th</w:t>
      </w:r>
      <w:r w:rsidR="00C10ECB">
        <w:t xml:space="preserve">is </w:t>
      </w:r>
      <w:r w:rsidR="002B7612">
        <w:t>c</w:t>
      </w:r>
      <w:r w:rsidR="00C10ECB">
        <w:t xml:space="preserve">hapter </w:t>
      </w:r>
      <w:r>
        <w:t>provide</w:t>
      </w:r>
      <w:r w:rsidR="00C10ECB">
        <w:t>s</w:t>
      </w:r>
      <w:r>
        <w:t xml:space="preserve"> a useful source of data on foreign direct investment in Australia, </w:t>
      </w:r>
      <w:r w:rsidR="0082316F">
        <w:t>the Board</w:t>
      </w:r>
      <w:r>
        <w:t xml:space="preserve"> urges particular caution in the use</w:t>
      </w:r>
      <w:r w:rsidR="0082316F">
        <w:t xml:space="preserve"> of the</w:t>
      </w:r>
      <w:r w:rsidR="00C10ECB">
        <w:t>se</w:t>
      </w:r>
      <w:r w:rsidR="0082316F">
        <w:t xml:space="preserve"> statistics</w:t>
      </w:r>
      <w:r>
        <w:t>, including when making comparisons with earlier years</w:t>
      </w:r>
      <w:r w:rsidR="00075E10">
        <w:t xml:space="preserve"> as policy</w:t>
      </w:r>
      <w:r w:rsidR="00A7012E">
        <w:t>,</w:t>
      </w:r>
      <w:r w:rsidR="00075E10">
        <w:t xml:space="preserve"> data capture and reporting methodologies change over time</w:t>
      </w:r>
      <w:r>
        <w:t xml:space="preserve">. </w:t>
      </w:r>
      <w:r w:rsidR="002B7612">
        <w:t xml:space="preserve">As set out in Chapter 4 of this </w:t>
      </w:r>
      <w:r w:rsidR="002D34EC">
        <w:t>report</w:t>
      </w:r>
      <w:r w:rsidR="002B7612">
        <w:t>, t</w:t>
      </w:r>
      <w:r>
        <w:t xml:space="preserve">here are </w:t>
      </w:r>
      <w:r w:rsidR="002B7612">
        <w:t xml:space="preserve">also </w:t>
      </w:r>
      <w:r>
        <w:t>substantial differences between the</w:t>
      </w:r>
      <w:r w:rsidR="008A109D">
        <w:t xml:space="preserve"> </w:t>
      </w:r>
      <w:r w:rsidRPr="008A109D">
        <w:rPr>
          <w:color w:val="auto"/>
        </w:rPr>
        <w:t>Board</w:t>
      </w:r>
      <w:r w:rsidR="003D79FF">
        <w:rPr>
          <w:color w:val="auto"/>
        </w:rPr>
        <w:t>’</w:t>
      </w:r>
      <w:r>
        <w:t xml:space="preserve">s statistics and </w:t>
      </w:r>
      <w:r w:rsidR="00A7012E">
        <w:t>actual investment</w:t>
      </w:r>
      <w:r w:rsidR="0068258A">
        <w:t xml:space="preserve"> flows</w:t>
      </w:r>
      <w:r w:rsidR="00C03285">
        <w:t xml:space="preserve">. </w:t>
      </w:r>
      <w:r w:rsidR="00A7012E">
        <w:t xml:space="preserve">The latter is more reliably captured by </w:t>
      </w:r>
      <w:r>
        <w:t>Australian Bureau of Statistics (ABS)</w:t>
      </w:r>
      <w:r w:rsidR="00A7012E">
        <w:t xml:space="preserve"> data</w:t>
      </w:r>
      <w:r>
        <w:t>, which seek</w:t>
      </w:r>
      <w:r w:rsidR="00E864F5">
        <w:t>s</w:t>
      </w:r>
      <w:r>
        <w:t xml:space="preserve"> to </w:t>
      </w:r>
      <w:r w:rsidR="00A7012E">
        <w:t>reflect more comprehensively</w:t>
      </w:r>
      <w:r>
        <w:t xml:space="preserve"> investment transactions between residents of Australia and non</w:t>
      </w:r>
      <w:r w:rsidR="007D00F8">
        <w:noBreakHyphen/>
      </w:r>
      <w:r>
        <w:t>residents.</w:t>
      </w:r>
      <w:r w:rsidRPr="000112DC">
        <w:t xml:space="preserve"> </w:t>
      </w:r>
    </w:p>
    <w:p w:rsidR="00F06B75" w:rsidRDefault="00F06B75">
      <w:r>
        <w:t xml:space="preserve">The statistics contained in this </w:t>
      </w:r>
      <w:r w:rsidR="002D34EC">
        <w:t>report</w:t>
      </w:r>
      <w:r>
        <w:t xml:space="preserve"> </w:t>
      </w:r>
      <w:r w:rsidR="0068258A">
        <w:t xml:space="preserve">do </w:t>
      </w:r>
      <w:r>
        <w:t xml:space="preserve">not measure </w:t>
      </w:r>
      <w:r w:rsidR="002B7612">
        <w:t>total</w:t>
      </w:r>
      <w:r>
        <w:t xml:space="preserve"> foreign investment</w:t>
      </w:r>
      <w:r w:rsidR="0068258A">
        <w:t xml:space="preserve"> made</w:t>
      </w:r>
      <w:r>
        <w:t xml:space="preserve"> in any year, nor do they measure changes in </w:t>
      </w:r>
      <w:r w:rsidR="007411AF">
        <w:t xml:space="preserve">net </w:t>
      </w:r>
      <w:r>
        <w:t>foreign ownership</w:t>
      </w:r>
      <w:r w:rsidR="0068258A">
        <w:t xml:space="preserve"> levels in Australia</w:t>
      </w:r>
      <w:r>
        <w:t xml:space="preserve">. </w:t>
      </w:r>
      <w:r w:rsidR="0068258A">
        <w:t>Rather</w:t>
      </w:r>
      <w:r w:rsidR="00E80F40">
        <w:t>,</w:t>
      </w:r>
      <w:r w:rsidR="0068258A">
        <w:t xml:space="preserve"> they provide information on t</w:t>
      </w:r>
      <w:r w:rsidR="00C10ECB">
        <w:t xml:space="preserve">hose </w:t>
      </w:r>
      <w:r>
        <w:t xml:space="preserve">investments </w:t>
      </w:r>
      <w:r w:rsidR="00C10ECB">
        <w:t xml:space="preserve">that fall </w:t>
      </w:r>
      <w:r>
        <w:t xml:space="preserve">within the scope of the </w:t>
      </w:r>
      <w:r w:rsidRPr="006F3FB8">
        <w:rPr>
          <w:i/>
          <w:iCs/>
        </w:rPr>
        <w:t>Foreign Acquisitions and Takeovers Act</w:t>
      </w:r>
      <w:r w:rsidR="002B7612">
        <w:rPr>
          <w:i/>
          <w:iCs/>
        </w:rPr>
        <w:t> </w:t>
      </w:r>
      <w:r w:rsidRPr="006F3FB8">
        <w:rPr>
          <w:i/>
          <w:iCs/>
        </w:rPr>
        <w:t>1975</w:t>
      </w:r>
      <w:r>
        <w:t xml:space="preserve"> (</w:t>
      </w:r>
      <w:r w:rsidR="00FA4868">
        <w:t xml:space="preserve">the </w:t>
      </w:r>
      <w:r w:rsidR="002B7612">
        <w:t>FATA</w:t>
      </w:r>
      <w:r>
        <w:t>) and the Government</w:t>
      </w:r>
      <w:r w:rsidR="003D79FF">
        <w:t>’</w:t>
      </w:r>
      <w:r>
        <w:t>s foreign investment policy</w:t>
      </w:r>
      <w:r w:rsidR="00692153">
        <w:t xml:space="preserve"> (the policy)</w:t>
      </w:r>
      <w:r>
        <w:t>.</w:t>
      </w:r>
      <w:r w:rsidR="005579A1" w:rsidRPr="004A2E6E">
        <w:t xml:space="preserve"> The monetary value attributed to approved proposals is the amount advised </w:t>
      </w:r>
      <w:r w:rsidR="003C12EB">
        <w:t>by the applicants</w:t>
      </w:r>
      <w:r w:rsidR="00850F55">
        <w:t>. It represents</w:t>
      </w:r>
      <w:r w:rsidR="005579A1" w:rsidRPr="004A2E6E">
        <w:t xml:space="preserve"> an estimate of the expected investment in that and subsequent years</w:t>
      </w:r>
      <w:r w:rsidR="00850F55">
        <w:t xml:space="preserve"> that would result</w:t>
      </w:r>
      <w:r w:rsidR="005579A1" w:rsidRPr="004A2E6E">
        <w:t xml:space="preserve"> </w:t>
      </w:r>
      <w:r w:rsidR="007F212D" w:rsidRPr="004A2E6E">
        <w:t>if</w:t>
      </w:r>
      <w:r w:rsidR="005579A1" w:rsidRPr="004A2E6E">
        <w:t xml:space="preserve"> the proposal is in fact implemented.</w:t>
      </w:r>
      <w:r w:rsidR="005579A1">
        <w:t xml:space="preserve"> </w:t>
      </w:r>
      <w:r w:rsidR="0068258A">
        <w:t xml:space="preserve">The statistics therefore provide partial coverage of all foreign investments made and include some transactions that did not actually proceed. </w:t>
      </w:r>
      <w:r w:rsidR="00E80F40">
        <w:t xml:space="preserve">Several points </w:t>
      </w:r>
      <w:r w:rsidR="0068258A">
        <w:t>should be noted</w:t>
      </w:r>
      <w:r w:rsidR="00A92BD1">
        <w:t>:</w:t>
      </w:r>
    </w:p>
    <w:p w:rsidR="00F06B75" w:rsidRPr="00980647" w:rsidRDefault="001C42F2" w:rsidP="00B26524">
      <w:pPr>
        <w:pStyle w:val="Bullet"/>
      </w:pPr>
      <w:r>
        <w:t>T</w:t>
      </w:r>
      <w:r w:rsidR="00F06B75" w:rsidRPr="00A10076">
        <w:t>he data do</w:t>
      </w:r>
      <w:r w:rsidR="009B3C83">
        <w:t>es</w:t>
      </w:r>
      <w:r w:rsidR="00F06B75" w:rsidRPr="00A10076">
        <w:t xml:space="preserve"> not cover foreign investments below the </w:t>
      </w:r>
      <w:r w:rsidR="00083A3D">
        <w:t xml:space="preserve">various monetary and percentage </w:t>
      </w:r>
      <w:r w:rsidR="00F06B75" w:rsidRPr="00A10076">
        <w:t>thresholds</w:t>
      </w:r>
      <w:r w:rsidR="00197C8D" w:rsidRPr="00A10076">
        <w:t xml:space="preserve"> </w:t>
      </w:r>
      <w:r w:rsidR="00C10ECB" w:rsidRPr="00A10076">
        <w:t>that</w:t>
      </w:r>
      <w:r w:rsidR="00C10ECB">
        <w:t xml:space="preserve"> apply under the </w:t>
      </w:r>
      <w:r w:rsidR="00083A3D">
        <w:t xml:space="preserve">FATA </w:t>
      </w:r>
      <w:r w:rsidR="00C10ECB">
        <w:t>and the</w:t>
      </w:r>
      <w:r w:rsidR="00F06B75">
        <w:t xml:space="preserve"> </w:t>
      </w:r>
      <w:r w:rsidR="00197C8D">
        <w:t>policy</w:t>
      </w:r>
      <w:r w:rsidR="00EA4318">
        <w:t>, including for new businesses</w:t>
      </w:r>
      <w:r w:rsidR="00150717">
        <w:t xml:space="preserve"> </w:t>
      </w:r>
      <w:r w:rsidR="00EA4318">
        <w:t xml:space="preserve">and acquisitions by foreign governments. </w:t>
      </w:r>
      <w:r w:rsidR="00150717">
        <w:t>Nor do</w:t>
      </w:r>
      <w:r w:rsidR="009B3C83">
        <w:t>es</w:t>
      </w:r>
      <w:r w:rsidR="00150717">
        <w:t xml:space="preserve"> the data cover </w:t>
      </w:r>
      <w:r w:rsidR="0068258A">
        <w:t>follow</w:t>
      </w:r>
      <w:r w:rsidR="007D00F8">
        <w:noBreakHyphen/>
      </w:r>
      <w:r w:rsidR="0068258A">
        <w:t xml:space="preserve">on investments to </w:t>
      </w:r>
      <w:r w:rsidR="00F06B75">
        <w:t>expan</w:t>
      </w:r>
      <w:r w:rsidR="0068258A">
        <w:t>d the capital stock of</w:t>
      </w:r>
      <w:r w:rsidR="00F06B75">
        <w:t xml:space="preserve"> existing foreign</w:t>
      </w:r>
      <w:r w:rsidR="007D00F8">
        <w:noBreakHyphen/>
      </w:r>
      <w:r w:rsidR="00F06B75">
        <w:t>owned businesses (both in existing areas and into related areas)</w:t>
      </w:r>
      <w:r w:rsidR="00F06B75" w:rsidRPr="0082316F">
        <w:t>.</w:t>
      </w:r>
      <w:r w:rsidR="00F06B75">
        <w:t xml:space="preserve"> </w:t>
      </w:r>
      <w:r w:rsidR="00732277">
        <w:t xml:space="preserve">See </w:t>
      </w:r>
      <w:r w:rsidR="00732277" w:rsidRPr="00980647">
        <w:rPr>
          <w:bCs/>
        </w:rPr>
        <w:t>Appendix A</w:t>
      </w:r>
      <w:r w:rsidR="00732277">
        <w:t xml:space="preserve"> for t</w:t>
      </w:r>
      <w:r w:rsidR="00F06B75">
        <w:t>he current thresholds</w:t>
      </w:r>
      <w:r w:rsidR="00F06B75" w:rsidRPr="00980647">
        <w:t>.</w:t>
      </w:r>
    </w:p>
    <w:p w:rsidR="00F06B75" w:rsidRDefault="001C42F2" w:rsidP="00B26524">
      <w:pPr>
        <w:pStyle w:val="Bullet"/>
      </w:pPr>
      <w:r>
        <w:t>T</w:t>
      </w:r>
      <w:r w:rsidR="00F06B75">
        <w:t xml:space="preserve">he figures </w:t>
      </w:r>
      <w:r w:rsidR="001048D4">
        <w:t>are based on the</w:t>
      </w:r>
      <w:r w:rsidR="00A10076">
        <w:t xml:space="preserve"> assumption that</w:t>
      </w:r>
      <w:r w:rsidR="001048D4">
        <w:t xml:space="preserve"> </w:t>
      </w:r>
      <w:r w:rsidR="00197C8D">
        <w:t>investment funds</w:t>
      </w:r>
      <w:r w:rsidR="00A10076">
        <w:t xml:space="preserve"> will</w:t>
      </w:r>
      <w:r w:rsidR="00197C8D">
        <w:t xml:space="preserve"> </w:t>
      </w:r>
      <w:r w:rsidR="001048D4">
        <w:t>be</w:t>
      </w:r>
      <w:r w:rsidR="00197C8D">
        <w:t xml:space="preserve"> </w:t>
      </w:r>
      <w:r w:rsidR="00A67AB1">
        <w:t xml:space="preserve">sourced </w:t>
      </w:r>
      <w:r w:rsidR="00197C8D">
        <w:t>from overseas</w:t>
      </w:r>
      <w:r w:rsidR="00F06B75">
        <w:t xml:space="preserve">. The extent to which approved investment proposals will </w:t>
      </w:r>
      <w:r w:rsidR="00197C8D">
        <w:t xml:space="preserve">actually </w:t>
      </w:r>
      <w:r w:rsidR="0068258A">
        <w:t xml:space="preserve">be funded externally and therefore </w:t>
      </w:r>
      <w:r w:rsidR="00F06B75">
        <w:t>result in foreign capital inflows depends not only upon whether the</w:t>
      </w:r>
      <w:r w:rsidR="00490B09">
        <w:t>y</w:t>
      </w:r>
      <w:r w:rsidR="00F06B75">
        <w:t xml:space="preserve"> are implemented, but also upon the proportion </w:t>
      </w:r>
      <w:r w:rsidR="00197C8D">
        <w:t xml:space="preserve">that is </w:t>
      </w:r>
      <w:r w:rsidR="00F06B75">
        <w:t>financed from foreign sources. Some (</w:t>
      </w:r>
      <w:r w:rsidR="00197C8D">
        <w:t>and</w:t>
      </w:r>
      <w:r w:rsidR="00F06B75">
        <w:t xml:space="preserve"> in some cases all) of the proposed funds to be invested may be contributed by Australians, for example, where they are in partnership with foreign interests or</w:t>
      </w:r>
      <w:r w:rsidR="00490B09">
        <w:t xml:space="preserve"> where</w:t>
      </w:r>
      <w:r w:rsidR="00F06B75">
        <w:t xml:space="preserve"> the </w:t>
      </w:r>
      <w:r w:rsidR="00197C8D">
        <w:t>investment</w:t>
      </w:r>
      <w:r w:rsidR="00F06B75">
        <w:t xml:space="preserve"> is financed from existing Australian operations. </w:t>
      </w:r>
    </w:p>
    <w:p w:rsidR="00392C7A" w:rsidRDefault="001C42F2" w:rsidP="00392C7A">
      <w:pPr>
        <w:pStyle w:val="Bullet"/>
      </w:pPr>
      <w:r>
        <w:lastRenderedPageBreak/>
        <w:t>T</w:t>
      </w:r>
      <w:r w:rsidR="00392C7A" w:rsidRPr="000815CE">
        <w:t xml:space="preserve">he source of funds identified in the Board’s statistics does not necessarily imply </w:t>
      </w:r>
      <w:r w:rsidR="00392C7A">
        <w:t xml:space="preserve">the country of </w:t>
      </w:r>
      <w:r w:rsidR="00392C7A" w:rsidRPr="000815CE">
        <w:t>control. For example</w:t>
      </w:r>
      <w:r w:rsidR="00392C7A">
        <w:t>,</w:t>
      </w:r>
      <w:r w:rsidR="00392C7A" w:rsidRPr="000815CE">
        <w:t xml:space="preserve"> if a company has a single substantial shareholder, the country of that shareholder is recorded</w:t>
      </w:r>
      <w:r w:rsidR="00392C7A">
        <w:t>,</w:t>
      </w:r>
      <w:r w:rsidR="00392C7A" w:rsidRPr="000815CE">
        <w:t xml:space="preserve"> or if a company’s shares are widely held, the country of domicile/incorporation is recorded.</w:t>
      </w:r>
    </w:p>
    <w:p w:rsidR="00C70829" w:rsidRDefault="001C42F2" w:rsidP="00B26524">
      <w:pPr>
        <w:pStyle w:val="Bullet"/>
      </w:pPr>
      <w:r>
        <w:t>T</w:t>
      </w:r>
      <w:r w:rsidR="00C70829" w:rsidRPr="00A10076">
        <w:t>he data do</w:t>
      </w:r>
      <w:r w:rsidR="009B3C83">
        <w:t>es</w:t>
      </w:r>
      <w:r w:rsidR="00C70829" w:rsidRPr="00A10076">
        <w:t xml:space="preserve"> not </w:t>
      </w:r>
      <w:r w:rsidR="0068258A">
        <w:t xml:space="preserve">necessarily </w:t>
      </w:r>
      <w:r w:rsidR="00C70829" w:rsidRPr="00A10076">
        <w:t>reflect</w:t>
      </w:r>
      <w:r w:rsidR="0068258A">
        <w:t xml:space="preserve"> a</w:t>
      </w:r>
      <w:r w:rsidR="00C70829" w:rsidRPr="00A10076">
        <w:t xml:space="preserve"> change in foreign ownership as, in some cases, both the</w:t>
      </w:r>
      <w:r w:rsidR="00C70829">
        <w:t xml:space="preserve"> </w:t>
      </w:r>
      <w:r w:rsidR="00490B09">
        <w:t xml:space="preserve">target </w:t>
      </w:r>
      <w:r w:rsidR="00C70829">
        <w:t xml:space="preserve">and purchaser are defined as a foreign person under the </w:t>
      </w:r>
      <w:r w:rsidR="00083A3D">
        <w:t>FATA</w:t>
      </w:r>
      <w:r w:rsidR="00C70829">
        <w:t xml:space="preserve">. </w:t>
      </w:r>
    </w:p>
    <w:p w:rsidR="00F06B75" w:rsidRDefault="001C42F2" w:rsidP="00B26524">
      <w:pPr>
        <w:pStyle w:val="Bullet"/>
      </w:pPr>
      <w:r>
        <w:t>A</w:t>
      </w:r>
      <w:r w:rsidR="00B31152" w:rsidRPr="00CC4C49">
        <w:t xml:space="preserve">cquisitions of diversified company groups are classified </w:t>
      </w:r>
      <w:r w:rsidR="00B31152">
        <w:t>into a single industry s</w:t>
      </w:r>
      <w:r w:rsidR="0002430D">
        <w:t>ector</w:t>
      </w:r>
      <w:r w:rsidR="00B31152" w:rsidRPr="00CC4C49">
        <w:t xml:space="preserve"> according to the major activity of the group</w:t>
      </w:r>
      <w:r w:rsidR="00426D24">
        <w:t>, for example, in a diversified mining company with interests in various minerals.</w:t>
      </w:r>
      <w:r w:rsidR="00B31152" w:rsidRPr="00CC4C49">
        <w:t xml:space="preserve"> Acquisitions of real estate to be used for purposes incidental to the main business activity of the purchaser are classified according to that activity.</w:t>
      </w:r>
      <w:r w:rsidR="00C70829">
        <w:rPr>
          <w:rStyle w:val="FootnoteReference"/>
        </w:rPr>
        <w:footnoteReference w:id="2"/>
      </w:r>
      <w:r w:rsidR="001048D4">
        <w:t xml:space="preserve"> </w:t>
      </w:r>
    </w:p>
    <w:p w:rsidR="00F06B75" w:rsidRDefault="008A109D" w:rsidP="004B008C">
      <w:pPr>
        <w:keepNext/>
        <w:keepLines/>
      </w:pPr>
      <w:r>
        <w:t>The Board</w:t>
      </w:r>
      <w:r w:rsidR="003D79FF">
        <w:t>’</w:t>
      </w:r>
      <w:r>
        <w:t>s</w:t>
      </w:r>
      <w:r w:rsidR="00F06B75">
        <w:t xml:space="preserve"> statistics are also not a reliable indicator of trends in foreign investment inflows because:</w:t>
      </w:r>
      <w:r w:rsidR="00A92BD1">
        <w:t xml:space="preserve"> </w:t>
      </w:r>
    </w:p>
    <w:p w:rsidR="00A92BD1" w:rsidRDefault="00A92BD1" w:rsidP="004B008C">
      <w:pPr>
        <w:pStyle w:val="Bullet"/>
        <w:keepNext/>
        <w:keepLines/>
      </w:pPr>
      <w:r>
        <w:t xml:space="preserve">they include proposals </w:t>
      </w:r>
      <w:r w:rsidR="002B7612">
        <w:t>that are approved</w:t>
      </w:r>
      <w:r w:rsidR="007A30C4">
        <w:t xml:space="preserve"> in a given year</w:t>
      </w:r>
      <w:r w:rsidR="002B7612">
        <w:t xml:space="preserve"> but which </w:t>
      </w:r>
      <w:r w:rsidR="0002430D">
        <w:t xml:space="preserve">are </w:t>
      </w:r>
      <w:r>
        <w:t xml:space="preserve">not </w:t>
      </w:r>
      <w:r w:rsidR="002B7612">
        <w:t>actually</w:t>
      </w:r>
      <w:r>
        <w:t xml:space="preserve"> implemented, or could be implemented </w:t>
      </w:r>
      <w:r w:rsidR="002B7612">
        <w:t xml:space="preserve">in a later year, or over </w:t>
      </w:r>
      <w:r>
        <w:t>a number of years;</w:t>
      </w:r>
    </w:p>
    <w:p w:rsidR="00A10076" w:rsidRDefault="00A10076" w:rsidP="00044986">
      <w:pPr>
        <w:pStyle w:val="Bullet"/>
      </w:pPr>
      <w:r>
        <w:t xml:space="preserve">they include approvals for </w:t>
      </w:r>
      <w:r w:rsidR="00DE27A0">
        <w:t>multiple potential acquirers</w:t>
      </w:r>
      <w:r>
        <w:t xml:space="preserve"> </w:t>
      </w:r>
      <w:r w:rsidR="0002430D">
        <w:t>o</w:t>
      </w:r>
      <w:r w:rsidR="00DE27A0">
        <w:t>f</w:t>
      </w:r>
      <w:r>
        <w:t xml:space="preserve"> the same target company or asset;</w:t>
      </w:r>
    </w:p>
    <w:p w:rsidR="0061314A" w:rsidRDefault="00F06B75" w:rsidP="00044986">
      <w:pPr>
        <w:pStyle w:val="Bullet"/>
      </w:pPr>
      <w:r>
        <w:t>they are inherently irregular and</w:t>
      </w:r>
      <w:r w:rsidR="002C0AF4">
        <w:t xml:space="preserve"> </w:t>
      </w:r>
      <w:r w:rsidR="005B4A9D">
        <w:t>can</w:t>
      </w:r>
      <w:r w:rsidR="002C0AF4">
        <w:t xml:space="preserve"> be skewed due </w:t>
      </w:r>
      <w:r w:rsidR="009B288E">
        <w:t>to</w:t>
      </w:r>
      <w:r w:rsidR="002C0AF4">
        <w:t xml:space="preserve"> </w:t>
      </w:r>
      <w:r w:rsidR="00A92BD1">
        <w:t xml:space="preserve">very </w:t>
      </w:r>
      <w:r w:rsidR="002C0AF4">
        <w:t>large investment proposals;</w:t>
      </w:r>
      <w:r>
        <w:t xml:space="preserve"> </w:t>
      </w:r>
    </w:p>
    <w:p w:rsidR="00F06B75" w:rsidRDefault="00F06B75" w:rsidP="00044986">
      <w:pPr>
        <w:pStyle w:val="Bullet"/>
      </w:pPr>
      <w:r>
        <w:t>major liberalisations of t</w:t>
      </w:r>
      <w:r w:rsidR="00FA4868">
        <w:t>he</w:t>
      </w:r>
      <w:r>
        <w:t xml:space="preserve"> policy that have occurred since the mid</w:t>
      </w:r>
      <w:r w:rsidR="007D00F8">
        <w:noBreakHyphen/>
      </w:r>
      <w:r>
        <w:t xml:space="preserve">1980s </w:t>
      </w:r>
      <w:r w:rsidR="00507D10">
        <w:t>ha</w:t>
      </w:r>
      <w:r w:rsidR="007B490E">
        <w:t>ve</w:t>
      </w:r>
      <w:r w:rsidR="00507D10">
        <w:t xml:space="preserve"> acted to reduce the number of proposals and thus </w:t>
      </w:r>
      <w:r>
        <w:t>limit comparability over time</w:t>
      </w:r>
      <w:r w:rsidR="00507D10">
        <w:t>, such as:</w:t>
      </w:r>
      <w:r w:rsidR="00A92BD1">
        <w:t xml:space="preserve"> </w:t>
      </w:r>
    </w:p>
    <w:p w:rsidR="00F06B75" w:rsidRDefault="00F06B75" w:rsidP="00044986">
      <w:pPr>
        <w:pStyle w:val="Dash"/>
      </w:pPr>
      <w:r>
        <w:t xml:space="preserve">the increase in the </w:t>
      </w:r>
      <w:r w:rsidR="00664882">
        <w:t xml:space="preserve">general asset </w:t>
      </w:r>
      <w:r>
        <w:t xml:space="preserve">threshold </w:t>
      </w:r>
      <w:r w:rsidR="00507D10">
        <w:t xml:space="preserve">in 1999 </w:t>
      </w:r>
      <w:r>
        <w:t>from $5 million to $50</w:t>
      </w:r>
      <w:r w:rsidR="00A67AB1">
        <w:t> </w:t>
      </w:r>
      <w:r>
        <w:t>million</w:t>
      </w:r>
      <w:r w:rsidR="00507D10">
        <w:t>, and again in December 2006 from $50 million to $100 million;</w:t>
      </w:r>
      <w:r w:rsidR="00A92BD1">
        <w:t xml:space="preserve"> </w:t>
      </w:r>
    </w:p>
    <w:p w:rsidR="00507D10" w:rsidRDefault="00507D10" w:rsidP="00044986">
      <w:pPr>
        <w:pStyle w:val="Dash"/>
      </w:pPr>
      <w:r>
        <w:t xml:space="preserve">the increase in the offshore takeovers threshold in December 2006 from the general asset threshold </w:t>
      </w:r>
      <w:r w:rsidR="002F3C78">
        <w:t>(then at</w:t>
      </w:r>
      <w:r>
        <w:t xml:space="preserve"> $50 million</w:t>
      </w:r>
      <w:r w:rsidR="002F3C78">
        <w:t>)</w:t>
      </w:r>
      <w:r>
        <w:t xml:space="preserve"> to $200 million; and</w:t>
      </w:r>
    </w:p>
    <w:p w:rsidR="00507D10" w:rsidRDefault="00507D10" w:rsidP="00507D10">
      <w:pPr>
        <w:pStyle w:val="Dash"/>
      </w:pPr>
      <w:r>
        <w:lastRenderedPageBreak/>
        <w:t>t</w:t>
      </w:r>
      <w:r w:rsidR="00B13007" w:rsidRPr="00730CB0">
        <w:t xml:space="preserve">he introduction of </w:t>
      </w:r>
      <w:r w:rsidR="00CB2DE6" w:rsidRPr="00730CB0">
        <w:t xml:space="preserve">thresholds </w:t>
      </w:r>
      <w:r w:rsidR="00426D24">
        <w:t xml:space="preserve">for the calendar year 2005 </w:t>
      </w:r>
      <w:r w:rsidR="00CB2DE6" w:rsidRPr="00730CB0">
        <w:t>of $800 million and $50 million</w:t>
      </w:r>
      <w:r w:rsidR="003C12EB">
        <w:t xml:space="preserve"> (indexed annually)</w:t>
      </w:r>
      <w:r w:rsidR="00DF16A1">
        <w:t xml:space="preserve"> </w:t>
      </w:r>
      <w:r w:rsidR="00CB2DE6" w:rsidRPr="00730CB0">
        <w:t xml:space="preserve">for </w:t>
      </w:r>
      <w:r w:rsidR="00021FE2">
        <w:t>United States (</w:t>
      </w:r>
      <w:r w:rsidR="00CB2DE6" w:rsidRPr="00730CB0">
        <w:t>US</w:t>
      </w:r>
      <w:r w:rsidR="00021FE2">
        <w:t>)</w:t>
      </w:r>
      <w:r w:rsidR="00DF16A1">
        <w:t xml:space="preserve"> </w:t>
      </w:r>
      <w:r w:rsidR="00CB2DE6" w:rsidRPr="00730CB0">
        <w:t>investors from 1</w:t>
      </w:r>
      <w:r w:rsidR="00B12A90">
        <w:t> January 2005</w:t>
      </w:r>
      <w:r w:rsidR="00DF16A1">
        <w:t>;</w:t>
      </w:r>
    </w:p>
    <w:p w:rsidR="00C27883" w:rsidRDefault="00C27883" w:rsidP="00DF16A1">
      <w:pPr>
        <w:pStyle w:val="Bullet"/>
      </w:pPr>
      <w:r>
        <w:t>changes to other government policies</w:t>
      </w:r>
      <w:r w:rsidR="00035E9B">
        <w:t xml:space="preserve"> and legislation</w:t>
      </w:r>
      <w:r>
        <w:t xml:space="preserve"> may have an effect on proposed foreign investment, such as:</w:t>
      </w:r>
    </w:p>
    <w:p w:rsidR="00392C7A" w:rsidRDefault="00392C7A" w:rsidP="00392C7A">
      <w:pPr>
        <w:pStyle w:val="Dash"/>
      </w:pPr>
      <w:bookmarkStart w:id="1" w:name="OLE_LINK26"/>
      <w:bookmarkStart w:id="2" w:name="OLE_LINK27"/>
      <w:r w:rsidRPr="009D4496">
        <w:t>the removal of foreign ownership restrictions in the media sector in April 2007</w:t>
      </w:r>
      <w:bookmarkEnd w:id="1"/>
      <w:bookmarkEnd w:id="2"/>
      <w:r w:rsidRPr="009D4496">
        <w:t>; and</w:t>
      </w:r>
    </w:p>
    <w:p w:rsidR="00C27883" w:rsidRDefault="004D084E" w:rsidP="00C27883">
      <w:pPr>
        <w:pStyle w:val="Dash"/>
      </w:pPr>
      <w:r>
        <w:t xml:space="preserve">changes in </w:t>
      </w:r>
      <w:r w:rsidR="00C27883">
        <w:t>immigration policies</w:t>
      </w:r>
      <w:r>
        <w:t xml:space="preserve"> that </w:t>
      </w:r>
      <w:r w:rsidR="00035E9B">
        <w:t>control</w:t>
      </w:r>
      <w:r w:rsidR="00C27883">
        <w:t xml:space="preserve"> the number of temporary resident visa holders</w:t>
      </w:r>
      <w:r>
        <w:t xml:space="preserve"> and </w:t>
      </w:r>
      <w:r w:rsidR="00C27883">
        <w:t>which largely determines the level of foreign investment in develo</w:t>
      </w:r>
      <w:r w:rsidR="00392C7A">
        <w:t xml:space="preserve">ped residential real estate; </w:t>
      </w:r>
    </w:p>
    <w:p w:rsidR="00DF16A1" w:rsidRPr="00D51EFD" w:rsidRDefault="00DF16A1" w:rsidP="00DF16A1">
      <w:pPr>
        <w:pStyle w:val="Bullet"/>
      </w:pPr>
      <w:r w:rsidRPr="00D51EFD">
        <w:t xml:space="preserve">the implementation of a new case management system (known as FIMS) in December 2005 has significantly improved data collection accuracy. FIMS allows a more detailed analysis of proposed foreign investment, as reflected in improvements to the statistics presented </w:t>
      </w:r>
      <w:r w:rsidR="00D51EFD" w:rsidRPr="00D51EFD">
        <w:t>from the 2005</w:t>
      </w:r>
      <w:r w:rsidR="007D00F8">
        <w:noBreakHyphen/>
      </w:r>
      <w:r w:rsidR="00D51EFD" w:rsidRPr="00D51EFD">
        <w:t>06 Annual R</w:t>
      </w:r>
      <w:r w:rsidRPr="00D51EFD">
        <w:t>eport</w:t>
      </w:r>
      <w:r w:rsidR="00D51EFD" w:rsidRPr="00D51EFD">
        <w:t xml:space="preserve"> onwards</w:t>
      </w:r>
      <w:r w:rsidRPr="00D51EFD">
        <w:t>. As part of a post</w:t>
      </w:r>
      <w:r w:rsidR="007D00F8">
        <w:noBreakHyphen/>
      </w:r>
      <w:r w:rsidRPr="00D51EFD">
        <w:t>implementation review of FIMS, a detailed data validation process was undertaken for the purpose of preparing the 2005</w:t>
      </w:r>
      <w:r w:rsidR="007D00F8">
        <w:noBreakHyphen/>
      </w:r>
      <w:r w:rsidRPr="00D51EFD">
        <w:t xml:space="preserve">06 Annual Report. </w:t>
      </w:r>
      <w:r w:rsidR="00D51EFD" w:rsidRPr="00D51EFD">
        <w:t>While the data in that and subsequent</w:t>
      </w:r>
      <w:r w:rsidRPr="00D51EFD">
        <w:t xml:space="preserve"> report</w:t>
      </w:r>
      <w:r w:rsidR="00D51EFD" w:rsidRPr="00D51EFD">
        <w:t>s</w:t>
      </w:r>
      <w:r w:rsidRPr="00D51EFD">
        <w:t xml:space="preserve"> is consequently more accurate, this process was not able to be applied to previous years’ data and hence caution is necessary in making inter</w:t>
      </w:r>
      <w:r w:rsidR="007D00F8">
        <w:noBreakHyphen/>
      </w:r>
      <w:r w:rsidRPr="00D51EFD">
        <w:t>year comparisons;</w:t>
      </w:r>
    </w:p>
    <w:p w:rsidR="00AD0D5F" w:rsidRPr="00D51EFD" w:rsidRDefault="00DF16A1" w:rsidP="00AD0D5F">
      <w:pPr>
        <w:pStyle w:val="Bullet"/>
      </w:pPr>
      <w:r w:rsidRPr="00D51EFD">
        <w:t>r</w:t>
      </w:r>
      <w:r w:rsidR="00497EED" w:rsidRPr="00D51EFD">
        <w:t>eporting procedures for p</w:t>
      </w:r>
      <w:r w:rsidR="00E85BC8" w:rsidRPr="00D51EFD">
        <w:t xml:space="preserve">roposals involving </w:t>
      </w:r>
      <w:r w:rsidR="00AD0D5F" w:rsidRPr="00D51EFD">
        <w:t>financing arrangements</w:t>
      </w:r>
      <w:r w:rsidR="00E85BC8" w:rsidRPr="00D51EFD">
        <w:t xml:space="preserve"> </w:t>
      </w:r>
      <w:r w:rsidRPr="00D51EFD">
        <w:t>were</w:t>
      </w:r>
      <w:r w:rsidR="00497EED" w:rsidRPr="00D51EFD">
        <w:t xml:space="preserve"> amended</w:t>
      </w:r>
      <w:r w:rsidRPr="00D51EFD">
        <w:t xml:space="preserve"> in 2005</w:t>
      </w:r>
      <w:r w:rsidR="007D00F8">
        <w:noBreakHyphen/>
      </w:r>
      <w:r w:rsidRPr="00D51EFD">
        <w:t>06</w:t>
      </w:r>
      <w:r w:rsidR="00497EED" w:rsidRPr="00D51EFD">
        <w:t xml:space="preserve">. Although they </w:t>
      </w:r>
      <w:r w:rsidR="00E85BC8" w:rsidRPr="00D51EFD">
        <w:t>continue to be included in the statistics</w:t>
      </w:r>
      <w:r w:rsidR="00497EED" w:rsidRPr="00D51EFD">
        <w:t xml:space="preserve"> (in the number of approvals)</w:t>
      </w:r>
      <w:r w:rsidR="00E85BC8" w:rsidRPr="00D51EFD">
        <w:t xml:space="preserve">, </w:t>
      </w:r>
      <w:r w:rsidR="00482D22" w:rsidRPr="00D51EFD">
        <w:t xml:space="preserve">the proposed acquisition cost and development expenditure </w:t>
      </w:r>
      <w:r w:rsidR="00E519B4" w:rsidRPr="00D51EFD">
        <w:t xml:space="preserve">are </w:t>
      </w:r>
      <w:r w:rsidR="00482D22" w:rsidRPr="00D51EFD">
        <w:t xml:space="preserve">not recorded </w:t>
      </w:r>
      <w:r w:rsidR="00847F78" w:rsidRPr="00D51EFD">
        <w:t xml:space="preserve">in FIMS </w:t>
      </w:r>
      <w:r w:rsidR="00482D22" w:rsidRPr="00D51EFD">
        <w:t xml:space="preserve">for </w:t>
      </w:r>
      <w:r w:rsidR="00497EED" w:rsidRPr="00D51EFD">
        <w:t>p</w:t>
      </w:r>
      <w:r w:rsidR="00E85BC8" w:rsidRPr="00D51EFD">
        <w:t>roposals such as lending arrangements wh</w:t>
      </w:r>
      <w:r w:rsidR="00847F78" w:rsidRPr="00D51EFD">
        <w:t>ere there is not expected to be an</w:t>
      </w:r>
      <w:r w:rsidR="0002430D">
        <w:t xml:space="preserve"> equity</w:t>
      </w:r>
      <w:r w:rsidR="00E85BC8" w:rsidRPr="00D51EFD">
        <w:t xml:space="preserve"> investment f</w:t>
      </w:r>
      <w:r w:rsidR="00847F78" w:rsidRPr="00D51EFD">
        <w:t>l</w:t>
      </w:r>
      <w:r w:rsidR="00E85BC8" w:rsidRPr="00D51EFD">
        <w:t>o</w:t>
      </w:r>
      <w:r w:rsidR="00847F78" w:rsidRPr="00D51EFD">
        <w:t>w</w:t>
      </w:r>
      <w:r w:rsidR="00E85BC8" w:rsidRPr="00D51EFD">
        <w:t xml:space="preserve"> in</w:t>
      </w:r>
      <w:r w:rsidR="00847F78" w:rsidRPr="00D51EFD">
        <w:t>to</w:t>
      </w:r>
      <w:r w:rsidR="00E85BC8" w:rsidRPr="00D51EFD">
        <w:t xml:space="preserve"> Australia</w:t>
      </w:r>
      <w:r w:rsidR="00497EED" w:rsidRPr="00D51EFD">
        <w:t>.</w:t>
      </w:r>
      <w:r w:rsidR="00E519B4" w:rsidRPr="00D51EFD">
        <w:rPr>
          <w:rStyle w:val="FootnoteReference"/>
        </w:rPr>
        <w:footnoteReference w:id="3"/>
      </w:r>
      <w:r w:rsidR="00497EED" w:rsidRPr="00D51EFD">
        <w:t xml:space="preserve"> This has </w:t>
      </w:r>
      <w:r w:rsidR="005818A6" w:rsidRPr="00D51EFD">
        <w:t>affected</w:t>
      </w:r>
      <w:r w:rsidR="00497EED" w:rsidRPr="00D51EFD">
        <w:t xml:space="preserve"> </w:t>
      </w:r>
      <w:r w:rsidR="005818A6" w:rsidRPr="00D51EFD">
        <w:t xml:space="preserve">the value </w:t>
      </w:r>
      <w:r w:rsidR="00847F78" w:rsidRPr="00D51EFD">
        <w:t xml:space="preserve">attributed </w:t>
      </w:r>
      <w:r w:rsidR="00667D2F" w:rsidRPr="00D51EFD">
        <w:t>to</w:t>
      </w:r>
      <w:r w:rsidR="005818A6" w:rsidRPr="00D51EFD">
        <w:t xml:space="preserve"> </w:t>
      </w:r>
      <w:r w:rsidR="00DE78C4" w:rsidRPr="00D51EFD">
        <w:t>proposed investment</w:t>
      </w:r>
      <w:r w:rsidR="005818A6" w:rsidRPr="00D51EFD">
        <w:t xml:space="preserve"> in the finance and insurance industry</w:t>
      </w:r>
      <w:r w:rsidRPr="00D51EFD">
        <w:t>; and</w:t>
      </w:r>
    </w:p>
    <w:p w:rsidR="00AD0D5F" w:rsidRPr="00D51EFD" w:rsidRDefault="00DF16A1" w:rsidP="002E69C3">
      <w:pPr>
        <w:pStyle w:val="Bullet"/>
      </w:pPr>
      <w:r w:rsidRPr="00D51EFD">
        <w:t>prior to 2005</w:t>
      </w:r>
      <w:r w:rsidR="007D00F8">
        <w:noBreakHyphen/>
      </w:r>
      <w:r w:rsidRPr="00D51EFD">
        <w:t>06</w:t>
      </w:r>
      <w:r w:rsidR="005D65B0" w:rsidRPr="00D51EFD">
        <w:t>, proposals involving share acquisitions were</w:t>
      </w:r>
      <w:r w:rsidR="009B36E0" w:rsidRPr="00D51EFD">
        <w:t xml:space="preserve"> recorded as</w:t>
      </w:r>
      <w:r w:rsidR="005579A1" w:rsidRPr="00D51EFD">
        <w:t xml:space="preserve"> </w:t>
      </w:r>
      <w:r w:rsidR="005D65B0" w:rsidRPr="00D51EFD">
        <w:t xml:space="preserve">conditionally approved </w:t>
      </w:r>
      <w:r w:rsidR="005579A1" w:rsidRPr="00D51EFD">
        <w:t>on the basis that</w:t>
      </w:r>
      <w:r w:rsidR="005D65B0" w:rsidRPr="00D51EFD">
        <w:t xml:space="preserve"> the proposed acquisition</w:t>
      </w:r>
      <w:r w:rsidR="005579A1" w:rsidRPr="00D51EFD">
        <w:t xml:space="preserve"> was to</w:t>
      </w:r>
      <w:r w:rsidR="005D65B0" w:rsidRPr="00D51EFD">
        <w:t xml:space="preserve"> proceed within </w:t>
      </w:r>
      <w:r w:rsidR="00732277" w:rsidRPr="00D51EFD">
        <w:t>12 </w:t>
      </w:r>
      <w:r w:rsidR="005D65B0" w:rsidRPr="00D51EFD">
        <w:t xml:space="preserve">months. </w:t>
      </w:r>
      <w:r w:rsidR="005579A1" w:rsidRPr="00D51EFD">
        <w:t>In FIMS, s</w:t>
      </w:r>
      <w:r w:rsidR="005D65B0" w:rsidRPr="00D51EFD">
        <w:t xml:space="preserve">uch proposals are </w:t>
      </w:r>
      <w:r w:rsidR="009B36E0" w:rsidRPr="00D51EFD">
        <w:t xml:space="preserve">no longer recorded as </w:t>
      </w:r>
      <w:r w:rsidR="005579A1" w:rsidRPr="00D51EFD">
        <w:t>conditionally approved</w:t>
      </w:r>
      <w:r w:rsidR="00D6632E" w:rsidRPr="00D51EFD">
        <w:t>.</w:t>
      </w:r>
      <w:r w:rsidR="002E69C3" w:rsidRPr="00D51EFD">
        <w:rPr>
          <w:rStyle w:val="FootnoteReference"/>
        </w:rPr>
        <w:footnoteReference w:id="4"/>
      </w:r>
      <w:r w:rsidR="009B36E0" w:rsidRPr="00D51EFD">
        <w:t xml:space="preserve"> This has not significantly affected the proportion of approvals that are </w:t>
      </w:r>
      <w:r w:rsidR="00D278BA" w:rsidRPr="00D51EFD">
        <w:t>subject to condition</w:t>
      </w:r>
      <w:r w:rsidR="00D278BA" w:rsidRPr="00450D76">
        <w:t>s (</w:t>
      </w:r>
      <w:r w:rsidR="00D51EFD" w:rsidRPr="00450D76">
        <w:t>7</w:t>
      </w:r>
      <w:r w:rsidR="00450D76" w:rsidRPr="00450D76">
        <w:t>9</w:t>
      </w:r>
      <w:r w:rsidR="00D51EFD" w:rsidRPr="00450D76">
        <w:t> </w:t>
      </w:r>
      <w:r w:rsidR="0000307C" w:rsidRPr="00450D76">
        <w:t>per cent of total approvals</w:t>
      </w:r>
      <w:r w:rsidR="000B0346" w:rsidRPr="00450D76">
        <w:t xml:space="preserve"> under FIMS</w:t>
      </w:r>
      <w:r w:rsidR="0000307C" w:rsidRPr="00450D76">
        <w:t xml:space="preserve"> in </w:t>
      </w:r>
      <w:r w:rsidR="00D51EFD" w:rsidRPr="00450D76">
        <w:t>200</w:t>
      </w:r>
      <w:r w:rsidR="00450D76" w:rsidRPr="00450D76">
        <w:t>7</w:t>
      </w:r>
      <w:r w:rsidR="007D00F8">
        <w:noBreakHyphen/>
      </w:r>
      <w:r w:rsidR="0000307C" w:rsidRPr="00450D76">
        <w:t>0</w:t>
      </w:r>
      <w:r w:rsidR="00450D76" w:rsidRPr="00450D76">
        <w:t>8</w:t>
      </w:r>
      <w:r w:rsidR="0000307C" w:rsidRPr="00450D76">
        <w:t xml:space="preserve"> compared </w:t>
      </w:r>
      <w:r w:rsidR="00850F55" w:rsidRPr="00450D76">
        <w:t>with</w:t>
      </w:r>
      <w:r w:rsidR="0000307C" w:rsidRPr="00450D76">
        <w:t xml:space="preserve"> 74 per cent </w:t>
      </w:r>
      <w:r w:rsidR="000B0346" w:rsidRPr="00450D76">
        <w:t xml:space="preserve">under the previous system </w:t>
      </w:r>
      <w:r w:rsidR="0000307C" w:rsidRPr="00450D76">
        <w:t>in 2004</w:t>
      </w:r>
      <w:r w:rsidR="007D00F8">
        <w:noBreakHyphen/>
      </w:r>
      <w:r w:rsidR="0000307C" w:rsidRPr="00450D76">
        <w:t>05</w:t>
      </w:r>
      <w:r w:rsidR="00D278BA" w:rsidRPr="00450D76">
        <w:t>)</w:t>
      </w:r>
      <w:r w:rsidR="0000307C" w:rsidRPr="00450D76">
        <w:t>.</w:t>
      </w:r>
      <w:r w:rsidR="0000307C" w:rsidRPr="00D51EFD">
        <w:t xml:space="preserve"> However, the value of </w:t>
      </w:r>
      <w:r w:rsidR="00DE78C4" w:rsidRPr="00D51EFD">
        <w:t>proposed investment</w:t>
      </w:r>
      <w:r w:rsidR="0000307C" w:rsidRPr="00D51EFD">
        <w:t xml:space="preserve"> </w:t>
      </w:r>
      <w:r w:rsidR="005579A1" w:rsidRPr="00D51EFD">
        <w:t xml:space="preserve">reported as being </w:t>
      </w:r>
      <w:r w:rsidR="0000307C" w:rsidRPr="00D51EFD">
        <w:t>associated with</w:t>
      </w:r>
      <w:r w:rsidR="005579A1" w:rsidRPr="00D51EFD">
        <w:t xml:space="preserve"> the</w:t>
      </w:r>
      <w:r w:rsidR="0000307C" w:rsidRPr="00D51EFD">
        <w:t xml:space="preserve"> conditional </w:t>
      </w:r>
      <w:r w:rsidR="0000307C" w:rsidRPr="00D51EFD">
        <w:lastRenderedPageBreak/>
        <w:t>approval</w:t>
      </w:r>
      <w:r w:rsidR="005579A1" w:rsidRPr="00D51EFD">
        <w:t xml:space="preserve"> category</w:t>
      </w:r>
      <w:r w:rsidR="0000307C" w:rsidRPr="00D51EFD">
        <w:t xml:space="preserve"> has significantly decreased due to the very large </w:t>
      </w:r>
      <w:r w:rsidR="00850F55" w:rsidRPr="00D51EFD">
        <w:t xml:space="preserve">investment </w:t>
      </w:r>
      <w:r w:rsidR="0000307C" w:rsidRPr="00D51EFD">
        <w:t>amounts involved with such proposals.</w:t>
      </w:r>
    </w:p>
    <w:p w:rsidR="00FA4868" w:rsidRDefault="00FA4868" w:rsidP="00FA4868">
      <w:r>
        <w:t xml:space="preserve">The term ‘proposed investment’ is used widely throughout this report. Proposed investment is the aggregation of the </w:t>
      </w:r>
      <w:r w:rsidR="00754AAC">
        <w:t>following</w:t>
      </w:r>
      <w:r w:rsidR="00426D24">
        <w:t xml:space="preserve"> estimated</w:t>
      </w:r>
      <w:r>
        <w:t xml:space="preserve">: </w:t>
      </w:r>
    </w:p>
    <w:p w:rsidR="00FA4868" w:rsidRPr="006A05E2" w:rsidRDefault="00FA4868" w:rsidP="00FA4868">
      <w:pPr>
        <w:pStyle w:val="Bullet"/>
      </w:pPr>
      <w:r w:rsidRPr="006A05E2">
        <w:t xml:space="preserve">acquisition </w:t>
      </w:r>
      <w:r>
        <w:t xml:space="preserve">costs </w:t>
      </w:r>
      <w:r w:rsidRPr="006A05E2">
        <w:t>(including shares, real estate or other assets);</w:t>
      </w:r>
    </w:p>
    <w:p w:rsidR="00FA4868" w:rsidRPr="006A05E2" w:rsidRDefault="00FA4868" w:rsidP="00FA4868">
      <w:pPr>
        <w:pStyle w:val="Bullet"/>
      </w:pPr>
      <w:r w:rsidRPr="006A05E2">
        <w:t>development cost</w:t>
      </w:r>
      <w:r>
        <w:t>s</w:t>
      </w:r>
      <w:r w:rsidRPr="006A05E2">
        <w:t xml:space="preserve"> following </w:t>
      </w:r>
      <w:r>
        <w:t xml:space="preserve">the </w:t>
      </w:r>
      <w:r w:rsidRPr="006A05E2">
        <w:t>acquisition; and</w:t>
      </w:r>
    </w:p>
    <w:p w:rsidR="00BA7044" w:rsidRPr="00D278BA" w:rsidRDefault="00FA4868" w:rsidP="00BA7044">
      <w:pPr>
        <w:pStyle w:val="Bullet"/>
      </w:pPr>
      <w:r w:rsidRPr="006A05E2">
        <w:t>cost</w:t>
      </w:r>
      <w:r w:rsidR="00FE268A">
        <w:t>s</w:t>
      </w:r>
      <w:r w:rsidRPr="006A05E2">
        <w:t xml:space="preserve"> of both establishment and development</w:t>
      </w:r>
      <w:r>
        <w:t xml:space="preserve"> in the case of new businesses</w:t>
      </w:r>
      <w:r w:rsidRPr="006A05E2">
        <w:t>.</w:t>
      </w:r>
    </w:p>
    <w:p w:rsidR="006066C4" w:rsidRPr="00D6632E" w:rsidRDefault="006066C4" w:rsidP="006066C4">
      <w:pPr>
        <w:pStyle w:val="Heading2"/>
      </w:pPr>
      <w:r w:rsidRPr="00D278BA">
        <w:t xml:space="preserve">Applications </w:t>
      </w:r>
      <w:r w:rsidR="00D278BA" w:rsidRPr="00D278BA">
        <w:t>consider</w:t>
      </w:r>
      <w:r w:rsidRPr="00D278BA">
        <w:t>ed in 200</w:t>
      </w:r>
      <w:r w:rsidR="009C2653">
        <w:t>7</w:t>
      </w:r>
      <w:r w:rsidR="007D00F8">
        <w:noBreakHyphen/>
      </w:r>
      <w:r w:rsidRPr="00D278BA">
        <w:t>0</w:t>
      </w:r>
      <w:r w:rsidR="009C2653">
        <w:t>8</w:t>
      </w:r>
    </w:p>
    <w:p w:rsidR="00B377ED" w:rsidRDefault="00972B82" w:rsidP="008B18E4">
      <w:bookmarkStart w:id="3" w:name="OLE_LINK3"/>
      <w:bookmarkStart w:id="4" w:name="OLE_LINK4"/>
      <w:r>
        <w:t xml:space="preserve">This section </w:t>
      </w:r>
      <w:r w:rsidRPr="005B2446">
        <w:t>analyses</w:t>
      </w:r>
      <w:bookmarkEnd w:id="3"/>
      <w:bookmarkEnd w:id="4"/>
      <w:r>
        <w:t xml:space="preserve"> </w:t>
      </w:r>
      <w:r w:rsidR="008B18E4" w:rsidRPr="00156686">
        <w:rPr>
          <w:b/>
        </w:rPr>
        <w:t>all</w:t>
      </w:r>
      <w:r w:rsidR="008B18E4" w:rsidRPr="00D278BA">
        <w:t xml:space="preserve"> </w:t>
      </w:r>
      <w:r w:rsidR="0002430D">
        <w:t xml:space="preserve">investment </w:t>
      </w:r>
      <w:r w:rsidR="008B18E4" w:rsidRPr="00D278BA">
        <w:t xml:space="preserve">proposals </w:t>
      </w:r>
      <w:r>
        <w:t xml:space="preserve">that were </w:t>
      </w:r>
      <w:r w:rsidR="008B18E4" w:rsidRPr="00D278BA">
        <w:t xml:space="preserve">finalised </w:t>
      </w:r>
      <w:r w:rsidR="00BB5E84" w:rsidRPr="00D278BA">
        <w:t>(approved, rejected, withdrawn or exempt)</w:t>
      </w:r>
      <w:r w:rsidR="00BB5E84">
        <w:t xml:space="preserve"> </w:t>
      </w:r>
      <w:r w:rsidR="008B18E4" w:rsidRPr="00D278BA">
        <w:t>during 200</w:t>
      </w:r>
      <w:r w:rsidR="00955AD5">
        <w:t>7</w:t>
      </w:r>
      <w:r w:rsidR="007D00F8">
        <w:noBreakHyphen/>
      </w:r>
      <w:r w:rsidR="008B18E4" w:rsidRPr="00D278BA">
        <w:t>0</w:t>
      </w:r>
      <w:r w:rsidR="00955AD5">
        <w:t>8</w:t>
      </w:r>
      <w:r w:rsidR="00BB5E84">
        <w:t xml:space="preserve">, </w:t>
      </w:r>
      <w:r w:rsidR="008B18E4" w:rsidRPr="00D278BA">
        <w:t xml:space="preserve">irrespective of the date </w:t>
      </w:r>
      <w:r w:rsidR="0002430D">
        <w:t>they</w:t>
      </w:r>
      <w:r w:rsidR="008B18E4" w:rsidRPr="00D278BA">
        <w:t xml:space="preserve"> were submitted.</w:t>
      </w:r>
      <w:r w:rsidR="00EC3B12">
        <w:rPr>
          <w:rStyle w:val="FootnoteReference"/>
        </w:rPr>
        <w:footnoteReference w:id="5"/>
      </w:r>
      <w:r w:rsidR="008B18E4" w:rsidRPr="00D278BA">
        <w:t xml:space="preserve"> </w:t>
      </w:r>
      <w:r w:rsidR="00E12B65" w:rsidRPr="00FB1E53">
        <w:t>Corporate reorganisations are included here (</w:t>
      </w:r>
      <w:r w:rsidR="00450D76">
        <w:t>66</w:t>
      </w:r>
      <w:r w:rsidR="00450D76" w:rsidRPr="00FB1E53">
        <w:t xml:space="preserve"> </w:t>
      </w:r>
      <w:r w:rsidR="00E12B65" w:rsidRPr="00FB1E53">
        <w:t>in 200</w:t>
      </w:r>
      <w:r w:rsidR="00955AD5">
        <w:t>7</w:t>
      </w:r>
      <w:r w:rsidR="007D00F8">
        <w:noBreakHyphen/>
      </w:r>
      <w:r w:rsidR="00E12B65" w:rsidRPr="00FB1E53">
        <w:t>0</w:t>
      </w:r>
      <w:r w:rsidR="00955AD5">
        <w:t>8</w:t>
      </w:r>
      <w:r w:rsidR="00E12B65" w:rsidRPr="00FB1E53">
        <w:t>), whereas they are excluded from the analysis of approved investment provided later in this chapter.</w:t>
      </w:r>
      <w:r w:rsidR="00E47A7E">
        <w:rPr>
          <w:rStyle w:val="FootnoteReference"/>
        </w:rPr>
        <w:footnoteReference w:id="6"/>
      </w:r>
      <w:r w:rsidR="00E12B65">
        <w:t xml:space="preserve"> </w:t>
      </w:r>
    </w:p>
    <w:p w:rsidR="008B18E4" w:rsidRDefault="008B18E4" w:rsidP="008B18E4">
      <w:r w:rsidRPr="00D278BA">
        <w:t xml:space="preserve">The number of applications </w:t>
      </w:r>
      <w:r w:rsidR="00D278BA" w:rsidRPr="00D278BA">
        <w:t>consider</w:t>
      </w:r>
      <w:r w:rsidRPr="00D278BA">
        <w:t>ed during 200</w:t>
      </w:r>
      <w:r w:rsidR="00955AD5">
        <w:t>7</w:t>
      </w:r>
      <w:r w:rsidR="007D00F8">
        <w:noBreakHyphen/>
      </w:r>
      <w:r w:rsidRPr="00D278BA">
        <w:t>0</w:t>
      </w:r>
      <w:r w:rsidR="00955AD5">
        <w:t>8</w:t>
      </w:r>
      <w:r w:rsidRPr="00D278BA">
        <w:t xml:space="preserve"> was</w:t>
      </w:r>
      <w:r w:rsidR="00450D76">
        <w:t xml:space="preserve"> 8,548</w:t>
      </w:r>
      <w:r w:rsidR="006913AE">
        <w:t>,</w:t>
      </w:r>
      <w:r w:rsidR="00B569BC">
        <w:t xml:space="preserve"> which is</w:t>
      </w:r>
      <w:r w:rsidR="003F2975" w:rsidRPr="00D278BA">
        <w:t xml:space="preserve"> </w:t>
      </w:r>
      <w:r w:rsidR="00A91F11" w:rsidRPr="00450D76">
        <w:t>2</w:t>
      </w:r>
      <w:r w:rsidR="00950820" w:rsidRPr="00450D76">
        <w:t>2</w:t>
      </w:r>
      <w:r w:rsidR="00475224" w:rsidRPr="000E4FF5">
        <w:t xml:space="preserve"> per</w:t>
      </w:r>
      <w:r w:rsidRPr="000E4FF5">
        <w:t xml:space="preserve"> cent</w:t>
      </w:r>
      <w:r w:rsidRPr="00D278BA">
        <w:t xml:space="preserve"> </w:t>
      </w:r>
      <w:r w:rsidRPr="00FB1E53">
        <w:t xml:space="preserve">higher than </w:t>
      </w:r>
      <w:r w:rsidR="003F2975" w:rsidRPr="00FB1E53">
        <w:t xml:space="preserve">the </w:t>
      </w:r>
      <w:r w:rsidR="00955AD5">
        <w:t>7,025</w:t>
      </w:r>
      <w:r w:rsidR="00EC3B12" w:rsidRPr="00FB1E53">
        <w:t xml:space="preserve"> </w:t>
      </w:r>
      <w:r w:rsidR="003F2975" w:rsidRPr="00FB1E53">
        <w:t>in</w:t>
      </w:r>
      <w:r w:rsidRPr="00FB1E53">
        <w:t xml:space="preserve"> </w:t>
      </w:r>
      <w:r w:rsidRPr="00FB1E53">
        <w:rPr>
          <w:color w:val="auto"/>
        </w:rPr>
        <w:t>200</w:t>
      </w:r>
      <w:r w:rsidR="00955AD5">
        <w:rPr>
          <w:color w:val="auto"/>
        </w:rPr>
        <w:t>6</w:t>
      </w:r>
      <w:r w:rsidR="007D00F8">
        <w:rPr>
          <w:color w:val="auto"/>
        </w:rPr>
        <w:noBreakHyphen/>
      </w:r>
      <w:r w:rsidRPr="00FB1E53">
        <w:rPr>
          <w:color w:val="auto"/>
        </w:rPr>
        <w:t>0</w:t>
      </w:r>
      <w:r w:rsidR="00955AD5">
        <w:rPr>
          <w:color w:val="auto"/>
        </w:rPr>
        <w:t>7</w:t>
      </w:r>
      <w:r w:rsidRPr="00FB1E53">
        <w:t xml:space="preserve">. </w:t>
      </w:r>
      <w:r w:rsidR="00B377ED">
        <w:t>Table 2.1 provides a breakdown of the number of applications considered over the last six years, according to the outcome of proposals.</w:t>
      </w:r>
    </w:p>
    <w:p w:rsidR="006066C4" w:rsidRDefault="006066C4" w:rsidP="006066C4">
      <w:pPr>
        <w:rPr>
          <w:color w:val="auto"/>
        </w:rPr>
      </w:pPr>
      <w:r>
        <w:t xml:space="preserve">Of the </w:t>
      </w:r>
      <w:r w:rsidR="00450D76">
        <w:t>7,841</w:t>
      </w:r>
      <w:r>
        <w:t>, applic</w:t>
      </w:r>
      <w:r w:rsidRPr="00F04C8B">
        <w:t xml:space="preserve">ations </w:t>
      </w:r>
      <w:r w:rsidRPr="001C2829">
        <w:rPr>
          <w:b/>
        </w:rPr>
        <w:t>approved</w:t>
      </w:r>
      <w:r w:rsidRPr="00F04C8B">
        <w:t xml:space="preserve"> </w:t>
      </w:r>
      <w:bookmarkStart w:id="5" w:name="OLE_LINK7"/>
      <w:r w:rsidRPr="00F04C8B">
        <w:t>in 200</w:t>
      </w:r>
      <w:r w:rsidR="00955AD5">
        <w:t>7</w:t>
      </w:r>
      <w:r w:rsidR="007D00F8">
        <w:noBreakHyphen/>
      </w:r>
      <w:r w:rsidRPr="00F04C8B">
        <w:t>0</w:t>
      </w:r>
      <w:bookmarkEnd w:id="5"/>
      <w:r w:rsidR="00955AD5">
        <w:t>8</w:t>
      </w:r>
      <w:r w:rsidR="00950820">
        <w:t xml:space="preserve"> (a </w:t>
      </w:r>
      <w:r w:rsidR="00450D76" w:rsidRPr="00450D76">
        <w:t>27 </w:t>
      </w:r>
      <w:r w:rsidR="00950820" w:rsidRPr="00450D76">
        <w:t>per cent</w:t>
      </w:r>
      <w:r w:rsidR="00950820">
        <w:t xml:space="preserve"> increase on the </w:t>
      </w:r>
      <w:r w:rsidR="00955AD5">
        <w:t>6,157</w:t>
      </w:r>
      <w:r w:rsidR="00950820">
        <w:t xml:space="preserve"> approvals in 200</w:t>
      </w:r>
      <w:r w:rsidR="00955AD5">
        <w:t>6</w:t>
      </w:r>
      <w:r w:rsidR="007D00F8">
        <w:noBreakHyphen/>
      </w:r>
      <w:r w:rsidR="00950820">
        <w:t>0</w:t>
      </w:r>
      <w:r w:rsidR="00955AD5">
        <w:t>7</w:t>
      </w:r>
      <w:r w:rsidR="00950820">
        <w:t>)</w:t>
      </w:r>
      <w:r w:rsidRPr="00F04C8B">
        <w:t xml:space="preserve">, </w:t>
      </w:r>
      <w:r w:rsidR="00295527">
        <w:t>6,185</w:t>
      </w:r>
      <w:r w:rsidRPr="00F04C8B">
        <w:t xml:space="preserve"> were approved subject to conditions and </w:t>
      </w:r>
      <w:r w:rsidR="00295527">
        <w:t>1,656</w:t>
      </w:r>
      <w:r w:rsidRPr="00F04C8B">
        <w:t xml:space="preserve"> wi</w:t>
      </w:r>
      <w:r>
        <w:t>thout conditions being imposed</w:t>
      </w:r>
      <w:r w:rsidRPr="00D92E6F">
        <w:t xml:space="preserve">. All but </w:t>
      </w:r>
      <w:r w:rsidR="00295527" w:rsidRPr="00D92E6F">
        <w:t xml:space="preserve">five </w:t>
      </w:r>
      <w:r w:rsidRPr="00D92E6F">
        <w:t>of the conditional approvals were in the real estate sector, where 8</w:t>
      </w:r>
      <w:r w:rsidR="00D92E6F" w:rsidRPr="00D92E6F">
        <w:t>4</w:t>
      </w:r>
      <w:r w:rsidRPr="00D92E6F">
        <w:t xml:space="preserve"> per cent of all approvals were subject to </w:t>
      </w:r>
      <w:r w:rsidR="006913AE">
        <w:t xml:space="preserve">the standard </w:t>
      </w:r>
      <w:r w:rsidRPr="00D92E6F">
        <w:t>conditions</w:t>
      </w:r>
      <w:r w:rsidR="006913AE">
        <w:t xml:space="preserve"> imposed under the policy</w:t>
      </w:r>
      <w:r w:rsidR="00E2590C">
        <w:t xml:space="preserve"> during the report period</w:t>
      </w:r>
      <w:r w:rsidRPr="00D92E6F">
        <w:t>.</w:t>
      </w:r>
      <w:r>
        <w:t xml:space="preserve"> </w:t>
      </w:r>
      <w:r w:rsidR="007D76F1">
        <w:t>Real estate</w:t>
      </w:r>
      <w:r>
        <w:t xml:space="preserve"> conditions</w:t>
      </w:r>
      <w:r w:rsidR="007D76F1">
        <w:t xml:space="preserve"> </w:t>
      </w:r>
      <w:r w:rsidR="006913AE">
        <w:t xml:space="preserve">ordinarily imposed </w:t>
      </w:r>
      <w:r w:rsidR="00E2590C">
        <w:t xml:space="preserve">at that time </w:t>
      </w:r>
      <w:r w:rsidR="007D76F1">
        <w:t>include those</w:t>
      </w:r>
      <w:r>
        <w:t xml:space="preserve"> relating to the period during which development</w:t>
      </w:r>
      <w:r w:rsidRPr="004D59C5">
        <w:rPr>
          <w:color w:val="auto"/>
        </w:rPr>
        <w:t xml:space="preserve"> must </w:t>
      </w:r>
      <w:r>
        <w:t xml:space="preserve">commence (usually 12 months), requiring temporary residents to </w:t>
      </w:r>
      <w:r w:rsidRPr="00E96B68">
        <w:t>reside in and</w:t>
      </w:r>
      <w:r w:rsidR="007D76F1">
        <w:t xml:space="preserve"> then</w:t>
      </w:r>
      <w:r w:rsidRPr="00E96B68">
        <w:t xml:space="preserve"> sell established dwellings when they cease to reside</w:t>
      </w:r>
      <w:r w:rsidRPr="00E96B68">
        <w:rPr>
          <w:color w:val="auto"/>
        </w:rPr>
        <w:t xml:space="preserve"> in them, and</w:t>
      </w:r>
      <w:r w:rsidRPr="00E96B68">
        <w:t xml:space="preserve"> </w:t>
      </w:r>
      <w:r w:rsidRPr="00D278BA">
        <w:t>reporting requirements</w:t>
      </w:r>
      <w:r w:rsidR="00C03285">
        <w:t xml:space="preserve">. </w:t>
      </w:r>
    </w:p>
    <w:p w:rsidR="005B5ACE" w:rsidRDefault="006066C4" w:rsidP="005B5ACE">
      <w:r w:rsidRPr="00D92E6F">
        <w:t xml:space="preserve">A total of </w:t>
      </w:r>
      <w:r w:rsidR="00D92E6F" w:rsidRPr="00D92E6F">
        <w:t xml:space="preserve">14 </w:t>
      </w:r>
      <w:r w:rsidRPr="00D92E6F">
        <w:t xml:space="preserve">proposals were </w:t>
      </w:r>
      <w:r w:rsidR="00C92512" w:rsidRPr="00D92E6F">
        <w:rPr>
          <w:b/>
        </w:rPr>
        <w:t>rejected</w:t>
      </w:r>
      <w:r w:rsidR="00C92512" w:rsidRPr="00E2590C">
        <w:rPr>
          <w:b/>
        </w:rPr>
        <w:t xml:space="preserve"> </w:t>
      </w:r>
      <w:r w:rsidR="00C92512">
        <w:rPr>
          <w:b/>
        </w:rPr>
        <w:t xml:space="preserve">or </w:t>
      </w:r>
      <w:r w:rsidR="00E2590C" w:rsidRPr="00E2590C">
        <w:rPr>
          <w:b/>
        </w:rPr>
        <w:t xml:space="preserve">not approved </w:t>
      </w:r>
      <w:r w:rsidRPr="00D92E6F">
        <w:t xml:space="preserve">in </w:t>
      </w:r>
      <w:r w:rsidRPr="00D92E6F">
        <w:rPr>
          <w:color w:val="auto"/>
        </w:rPr>
        <w:t>200</w:t>
      </w:r>
      <w:r w:rsidR="00955AD5" w:rsidRPr="00D92E6F">
        <w:rPr>
          <w:color w:val="auto"/>
        </w:rPr>
        <w:t>7</w:t>
      </w:r>
      <w:r w:rsidR="007D00F8">
        <w:rPr>
          <w:color w:val="auto"/>
        </w:rPr>
        <w:noBreakHyphen/>
      </w:r>
      <w:r w:rsidRPr="00D92E6F">
        <w:rPr>
          <w:color w:val="auto"/>
        </w:rPr>
        <w:t>0</w:t>
      </w:r>
      <w:r w:rsidR="00955AD5" w:rsidRPr="00D92E6F">
        <w:rPr>
          <w:color w:val="auto"/>
        </w:rPr>
        <w:t>8</w:t>
      </w:r>
      <w:r w:rsidR="00490B09" w:rsidRPr="00D92E6F">
        <w:rPr>
          <w:color w:val="auto"/>
        </w:rPr>
        <w:t xml:space="preserve"> (</w:t>
      </w:r>
      <w:r w:rsidR="00955AD5" w:rsidRPr="00D92E6F">
        <w:t xml:space="preserve">39 </w:t>
      </w:r>
      <w:r w:rsidR="00490B09" w:rsidRPr="00D92E6F">
        <w:rPr>
          <w:color w:val="auto"/>
        </w:rPr>
        <w:t>in 200</w:t>
      </w:r>
      <w:r w:rsidR="00955AD5" w:rsidRPr="00D92E6F">
        <w:rPr>
          <w:color w:val="auto"/>
        </w:rPr>
        <w:t>6</w:t>
      </w:r>
      <w:r w:rsidR="007D00F8">
        <w:rPr>
          <w:color w:val="auto"/>
        </w:rPr>
        <w:noBreakHyphen/>
      </w:r>
      <w:r w:rsidR="00490B09" w:rsidRPr="00D92E6F">
        <w:rPr>
          <w:color w:val="auto"/>
        </w:rPr>
        <w:t>0</w:t>
      </w:r>
      <w:r w:rsidR="00955AD5" w:rsidRPr="00D92E6F">
        <w:rPr>
          <w:color w:val="auto"/>
        </w:rPr>
        <w:t>7</w:t>
      </w:r>
      <w:r w:rsidR="00490B09" w:rsidRPr="00D92E6F">
        <w:rPr>
          <w:color w:val="auto"/>
        </w:rPr>
        <w:t>)</w:t>
      </w:r>
      <w:r w:rsidRPr="00D92E6F">
        <w:rPr>
          <w:color w:val="auto"/>
        </w:rPr>
        <w:t xml:space="preserve">, </w:t>
      </w:r>
      <w:r w:rsidRPr="00D92E6F">
        <w:t xml:space="preserve">representing less than </w:t>
      </w:r>
      <w:r w:rsidR="00490B09" w:rsidRPr="00D92E6F">
        <w:t>one </w:t>
      </w:r>
      <w:r w:rsidRPr="00D92E6F">
        <w:t>per cent of all proposals</w:t>
      </w:r>
      <w:r w:rsidR="0090113E" w:rsidRPr="00D92E6F">
        <w:t xml:space="preserve"> considered</w:t>
      </w:r>
      <w:r w:rsidRPr="00D92E6F">
        <w:t xml:space="preserve">. </w:t>
      </w:r>
      <w:r w:rsidR="00FC2AFA" w:rsidRPr="00D92E6F">
        <w:t>A</w:t>
      </w:r>
      <w:r w:rsidR="00FC2AFA" w:rsidRPr="00D92E6F">
        <w:rPr>
          <w:color w:val="auto"/>
        </w:rPr>
        <w:t>ll of the</w:t>
      </w:r>
      <w:r w:rsidR="00E2590C">
        <w:rPr>
          <w:color w:val="auto"/>
        </w:rPr>
        <w:t>se</w:t>
      </w:r>
      <w:r w:rsidR="00B569BC">
        <w:rPr>
          <w:color w:val="auto"/>
        </w:rPr>
        <w:t xml:space="preserve"> rejected</w:t>
      </w:r>
      <w:r w:rsidR="00DA63B3">
        <w:rPr>
          <w:color w:val="auto"/>
        </w:rPr>
        <w:t xml:space="preserve"> </w:t>
      </w:r>
      <w:r w:rsidR="00FC2AFA" w:rsidRPr="00D92E6F">
        <w:rPr>
          <w:color w:val="auto"/>
        </w:rPr>
        <w:t xml:space="preserve">proposals </w:t>
      </w:r>
      <w:r w:rsidR="00E2590C">
        <w:rPr>
          <w:color w:val="auto"/>
        </w:rPr>
        <w:t xml:space="preserve">related to </w:t>
      </w:r>
      <w:r w:rsidR="00FC2AFA" w:rsidRPr="00D92E6F">
        <w:rPr>
          <w:color w:val="auto"/>
        </w:rPr>
        <w:t>real estate</w:t>
      </w:r>
      <w:r w:rsidR="00E2590C">
        <w:rPr>
          <w:color w:val="auto"/>
        </w:rPr>
        <w:t xml:space="preserve"> acquisitions</w:t>
      </w:r>
      <w:r w:rsidR="00FC2AFA" w:rsidRPr="00D92E6F">
        <w:rPr>
          <w:color w:val="auto"/>
        </w:rPr>
        <w:t>.</w:t>
      </w:r>
      <w:r w:rsidR="00FC2AFA">
        <w:rPr>
          <w:color w:val="auto"/>
        </w:rPr>
        <w:t xml:space="preserve"> </w:t>
      </w:r>
      <w:r w:rsidR="000A2507">
        <w:t xml:space="preserve">This figure includes </w:t>
      </w:r>
      <w:r w:rsidR="00FC2AFA">
        <w:t xml:space="preserve">one </w:t>
      </w:r>
      <w:r w:rsidR="000A2507">
        <w:t xml:space="preserve">proposal that </w:t>
      </w:r>
      <w:r w:rsidR="00FC2AFA">
        <w:t>was</w:t>
      </w:r>
      <w:r w:rsidR="000A2507">
        <w:t xml:space="preserve"> subject to the FATA</w:t>
      </w:r>
      <w:r w:rsidR="00FC2AFA">
        <w:t xml:space="preserve">, and thus required the making of a Final Order. A Final Order </w:t>
      </w:r>
      <w:r w:rsidR="0008463D" w:rsidRPr="000C0549">
        <w:lastRenderedPageBreak/>
        <w:t>prohibit</w:t>
      </w:r>
      <w:r w:rsidR="0008463D">
        <w:t>s</w:t>
      </w:r>
      <w:r w:rsidR="0008463D" w:rsidRPr="000C0549">
        <w:t xml:space="preserve"> the </w:t>
      </w:r>
      <w:r w:rsidR="00FC2AFA">
        <w:t>im</w:t>
      </w:r>
      <w:r w:rsidR="0008463D">
        <w:t xml:space="preserve">plementation of the proposed acquisition. Where the acquisition has already taken place, a </w:t>
      </w:r>
      <w:r w:rsidR="0008463D" w:rsidRPr="000C0549">
        <w:t xml:space="preserve">Divestiture Order </w:t>
      </w:r>
      <w:r w:rsidR="0008463D">
        <w:t>may be</w:t>
      </w:r>
      <w:r w:rsidR="0008463D" w:rsidRPr="000C0549">
        <w:t xml:space="preserve"> made</w:t>
      </w:r>
      <w:r w:rsidR="0008463D">
        <w:t>.</w:t>
      </w:r>
      <w:r w:rsidRPr="00D92E6F">
        <w:t xml:space="preserve"> </w:t>
      </w:r>
      <w:r w:rsidR="00F90DA1" w:rsidRPr="00D92E6F">
        <w:t xml:space="preserve">No </w:t>
      </w:r>
      <w:bookmarkStart w:id="6" w:name="OLE_LINK12"/>
      <w:bookmarkStart w:id="7" w:name="OLE_LINK13"/>
      <w:r w:rsidR="00F90DA1" w:rsidRPr="00D92E6F">
        <w:t>Divestiture Orders</w:t>
      </w:r>
      <w:bookmarkEnd w:id="6"/>
      <w:bookmarkEnd w:id="7"/>
      <w:r w:rsidR="00F90DA1" w:rsidRPr="00D92E6F">
        <w:t xml:space="preserve"> were made during </w:t>
      </w:r>
      <w:r w:rsidR="0008463D">
        <w:t>2007</w:t>
      </w:r>
      <w:r w:rsidR="007D00F8">
        <w:noBreakHyphen/>
      </w:r>
      <w:r w:rsidR="0008463D">
        <w:t xml:space="preserve">08. </w:t>
      </w:r>
      <w:r w:rsidR="0008463D">
        <w:rPr>
          <w:color w:val="auto"/>
        </w:rPr>
        <w:t>However,</w:t>
      </w:r>
      <w:r w:rsidR="005B5ACE" w:rsidRPr="00D92E6F">
        <w:rPr>
          <w:color w:val="auto"/>
        </w:rPr>
        <w:t xml:space="preserve"> </w:t>
      </w:r>
      <w:r w:rsidR="00D92E6F" w:rsidRPr="00D92E6F">
        <w:rPr>
          <w:color w:val="auto"/>
        </w:rPr>
        <w:t xml:space="preserve">two </w:t>
      </w:r>
      <w:r w:rsidR="005B5ACE" w:rsidRPr="00D92E6F">
        <w:rPr>
          <w:color w:val="auto"/>
        </w:rPr>
        <w:t xml:space="preserve">rejected proposals </w:t>
      </w:r>
      <w:r w:rsidR="008B7C20" w:rsidRPr="00D92E6F">
        <w:rPr>
          <w:color w:val="auto"/>
        </w:rPr>
        <w:t>involved</w:t>
      </w:r>
      <w:r w:rsidR="005B5ACE" w:rsidRPr="00D92E6F">
        <w:rPr>
          <w:color w:val="auto"/>
        </w:rPr>
        <w:t xml:space="preserve"> the applicants </w:t>
      </w:r>
      <w:r w:rsidR="00902A33" w:rsidRPr="00D92E6F">
        <w:rPr>
          <w:color w:val="auto"/>
        </w:rPr>
        <w:t>voluntarily divesti</w:t>
      </w:r>
      <w:r w:rsidR="00902A33">
        <w:rPr>
          <w:color w:val="auto"/>
        </w:rPr>
        <w:t xml:space="preserve">ng their interests in these properties </w:t>
      </w:r>
      <w:r w:rsidR="005B5ACE" w:rsidRPr="006E775B">
        <w:rPr>
          <w:color w:val="auto"/>
        </w:rPr>
        <w:t>without the need for Divestiture Order</w:t>
      </w:r>
      <w:r w:rsidR="005B5ACE">
        <w:rPr>
          <w:color w:val="auto"/>
        </w:rPr>
        <w:t>s</w:t>
      </w:r>
      <w:r w:rsidR="005B5ACE" w:rsidRPr="006E775B">
        <w:rPr>
          <w:color w:val="auto"/>
        </w:rPr>
        <w:t xml:space="preserve"> to be issued.</w:t>
      </w:r>
      <w:r w:rsidR="0008463D">
        <w:rPr>
          <w:color w:val="auto"/>
        </w:rPr>
        <w:t xml:space="preserve"> The remaining </w:t>
      </w:r>
      <w:r w:rsidR="0008463D">
        <w:t>1</w:t>
      </w:r>
      <w:r w:rsidR="00E2590C">
        <w:t>1</w:t>
      </w:r>
      <w:r w:rsidR="0008463D">
        <w:t xml:space="preserve"> rejections involved proposals that were not subject to the FATA</w:t>
      </w:r>
      <w:r w:rsidR="0024711F">
        <w:t xml:space="preserve">, </w:t>
      </w:r>
      <w:r w:rsidR="00E2590C">
        <w:t>being applications for approval to sell up to 50 per cent of newly constructed dwellings in a multi</w:t>
      </w:r>
      <w:r w:rsidR="007D00F8">
        <w:noBreakHyphen/>
      </w:r>
      <w:r w:rsidR="00E2590C">
        <w:t>unit development off</w:t>
      </w:r>
      <w:r w:rsidR="007D00F8">
        <w:noBreakHyphen/>
      </w:r>
      <w:r w:rsidR="00E2590C">
        <w:t>the</w:t>
      </w:r>
      <w:r w:rsidR="007D00F8">
        <w:noBreakHyphen/>
      </w:r>
      <w:r w:rsidR="00E2590C">
        <w:t>plan</w:t>
      </w:r>
      <w:r w:rsidR="0024711F">
        <w:t>,</w:t>
      </w:r>
      <w:r w:rsidR="00E2590C">
        <w:t xml:space="preserve"> so relieving the buyer from the requirement to seek separate individual approval. They did not receive approval because the development was </w:t>
      </w:r>
      <w:r w:rsidR="00C92512">
        <w:t xml:space="preserve">to be </w:t>
      </w:r>
      <w:r w:rsidR="00E2590C">
        <w:t xml:space="preserve">of too few units to meet </w:t>
      </w:r>
      <w:r w:rsidR="00E2590C">
        <w:rPr>
          <w:color w:val="auto"/>
        </w:rPr>
        <w:t xml:space="preserve">the administrative requirement set by the policy at that time for providing such an approval. Such approvals </w:t>
      </w:r>
      <w:r w:rsidR="00DF442F">
        <w:rPr>
          <w:color w:val="auto"/>
        </w:rPr>
        <w:t>we</w:t>
      </w:r>
      <w:r w:rsidR="00E2590C">
        <w:rPr>
          <w:color w:val="auto"/>
        </w:rPr>
        <w:t>re only made available for developments involving construction of at least 10 dwellings, and those applications were for developments of less than 10.</w:t>
      </w:r>
      <w:r w:rsidR="00C92512">
        <w:t xml:space="preserve"> </w:t>
      </w:r>
    </w:p>
    <w:p w:rsidR="006066C4" w:rsidRDefault="006066C4" w:rsidP="006066C4">
      <w:r>
        <w:t>In 200</w:t>
      </w:r>
      <w:r w:rsidR="00955AD5">
        <w:t>7</w:t>
      </w:r>
      <w:r w:rsidR="007D00F8">
        <w:noBreakHyphen/>
      </w:r>
      <w:r>
        <w:t>0</w:t>
      </w:r>
      <w:r w:rsidR="00955AD5">
        <w:t>8</w:t>
      </w:r>
      <w:r>
        <w:t xml:space="preserve">, </w:t>
      </w:r>
      <w:r w:rsidR="00D92E6F">
        <w:t xml:space="preserve">521 </w:t>
      </w:r>
      <w:r>
        <w:t xml:space="preserve">proposals were </w:t>
      </w:r>
      <w:r w:rsidRPr="001C2829">
        <w:rPr>
          <w:b/>
        </w:rPr>
        <w:t>withdrawn</w:t>
      </w:r>
      <w:r>
        <w:t xml:space="preserve"> by the </w:t>
      </w:r>
      <w:r w:rsidR="00630A28">
        <w:t>applicants</w:t>
      </w:r>
      <w:r w:rsidR="00490B09">
        <w:t>, representi</w:t>
      </w:r>
      <w:r w:rsidR="00490B09" w:rsidRPr="009304E9">
        <w:t xml:space="preserve">ng a </w:t>
      </w:r>
      <w:r w:rsidR="009304E9" w:rsidRPr="009304E9">
        <w:t>17 </w:t>
      </w:r>
      <w:r w:rsidR="00490B09" w:rsidRPr="009304E9">
        <w:t>per cent</w:t>
      </w:r>
      <w:r w:rsidR="00490B09">
        <w:t xml:space="preserve"> </w:t>
      </w:r>
      <w:r w:rsidR="009304E9">
        <w:t>de</w:t>
      </w:r>
      <w:r w:rsidR="00490B09">
        <w:t xml:space="preserve">crease on the </w:t>
      </w:r>
      <w:r w:rsidR="00955AD5">
        <w:t xml:space="preserve">629 </w:t>
      </w:r>
      <w:r w:rsidR="00490B09">
        <w:t>withdraw</w:t>
      </w:r>
      <w:r w:rsidR="00950820">
        <w:t>als</w:t>
      </w:r>
      <w:r w:rsidR="00490B09">
        <w:t xml:space="preserve"> in 200</w:t>
      </w:r>
      <w:r w:rsidR="00955AD5">
        <w:t>6</w:t>
      </w:r>
      <w:r w:rsidR="007D00F8">
        <w:noBreakHyphen/>
      </w:r>
      <w:r w:rsidR="00490B09">
        <w:t>0</w:t>
      </w:r>
      <w:r w:rsidR="00955AD5">
        <w:t>7</w:t>
      </w:r>
      <w:r w:rsidR="003C6E70">
        <w:t xml:space="preserve"> having</w:t>
      </w:r>
      <w:r w:rsidR="00BB63BB">
        <w:t xml:space="preserve"> </w:t>
      </w:r>
      <w:r w:rsidR="00936869">
        <w:t xml:space="preserve">returned to its average over recent years of around 6 per cent of the total applications received. </w:t>
      </w:r>
      <w:r w:rsidR="00B67DE9">
        <w:t>In 2007</w:t>
      </w:r>
      <w:r w:rsidR="007D00F8">
        <w:noBreakHyphen/>
      </w:r>
      <w:r w:rsidR="00B67DE9">
        <w:t xml:space="preserve">08, 86 per cent of withdrawals involved real estate proposals. Many of these </w:t>
      </w:r>
      <w:r w:rsidR="00936869">
        <w:t xml:space="preserve">withdrawals </w:t>
      </w:r>
      <w:r w:rsidR="00B67DE9">
        <w:t xml:space="preserve">result from applicants submitting </w:t>
      </w:r>
      <w:r w:rsidR="00936869">
        <w:t xml:space="preserve">several </w:t>
      </w:r>
      <w:r w:rsidR="00B67DE9">
        <w:t xml:space="preserve">concurrent </w:t>
      </w:r>
      <w:r w:rsidR="00936869">
        <w:t xml:space="preserve">or a series of </w:t>
      </w:r>
      <w:r w:rsidR="00B67DE9">
        <w:t>applications (often for properties that are to be auctioned</w:t>
      </w:r>
      <w:r w:rsidR="00936869">
        <w:t xml:space="preserve"> and for which they intend to bid</w:t>
      </w:r>
      <w:r w:rsidR="00B67DE9">
        <w:t xml:space="preserve">), and once one property has been purchased, subsequently withdrawing the remaining applications. </w:t>
      </w:r>
      <w:r w:rsidR="00936869">
        <w:t xml:space="preserve">In other cases, proposals are withdrawn because the investment </w:t>
      </w:r>
      <w:r w:rsidR="00A31B58">
        <w:t>i</w:t>
      </w:r>
      <w:r w:rsidR="00936869">
        <w:t>s deferred or the applicant</w:t>
      </w:r>
      <w:r w:rsidR="00A31B58">
        <w:t xml:space="preserve"> </w:t>
      </w:r>
      <w:r w:rsidR="00936869">
        <w:t>decide</w:t>
      </w:r>
      <w:r w:rsidR="00A31B58">
        <w:t>s</w:t>
      </w:r>
      <w:r w:rsidR="00936869">
        <w:t xml:space="preserve"> not to proceed for commercial reasons. </w:t>
      </w:r>
      <w:r w:rsidR="00F3319D">
        <w:t>F</w:t>
      </w:r>
      <w:r>
        <w:t>oreign investors are encouraged to discuss</w:t>
      </w:r>
      <w:r w:rsidR="00E77E34">
        <w:t xml:space="preserve"> all types of</w:t>
      </w:r>
      <w:r>
        <w:t xml:space="preserve"> proposals with the Board’s secretariat to ensure they are consistent with the policy. </w:t>
      </w:r>
      <w:r w:rsidR="00F3319D">
        <w:t>A</w:t>
      </w:r>
      <w:r w:rsidR="004B1259">
        <w:t xml:space="preserve">pplicants may </w:t>
      </w:r>
      <w:r w:rsidR="00F3319D">
        <w:t xml:space="preserve">decide to </w:t>
      </w:r>
      <w:r w:rsidR="004B1259">
        <w:t xml:space="preserve">withdraw and </w:t>
      </w:r>
      <w:r w:rsidR="00F3319D">
        <w:t xml:space="preserve">later </w:t>
      </w:r>
      <w:r w:rsidR="004B1259">
        <w:t>resubmit complex proposals that require more than the standard 30</w:t>
      </w:r>
      <w:r w:rsidR="007D00F8">
        <w:noBreakHyphen/>
      </w:r>
      <w:r w:rsidR="004B1259">
        <w:t xml:space="preserve">day examination period </w:t>
      </w:r>
      <w:r w:rsidR="00F3319D">
        <w:t xml:space="preserve">set by </w:t>
      </w:r>
      <w:r w:rsidR="004B1259">
        <w:t>the FATA</w:t>
      </w:r>
      <w:r w:rsidR="00F3319D">
        <w:t xml:space="preserve"> in preference to t</w:t>
      </w:r>
      <w:r w:rsidR="004B1259">
        <w:t xml:space="preserve">he issuing of an Interim Order, </w:t>
      </w:r>
      <w:r w:rsidR="00F3319D">
        <w:t xml:space="preserve">publicly revealing its existence as such Orders are published in the </w:t>
      </w:r>
      <w:r w:rsidR="00F3319D" w:rsidRPr="007620E5">
        <w:rPr>
          <w:color w:val="auto"/>
        </w:rPr>
        <w:t xml:space="preserve">Commonwealth of Australia </w:t>
      </w:r>
      <w:r w:rsidR="00F3319D" w:rsidRPr="007620E5">
        <w:rPr>
          <w:i/>
          <w:color w:val="auto"/>
        </w:rPr>
        <w:t>Gazette</w:t>
      </w:r>
      <w:r w:rsidR="003D5419">
        <w:t xml:space="preserve">. </w:t>
      </w:r>
    </w:p>
    <w:p w:rsidR="006066C4" w:rsidRDefault="00A62496" w:rsidP="006066C4">
      <w:r w:rsidRPr="00D278BA">
        <w:t>During 200</w:t>
      </w:r>
      <w:r w:rsidR="00955AD5">
        <w:t>7</w:t>
      </w:r>
      <w:r w:rsidR="007D00F8">
        <w:noBreakHyphen/>
      </w:r>
      <w:r w:rsidRPr="00D278BA">
        <w:t>0</w:t>
      </w:r>
      <w:r w:rsidR="00955AD5">
        <w:t>8</w:t>
      </w:r>
      <w:r w:rsidRPr="00D278BA">
        <w:t xml:space="preserve">, </w:t>
      </w:r>
      <w:r w:rsidR="009304E9">
        <w:t>172</w:t>
      </w:r>
      <w:r w:rsidR="009304E9" w:rsidRPr="00D278BA">
        <w:t xml:space="preserve"> </w:t>
      </w:r>
      <w:r w:rsidRPr="00D278BA">
        <w:t xml:space="preserve">proposals were determined to be </w:t>
      </w:r>
      <w:r w:rsidRPr="00911DAD">
        <w:rPr>
          <w:b/>
        </w:rPr>
        <w:t>exempt</w:t>
      </w:r>
      <w:r w:rsidR="00490B09">
        <w:t xml:space="preserve"> compared with </w:t>
      </w:r>
      <w:r w:rsidR="00955AD5">
        <w:t>200</w:t>
      </w:r>
      <w:r w:rsidR="00955AD5" w:rsidRPr="00D278BA">
        <w:t xml:space="preserve"> </w:t>
      </w:r>
      <w:r w:rsidR="00490B09">
        <w:t>in 200</w:t>
      </w:r>
      <w:r w:rsidR="00955AD5">
        <w:t>6</w:t>
      </w:r>
      <w:r w:rsidR="007D00F8">
        <w:noBreakHyphen/>
      </w:r>
      <w:r w:rsidR="00490B09">
        <w:t>0</w:t>
      </w:r>
      <w:r w:rsidR="00955AD5">
        <w:t>7</w:t>
      </w:r>
      <w:r w:rsidRPr="00D278BA">
        <w:t xml:space="preserve">. </w:t>
      </w:r>
      <w:r w:rsidR="00FA31AC">
        <w:t xml:space="preserve">Some applications received </w:t>
      </w:r>
      <w:r w:rsidR="0023483B">
        <w:t xml:space="preserve">are determined </w:t>
      </w:r>
      <w:r w:rsidR="003766AB" w:rsidRPr="00D278BA">
        <w:t xml:space="preserve">to be </w:t>
      </w:r>
      <w:r w:rsidR="00B77D9A">
        <w:t xml:space="preserve">outside </w:t>
      </w:r>
      <w:r w:rsidR="0040682E">
        <w:t>the scope of the FATA</w:t>
      </w:r>
      <w:r w:rsidR="00A31B58">
        <w:t>,</w:t>
      </w:r>
      <w:r w:rsidR="0040682E">
        <w:t xml:space="preserve"> </w:t>
      </w:r>
      <w:r w:rsidR="00B77D9A">
        <w:t xml:space="preserve">including because they are exempted </w:t>
      </w:r>
      <w:r w:rsidR="0023483B">
        <w:t xml:space="preserve">by the </w:t>
      </w:r>
      <w:r w:rsidR="0023483B" w:rsidRPr="005D3A00">
        <w:rPr>
          <w:i/>
        </w:rPr>
        <w:t>Foreign Acquisitions and Takeovers Regulations 1989</w:t>
      </w:r>
      <w:r w:rsidR="004654A7">
        <w:rPr>
          <w:i/>
        </w:rPr>
        <w:t xml:space="preserve"> </w:t>
      </w:r>
      <w:r w:rsidR="004654A7">
        <w:t xml:space="preserve">(the Regulations, </w:t>
      </w:r>
      <w:r w:rsidR="004654A7" w:rsidRPr="00906E0E">
        <w:t xml:space="preserve">see </w:t>
      </w:r>
      <w:r w:rsidR="004654A7" w:rsidRPr="00906E0E">
        <w:rPr>
          <w:bCs/>
        </w:rPr>
        <w:t>Appendices A and E</w:t>
      </w:r>
      <w:r w:rsidR="004654A7" w:rsidRPr="00906E0E">
        <w:t>)</w:t>
      </w:r>
      <w:r w:rsidR="003766AB" w:rsidRPr="00D278BA">
        <w:t xml:space="preserve"> or </w:t>
      </w:r>
      <w:r w:rsidR="00120281">
        <w:t xml:space="preserve">outside the scope </w:t>
      </w:r>
      <w:r w:rsidR="00B77D9A">
        <w:t xml:space="preserve">of </w:t>
      </w:r>
      <w:r w:rsidR="003766AB" w:rsidRPr="00D278BA">
        <w:t xml:space="preserve">the policy. </w:t>
      </w:r>
      <w:r w:rsidR="00B569BC">
        <w:t xml:space="preserve">The existence of these particular </w:t>
      </w:r>
      <w:r w:rsidR="00FA31AC">
        <w:t>applications reflect</w:t>
      </w:r>
      <w:r w:rsidR="00120281">
        <w:t xml:space="preserve">s </w:t>
      </w:r>
      <w:r w:rsidR="00FA31AC">
        <w:t>the requirement un</w:t>
      </w:r>
      <w:r w:rsidR="00FA31AC" w:rsidRPr="00D278BA">
        <w:t>der the policy</w:t>
      </w:r>
      <w:r w:rsidR="00FA31AC">
        <w:t xml:space="preserve"> that</w:t>
      </w:r>
      <w:r w:rsidR="00FA31AC" w:rsidRPr="00D278BA">
        <w:t xml:space="preserve"> foreign investors submit proposals where any doubt exists as to whether they are notifiable</w:t>
      </w:r>
      <w:r w:rsidR="003D5419">
        <w:t xml:space="preserve">. </w:t>
      </w:r>
    </w:p>
    <w:p w:rsidR="006066C4" w:rsidRDefault="006066C4" w:rsidP="00183392">
      <w:pPr>
        <w:pStyle w:val="TableMainHeading"/>
      </w:pPr>
      <w:r w:rsidRPr="00D278BA">
        <w:lastRenderedPageBreak/>
        <w:t>Table 2.1</w:t>
      </w:r>
      <w:r w:rsidR="00C450A2">
        <w:t xml:space="preserve">: </w:t>
      </w:r>
      <w:r w:rsidRPr="00D278BA">
        <w:t xml:space="preserve">Applications </w:t>
      </w:r>
      <w:r w:rsidR="00D278BA" w:rsidRPr="00D278BA">
        <w:t>consider</w:t>
      </w:r>
      <w:r w:rsidRPr="00D278BA">
        <w:t xml:space="preserve">ed </w:t>
      </w:r>
      <w:r>
        <w:t>200</w:t>
      </w:r>
      <w:r w:rsidR="00955AD5">
        <w:t>2</w:t>
      </w:r>
      <w:r w:rsidR="007D00F8">
        <w:noBreakHyphen/>
      </w:r>
      <w:r>
        <w:t>0</w:t>
      </w:r>
      <w:r w:rsidR="00955AD5">
        <w:t>3</w:t>
      </w:r>
      <w:r>
        <w:t xml:space="preserve"> to </w:t>
      </w:r>
      <w:r w:rsidR="00310514" w:rsidRPr="00C6620A">
        <w:t>200</w:t>
      </w:r>
      <w:r w:rsidR="00955AD5">
        <w:t>7</w:t>
      </w:r>
      <w:r w:rsidR="007D00F8">
        <w:noBreakHyphen/>
      </w:r>
      <w:r w:rsidR="00310514" w:rsidRPr="00C6620A">
        <w:t>0</w:t>
      </w:r>
      <w:r w:rsidR="00955AD5">
        <w:t>8</w:t>
      </w:r>
      <w:r w:rsidR="00C03285">
        <w:t xml:space="preserve"> — </w:t>
      </w:r>
      <w:r w:rsidR="00C9145B" w:rsidRPr="00D278BA">
        <w:t>number</w:t>
      </w:r>
      <w:r w:rsidR="00C9145B">
        <w:t xml:space="preserve"> of proposals </w:t>
      </w:r>
    </w:p>
    <w:p w:rsidR="006066C4" w:rsidRDefault="00137E09" w:rsidP="006066C4">
      <w:pPr>
        <w:pStyle w:val="TableGraphic"/>
      </w:pPr>
      <w:r>
        <w:object w:dxaOrig="7707" w:dyaOrig="2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11.75pt" o:ole="">
            <v:imagedata r:id="rId12" o:title=""/>
          </v:shape>
          <o:OLEObject Type="Link" ProgID="Excel.Sheet.8" ShapeID="_x0000_i1025" DrawAspect="Content" r:id="rId13" UpdateMode="Always">
            <o:LinkType>Picture</o:LinkType>
            <o:LockedField>false</o:LockedField>
          </o:OLEObject>
        </w:object>
      </w:r>
    </w:p>
    <w:p w:rsidR="00FD36ED" w:rsidRPr="00FD36ED" w:rsidRDefault="004D02C3" w:rsidP="00D6215F">
      <w:pPr>
        <w:pStyle w:val="ChartorTableNote"/>
        <w:spacing w:after="240"/>
      </w:pPr>
      <w:r>
        <w:t>Note:</w:t>
      </w:r>
      <w:r>
        <w:tab/>
      </w:r>
      <w:r w:rsidRPr="00557CCE">
        <w:t>Includes corporate re</w:t>
      </w:r>
      <w:r>
        <w:t>organisations</w:t>
      </w:r>
      <w:r w:rsidR="00B34E95">
        <w:t xml:space="preserve"> </w:t>
      </w:r>
      <w:bookmarkStart w:id="8" w:name="OLE_LINK19"/>
      <w:bookmarkStart w:id="9" w:name="OLE_LINK20"/>
      <w:r w:rsidR="00B34E95">
        <w:t>(</w:t>
      </w:r>
      <w:r w:rsidR="009D2739">
        <w:t xml:space="preserve">66 </w:t>
      </w:r>
      <w:r w:rsidR="00B34E95">
        <w:t>in 200</w:t>
      </w:r>
      <w:r w:rsidR="009D2739">
        <w:t>7</w:t>
      </w:r>
      <w:r w:rsidR="007D00F8">
        <w:noBreakHyphen/>
      </w:r>
      <w:r w:rsidR="00B34E95">
        <w:t>0</w:t>
      </w:r>
      <w:r w:rsidR="009D2739">
        <w:t>8</w:t>
      </w:r>
      <w:r w:rsidR="00B34E95">
        <w:t>)</w:t>
      </w:r>
      <w:r w:rsidRPr="00557CCE">
        <w:t>.</w:t>
      </w:r>
      <w:bookmarkEnd w:id="8"/>
      <w:bookmarkEnd w:id="9"/>
    </w:p>
    <w:p w:rsidR="00F06B75" w:rsidRDefault="00A44E26" w:rsidP="003D79FF">
      <w:pPr>
        <w:pStyle w:val="Heading2"/>
      </w:pPr>
      <w:r>
        <w:t>Applications decided in 200</w:t>
      </w:r>
      <w:r w:rsidR="00955AD5">
        <w:t>7</w:t>
      </w:r>
      <w:r w:rsidR="007D00F8">
        <w:noBreakHyphen/>
      </w:r>
      <w:r w:rsidR="00F06B75">
        <w:t>0</w:t>
      </w:r>
      <w:r w:rsidR="00955AD5">
        <w:t>8</w:t>
      </w:r>
    </w:p>
    <w:p w:rsidR="00B377ED" w:rsidRDefault="00A62FE9" w:rsidP="00DE7F83">
      <w:r>
        <w:t xml:space="preserve">This section </w:t>
      </w:r>
      <w:r w:rsidRPr="005B2446">
        <w:t>analyses</w:t>
      </w:r>
      <w:r>
        <w:t xml:space="preserve"> </w:t>
      </w:r>
      <w:r w:rsidR="00336462" w:rsidRPr="00DE7F83">
        <w:t xml:space="preserve">all proposals </w:t>
      </w:r>
      <w:r>
        <w:t xml:space="preserve">that were </w:t>
      </w:r>
      <w:r w:rsidR="00336462" w:rsidRPr="00DE7F83">
        <w:t>approved</w:t>
      </w:r>
      <w:r>
        <w:t xml:space="preserve"> (either </w:t>
      </w:r>
      <w:r w:rsidR="00087937">
        <w:t xml:space="preserve">with or without </w:t>
      </w:r>
      <w:r w:rsidR="00336462" w:rsidRPr="00DE7F83">
        <w:t>condition</w:t>
      </w:r>
      <w:r w:rsidR="0040682E">
        <w:t>s</w:t>
      </w:r>
      <w:r>
        <w:t>)</w:t>
      </w:r>
      <w:r w:rsidR="00B569BC">
        <w:t>,</w:t>
      </w:r>
      <w:r w:rsidR="0040682E">
        <w:t xml:space="preserve"> </w:t>
      </w:r>
      <w:r>
        <w:t xml:space="preserve">or </w:t>
      </w:r>
      <w:r w:rsidR="00336462" w:rsidRPr="00DE7F83">
        <w:t xml:space="preserve">rejected during </w:t>
      </w:r>
      <w:r w:rsidR="00A62496" w:rsidRPr="00DE7F83">
        <w:t>200</w:t>
      </w:r>
      <w:r w:rsidR="00955AD5">
        <w:t>7</w:t>
      </w:r>
      <w:r w:rsidR="007D00F8">
        <w:noBreakHyphen/>
      </w:r>
      <w:r w:rsidR="00A62496" w:rsidRPr="00DE7F83">
        <w:t>0</w:t>
      </w:r>
      <w:r w:rsidR="00955AD5">
        <w:t>8</w:t>
      </w:r>
      <w:r>
        <w:t xml:space="preserve">, </w:t>
      </w:r>
      <w:r w:rsidR="009D6EDA" w:rsidRPr="00DE7F83">
        <w:t xml:space="preserve">irrespective of the date </w:t>
      </w:r>
      <w:r w:rsidR="00B74ED1">
        <w:t>they</w:t>
      </w:r>
      <w:r w:rsidR="009D6EDA" w:rsidRPr="00DE7F83">
        <w:t xml:space="preserve"> were submitted.</w:t>
      </w:r>
      <w:r w:rsidR="003B28EB" w:rsidRPr="00DE7F83">
        <w:t xml:space="preserve"> </w:t>
      </w:r>
      <w:r w:rsidR="00630A28" w:rsidRPr="00DE7F83">
        <w:t xml:space="preserve">Corporate reorganisations are </w:t>
      </w:r>
      <w:r w:rsidR="00FB1E53" w:rsidRPr="00DE7F83">
        <w:t xml:space="preserve">also </w:t>
      </w:r>
      <w:r w:rsidR="00630A28" w:rsidRPr="00DE7F83">
        <w:t xml:space="preserve">included here, whereas they are excluded from the analysis of approved investment provided later in this chapter. </w:t>
      </w:r>
    </w:p>
    <w:p w:rsidR="00DE7F83" w:rsidRDefault="003B28EB" w:rsidP="00DE7F83">
      <w:r w:rsidRPr="00DE7F83">
        <w:t>The number of applications decided during 200</w:t>
      </w:r>
      <w:r w:rsidR="00955AD5">
        <w:t>7</w:t>
      </w:r>
      <w:r w:rsidR="007D00F8">
        <w:noBreakHyphen/>
      </w:r>
      <w:r w:rsidRPr="00DE7F83">
        <w:t>0</w:t>
      </w:r>
      <w:r w:rsidR="00955AD5">
        <w:t>8</w:t>
      </w:r>
      <w:r w:rsidRPr="00DE7F83">
        <w:t xml:space="preserve"> was </w:t>
      </w:r>
      <w:r w:rsidR="009D2739">
        <w:t>7,855</w:t>
      </w:r>
      <w:r w:rsidR="00231250">
        <w:t>,</w:t>
      </w:r>
      <w:r w:rsidR="00232A67" w:rsidRPr="00DE7F83">
        <w:t xml:space="preserve"> </w:t>
      </w:r>
      <w:r w:rsidRPr="00DE7F83">
        <w:t xml:space="preserve">around </w:t>
      </w:r>
      <w:r w:rsidR="009D2739" w:rsidRPr="009D2739">
        <w:t>27 </w:t>
      </w:r>
      <w:r w:rsidR="001718EC" w:rsidRPr="009D2739">
        <w:t>per </w:t>
      </w:r>
      <w:r w:rsidRPr="009D2739">
        <w:t>cent</w:t>
      </w:r>
      <w:r w:rsidRPr="00DE7F83">
        <w:t xml:space="preserve"> higher than in 200</w:t>
      </w:r>
      <w:r w:rsidR="00955AD5">
        <w:t>6</w:t>
      </w:r>
      <w:r w:rsidR="007D00F8">
        <w:noBreakHyphen/>
      </w:r>
      <w:r w:rsidRPr="00DE7F83">
        <w:t>0</w:t>
      </w:r>
      <w:r w:rsidR="00955AD5">
        <w:t>7</w:t>
      </w:r>
      <w:r w:rsidR="002D2548">
        <w:t xml:space="preserve"> and 50 per cent higher than in 200</w:t>
      </w:r>
      <w:r w:rsidR="00B569BC">
        <w:t>5</w:t>
      </w:r>
      <w:r w:rsidR="007D00F8">
        <w:noBreakHyphen/>
      </w:r>
      <w:r w:rsidR="002D2548">
        <w:t>0</w:t>
      </w:r>
      <w:r w:rsidR="00B569BC">
        <w:t>6</w:t>
      </w:r>
      <w:r w:rsidR="00BE605C">
        <w:t xml:space="preserve"> (see Table 2.1)</w:t>
      </w:r>
      <w:r w:rsidRPr="00DE7F83">
        <w:t xml:space="preserve">. The value </w:t>
      </w:r>
      <w:r w:rsidRPr="00EF1318">
        <w:t>of decided</w:t>
      </w:r>
      <w:r w:rsidRPr="00DE7F83">
        <w:t xml:space="preserve"> applications wa</w:t>
      </w:r>
      <w:r w:rsidRPr="007F7ACD">
        <w:t>s</w:t>
      </w:r>
      <w:r w:rsidR="00232A67" w:rsidRPr="007F7ACD">
        <w:t xml:space="preserve"> $</w:t>
      </w:r>
      <w:r w:rsidR="007F7ACD" w:rsidRPr="007F7ACD">
        <w:t>192.0</w:t>
      </w:r>
      <w:r w:rsidR="009F02A2">
        <w:t> b</w:t>
      </w:r>
      <w:r w:rsidR="00232A67" w:rsidRPr="007F7ACD">
        <w:t>il</w:t>
      </w:r>
      <w:r w:rsidR="00232A67" w:rsidRPr="00DE7F83">
        <w:t>lion,</w:t>
      </w:r>
      <w:r w:rsidRPr="00DE7F83">
        <w:t xml:space="preserve"> </w:t>
      </w:r>
      <w:r w:rsidR="00414F5C" w:rsidRPr="00DE7F83">
        <w:t>approximately</w:t>
      </w:r>
      <w:r w:rsidR="007F7ACD">
        <w:t xml:space="preserve"> </w:t>
      </w:r>
      <w:r w:rsidR="007F7ACD" w:rsidRPr="007F7ACD">
        <w:t>23</w:t>
      </w:r>
      <w:r w:rsidR="00F90DA1" w:rsidRPr="007F7ACD">
        <w:t> </w:t>
      </w:r>
      <w:r w:rsidRPr="007F7ACD">
        <w:t>per</w:t>
      </w:r>
      <w:r w:rsidRPr="00DE7F83">
        <w:t xml:space="preserve"> cent </w:t>
      </w:r>
      <w:r w:rsidR="00F90DA1">
        <w:t>higher</w:t>
      </w:r>
      <w:r w:rsidR="00F90DA1" w:rsidRPr="00DE7F83">
        <w:t xml:space="preserve"> </w:t>
      </w:r>
      <w:r w:rsidRPr="00DE7F83">
        <w:t>than in 200</w:t>
      </w:r>
      <w:r w:rsidR="00955AD5">
        <w:t>6</w:t>
      </w:r>
      <w:r w:rsidR="007D00F8">
        <w:noBreakHyphen/>
      </w:r>
      <w:r w:rsidRPr="00DE7F83">
        <w:t>0</w:t>
      </w:r>
      <w:r w:rsidR="00955AD5">
        <w:t>7</w:t>
      </w:r>
      <w:r w:rsidR="002D2548">
        <w:t xml:space="preserve"> and more than double the 200</w:t>
      </w:r>
      <w:r w:rsidR="00B569BC">
        <w:t>5</w:t>
      </w:r>
      <w:r w:rsidR="007D00F8">
        <w:noBreakHyphen/>
      </w:r>
      <w:r w:rsidR="002D2548">
        <w:t>0</w:t>
      </w:r>
      <w:r w:rsidR="00B569BC">
        <w:t>6</w:t>
      </w:r>
      <w:r w:rsidR="00B74ED1">
        <w:t xml:space="preserve"> total</w:t>
      </w:r>
      <w:r w:rsidRPr="00DE7F83">
        <w:t xml:space="preserve">. </w:t>
      </w:r>
      <w:r w:rsidR="00BE605C">
        <w:t>Table 2.2 provides a breakdown of proposed investment according to</w:t>
      </w:r>
      <w:r w:rsidR="00BF3B06">
        <w:t xml:space="preserve"> the outcome of decided applications, for the corresponding period provided in Table</w:t>
      </w:r>
      <w:r w:rsidR="009F02A2">
        <w:t> </w:t>
      </w:r>
      <w:r w:rsidR="00BF3B06">
        <w:t>2.1.</w:t>
      </w:r>
    </w:p>
    <w:p w:rsidR="00DE7F83" w:rsidRDefault="00DE7F83" w:rsidP="00DE7F83">
      <w:pPr>
        <w:pStyle w:val="TableMainHeading"/>
      </w:pPr>
      <w:r w:rsidRPr="00D278BA">
        <w:t>Table 2.</w:t>
      </w:r>
      <w:r w:rsidR="00BF3B06">
        <w:t>2</w:t>
      </w:r>
      <w:r>
        <w:t xml:space="preserve">: </w:t>
      </w:r>
      <w:r w:rsidRPr="00D278BA">
        <w:t xml:space="preserve">Applications </w:t>
      </w:r>
      <w:r>
        <w:t>decid</w:t>
      </w:r>
      <w:r w:rsidRPr="00D278BA">
        <w:t xml:space="preserve">ed </w:t>
      </w:r>
      <w:r>
        <w:t>200</w:t>
      </w:r>
      <w:r w:rsidR="00955AD5">
        <w:t>2</w:t>
      </w:r>
      <w:r w:rsidR="007D00F8">
        <w:noBreakHyphen/>
      </w:r>
      <w:r>
        <w:t>0</w:t>
      </w:r>
      <w:r w:rsidR="00955AD5">
        <w:t>3</w:t>
      </w:r>
      <w:r>
        <w:t xml:space="preserve"> to </w:t>
      </w:r>
      <w:r w:rsidR="00310514" w:rsidRPr="00C6620A">
        <w:t>200</w:t>
      </w:r>
      <w:r w:rsidR="00955AD5">
        <w:t>7</w:t>
      </w:r>
      <w:r w:rsidR="007D00F8">
        <w:noBreakHyphen/>
      </w:r>
      <w:r w:rsidR="00310514" w:rsidRPr="00C6620A">
        <w:t>0</w:t>
      </w:r>
      <w:r w:rsidR="00955AD5">
        <w:t>8</w:t>
      </w:r>
      <w:r w:rsidR="00C03285">
        <w:t xml:space="preserve"> — </w:t>
      </w:r>
      <w:r>
        <w:t xml:space="preserve">proposed investment </w:t>
      </w:r>
    </w:p>
    <w:p w:rsidR="00DE7F83" w:rsidRDefault="00473354" w:rsidP="00DE7F83">
      <w:pPr>
        <w:pStyle w:val="TableGraphic"/>
      </w:pPr>
      <w:r>
        <w:object w:dxaOrig="7711" w:dyaOrig="1548">
          <v:shape id="_x0000_i1026" type="#_x0000_t75" style="width:385.5pt;height:77.25pt" o:ole="">
            <v:imagedata r:id="rId14" o:title=""/>
          </v:shape>
          <o:OLEObject Type="Link" ProgID="Excel.Sheet.8" ShapeID="_x0000_i1026" DrawAspect="Content" r:id="rId15" UpdateMode="Always">
            <o:LinkType>Picture</o:LinkType>
            <o:LockedField>false</o:LockedField>
          </o:OLEObject>
        </w:object>
      </w:r>
    </w:p>
    <w:p w:rsidR="00DF5538" w:rsidRDefault="00DE7F83" w:rsidP="00DF5538">
      <w:pPr>
        <w:pStyle w:val="ChartorTableNote"/>
        <w:ind w:left="567" w:hanging="567"/>
      </w:pPr>
      <w:r>
        <w:t>Note:</w:t>
      </w:r>
      <w:r>
        <w:tab/>
      </w:r>
      <w:r w:rsidR="00DF5538">
        <w:t xml:space="preserve">Totals may not add due to rounding. </w:t>
      </w:r>
    </w:p>
    <w:p w:rsidR="00DF5538" w:rsidRDefault="00DF5538" w:rsidP="00DF5538">
      <w:pPr>
        <w:pStyle w:val="ChartorTableNote"/>
      </w:pPr>
      <w:r>
        <w:tab/>
        <w:t>‘0.0’ indicates a figure of less than $50 million.</w:t>
      </w:r>
    </w:p>
    <w:p w:rsidR="00DE7F83" w:rsidRPr="00FD36ED" w:rsidRDefault="00DF5538" w:rsidP="00DE7F83">
      <w:pPr>
        <w:pStyle w:val="ChartorTableNote"/>
        <w:spacing w:after="240"/>
      </w:pPr>
      <w:r>
        <w:tab/>
      </w:r>
      <w:r w:rsidR="00DE7F83" w:rsidRPr="00557CCE">
        <w:t>Includes corporate re</w:t>
      </w:r>
      <w:r w:rsidR="00DE7F83">
        <w:t xml:space="preserve">organisations </w:t>
      </w:r>
      <w:r w:rsidR="003917C6">
        <w:t>(</w:t>
      </w:r>
      <w:r w:rsidR="007F7ACD">
        <w:t>66</w:t>
      </w:r>
      <w:r w:rsidR="003917C6">
        <w:t xml:space="preserve"> in 200</w:t>
      </w:r>
      <w:r w:rsidR="007F7ACD">
        <w:t>7</w:t>
      </w:r>
      <w:r w:rsidR="007D00F8">
        <w:noBreakHyphen/>
      </w:r>
      <w:r w:rsidR="003917C6">
        <w:t>0</w:t>
      </w:r>
      <w:r w:rsidR="007F7ACD">
        <w:t>8</w:t>
      </w:r>
      <w:r w:rsidR="003917C6">
        <w:t>)</w:t>
      </w:r>
      <w:r w:rsidR="003917C6" w:rsidRPr="00557CCE">
        <w:t>.</w:t>
      </w:r>
    </w:p>
    <w:p w:rsidR="00DA4CB7" w:rsidRPr="00ED0E96" w:rsidRDefault="009210CB" w:rsidP="00EE2F51">
      <w:r w:rsidRPr="00ED0E96">
        <w:lastRenderedPageBreak/>
        <w:t>Charts 2.1 and 2.2</w:t>
      </w:r>
      <w:r w:rsidR="00E054EE">
        <w:t xml:space="preserve"> display the figures from Tables 2.1 and 2.2 to</w:t>
      </w:r>
      <w:r w:rsidRPr="00ED0E96">
        <w:t xml:space="preserve"> show the difference between applications decided within the real estate and non</w:t>
      </w:r>
      <w:r w:rsidR="007D00F8">
        <w:noBreakHyphen/>
      </w:r>
      <w:r w:rsidRPr="00ED0E96">
        <w:t>real estate sectors</w:t>
      </w:r>
      <w:r w:rsidR="007D76F1" w:rsidRPr="00ED0E96">
        <w:rPr>
          <w:rStyle w:val="FootnoteReference"/>
        </w:rPr>
        <w:footnoteReference w:id="7"/>
      </w:r>
      <w:r w:rsidR="003F7E93" w:rsidRPr="00ED0E96">
        <w:t xml:space="preserve"> by number of proposals and value of proposed investment</w:t>
      </w:r>
      <w:r w:rsidRPr="00ED0E96">
        <w:t>.</w:t>
      </w:r>
      <w:r w:rsidR="00550D95" w:rsidRPr="00ED0E96">
        <w:t xml:space="preserve"> </w:t>
      </w:r>
    </w:p>
    <w:p w:rsidR="009210CB" w:rsidRPr="00FE1524" w:rsidRDefault="00550D95" w:rsidP="00DE7F83">
      <w:pPr>
        <w:rPr>
          <w:highlight w:val="cyan"/>
        </w:rPr>
      </w:pPr>
      <w:r w:rsidRPr="00ED0E96">
        <w:t xml:space="preserve">As can be seen in Chart 2.1, </w:t>
      </w:r>
      <w:r w:rsidR="00E054EE">
        <w:t xml:space="preserve">by number, </w:t>
      </w:r>
      <w:r w:rsidR="00DA4CB7" w:rsidRPr="00ED0E96">
        <w:t>most</w:t>
      </w:r>
      <w:r w:rsidRPr="00ED0E96">
        <w:t xml:space="preserve"> of the applications decided were within the real estate sector.</w:t>
      </w:r>
      <w:r w:rsidR="003846D8" w:rsidRPr="00ED0E96">
        <w:t xml:space="preserve"> Chart 2.2 shows that</w:t>
      </w:r>
      <w:r w:rsidR="00F658EE">
        <w:t>,</w:t>
      </w:r>
      <w:r w:rsidR="003846D8" w:rsidRPr="00ED0E96">
        <w:t xml:space="preserve"> </w:t>
      </w:r>
      <w:r w:rsidR="00E054EE">
        <w:t xml:space="preserve">by value, </w:t>
      </w:r>
      <w:r w:rsidR="003846D8" w:rsidRPr="00ED0E96">
        <w:t>most of the proposed investment occurred in non</w:t>
      </w:r>
      <w:r w:rsidR="007D00F8">
        <w:noBreakHyphen/>
      </w:r>
      <w:r w:rsidR="003846D8" w:rsidRPr="00ED0E96">
        <w:t>real estate sectors</w:t>
      </w:r>
      <w:r w:rsidR="00E054EE">
        <w:t>.</w:t>
      </w:r>
    </w:p>
    <w:p w:rsidR="006A6DB5" w:rsidRDefault="003F7E93" w:rsidP="003846D8">
      <w:r w:rsidRPr="003917C6">
        <w:t>Charts 2.1 and 2.2 also show that d</w:t>
      </w:r>
      <w:r w:rsidR="003846D8" w:rsidRPr="003917C6">
        <w:t>uring 200</w:t>
      </w:r>
      <w:r w:rsidR="00955AD5">
        <w:t>7</w:t>
      </w:r>
      <w:r w:rsidR="007D00F8">
        <w:noBreakHyphen/>
      </w:r>
      <w:r w:rsidR="003846D8" w:rsidRPr="003917C6">
        <w:t>0</w:t>
      </w:r>
      <w:r w:rsidR="00955AD5">
        <w:t>8</w:t>
      </w:r>
      <w:r w:rsidR="003846D8" w:rsidRPr="003917C6">
        <w:t xml:space="preserve">, </w:t>
      </w:r>
      <w:r w:rsidR="00E054EE">
        <w:t xml:space="preserve">all of the increase in </w:t>
      </w:r>
      <w:r w:rsidR="003846D8" w:rsidRPr="003917C6">
        <w:t xml:space="preserve">the number of applications decided </w:t>
      </w:r>
      <w:r w:rsidR="00E054EE">
        <w:t xml:space="preserve">was </w:t>
      </w:r>
      <w:r w:rsidR="00145708">
        <w:t>in</w:t>
      </w:r>
      <w:r w:rsidR="003846D8" w:rsidRPr="003917C6">
        <w:t xml:space="preserve"> the real estate sector</w:t>
      </w:r>
      <w:r w:rsidR="00640842">
        <w:t>. T</w:t>
      </w:r>
      <w:r w:rsidR="003846D8" w:rsidRPr="003917C6">
        <w:t xml:space="preserve">he </w:t>
      </w:r>
      <w:r w:rsidR="00145708">
        <w:t>number of applications decided in the non</w:t>
      </w:r>
      <w:r w:rsidR="007D00F8">
        <w:noBreakHyphen/>
      </w:r>
      <w:r w:rsidR="00145708">
        <w:t>real estate sectors decreased</w:t>
      </w:r>
      <w:r w:rsidR="00640842">
        <w:t xml:space="preserve"> slightly</w:t>
      </w:r>
      <w:r w:rsidR="00145708">
        <w:t xml:space="preserve">. </w:t>
      </w:r>
      <w:r w:rsidR="00455D57">
        <w:t>Additionally</w:t>
      </w:r>
      <w:r w:rsidR="00145708">
        <w:t>, Chart 2.2 shows that the real estate sector also recorded the largest percentage increase in</w:t>
      </w:r>
      <w:r w:rsidR="00640842">
        <w:t xml:space="preserve"> estimated</w:t>
      </w:r>
      <w:r w:rsidR="00145708">
        <w:t xml:space="preserve"> </w:t>
      </w:r>
      <w:r w:rsidR="003846D8" w:rsidRPr="003917C6">
        <w:t>proposed investment.</w:t>
      </w:r>
      <w:r w:rsidR="004A588D">
        <w:t xml:space="preserve"> Further discussion and breakdown of these increases in the real estate sector are provided from </w:t>
      </w:r>
      <w:r w:rsidR="004A588D" w:rsidRPr="00773035">
        <w:t>page 3</w:t>
      </w:r>
      <w:r w:rsidR="00D44A33">
        <w:t>0</w:t>
      </w:r>
      <w:r w:rsidR="004A588D" w:rsidRPr="00773035">
        <w:t>.</w:t>
      </w:r>
    </w:p>
    <w:p w:rsidR="00F06B75" w:rsidRDefault="00DE7F83">
      <w:pPr>
        <w:pStyle w:val="ChartMainHeading"/>
      </w:pPr>
      <w:r>
        <w:br w:type="page"/>
      </w:r>
      <w:r w:rsidR="00F06B75">
        <w:lastRenderedPageBreak/>
        <w:t>Chart 2.1</w:t>
      </w:r>
      <w:r w:rsidR="00C450A2">
        <w:t xml:space="preserve">: </w:t>
      </w:r>
      <w:r w:rsidR="00F06B75">
        <w:t>Applications decided</w:t>
      </w:r>
      <w:r w:rsidR="00FB02CE">
        <w:t xml:space="preserve"> 200</w:t>
      </w:r>
      <w:r w:rsidR="00955AD5">
        <w:t>2</w:t>
      </w:r>
      <w:r w:rsidR="007D00F8">
        <w:noBreakHyphen/>
      </w:r>
      <w:r w:rsidR="00FB02CE">
        <w:t>0</w:t>
      </w:r>
      <w:r w:rsidR="00955AD5">
        <w:t>3</w:t>
      </w:r>
      <w:r w:rsidR="00FB02CE">
        <w:t xml:space="preserve"> to 200</w:t>
      </w:r>
      <w:r w:rsidR="00955AD5">
        <w:t>7</w:t>
      </w:r>
      <w:r w:rsidR="007D00F8">
        <w:noBreakHyphen/>
      </w:r>
      <w:r w:rsidR="00FB02CE">
        <w:t>0</w:t>
      </w:r>
      <w:r w:rsidR="00955AD5">
        <w:t>8</w:t>
      </w:r>
      <w:r w:rsidR="00F06B75">
        <w:t xml:space="preserve"> — </w:t>
      </w:r>
      <w:r w:rsidR="00BE1E59">
        <w:br w:type="textWrapping" w:clear="all"/>
      </w:r>
      <w:r w:rsidR="00F06B75">
        <w:t>number</w:t>
      </w:r>
      <w:r w:rsidR="00C9145B">
        <w:t xml:space="preserve"> of proposals</w:t>
      </w:r>
    </w:p>
    <w:p w:rsidR="00F06B75" w:rsidRPr="00D4499E" w:rsidRDefault="00854D5D">
      <w:pPr>
        <w:pStyle w:val="ChartGraphic"/>
      </w:pPr>
      <w:r>
        <w:object w:dxaOrig="7377" w:dyaOrig="4543">
          <v:shape id="_x0000_i1027" type="#_x0000_t75" style="width:369pt;height:227.25pt" o:ole="">
            <v:imagedata r:id="rId16" o:title=""/>
          </v:shape>
          <o:OLEObject Type="Link" ProgID="Excel.Sheet.8" ShapeID="_x0000_i1027" DrawAspect="Content" r:id="rId17" UpdateMode="Always">
            <o:LinkType>Picture</o:LinkType>
            <o:LockedField>false</o:LockedField>
          </o:OLEObject>
        </w:object>
      </w:r>
    </w:p>
    <w:p w:rsidR="00F06B75" w:rsidRDefault="00F06B75" w:rsidP="001D7EB3">
      <w:pPr>
        <w:pStyle w:val="SingleParagraph"/>
      </w:pPr>
    </w:p>
    <w:p w:rsidR="00F06B75" w:rsidRDefault="00F06B75">
      <w:pPr>
        <w:pStyle w:val="ChartMainHeading"/>
      </w:pPr>
      <w:r>
        <w:t>Chart 2.2</w:t>
      </w:r>
      <w:r w:rsidR="00C450A2">
        <w:t xml:space="preserve">: </w:t>
      </w:r>
      <w:r>
        <w:t>Applications decided</w:t>
      </w:r>
      <w:r w:rsidR="00FB02CE">
        <w:t xml:space="preserve"> 200</w:t>
      </w:r>
      <w:r w:rsidR="00955AD5">
        <w:t>2</w:t>
      </w:r>
      <w:r w:rsidR="007D00F8">
        <w:noBreakHyphen/>
      </w:r>
      <w:r w:rsidR="00FB02CE">
        <w:t>0</w:t>
      </w:r>
      <w:r w:rsidR="00955AD5">
        <w:t>3</w:t>
      </w:r>
      <w:r w:rsidR="00FB02CE">
        <w:t xml:space="preserve"> to 200</w:t>
      </w:r>
      <w:r w:rsidR="00955AD5">
        <w:t>7</w:t>
      </w:r>
      <w:r w:rsidR="007D00F8">
        <w:noBreakHyphen/>
      </w:r>
      <w:r w:rsidR="00FB02CE">
        <w:t>0</w:t>
      </w:r>
      <w:r w:rsidR="00955AD5">
        <w:t>8</w:t>
      </w:r>
      <w:r>
        <w:t xml:space="preserve"> — </w:t>
      </w:r>
      <w:r w:rsidR="00BE1E59">
        <w:br w:type="textWrapping" w:clear="all"/>
      </w:r>
      <w:r>
        <w:t>proposed investment</w:t>
      </w:r>
    </w:p>
    <w:p w:rsidR="00F06B75" w:rsidRPr="0018567C" w:rsidRDefault="00854D5D">
      <w:pPr>
        <w:pStyle w:val="ChartGraphic"/>
        <w:rPr>
          <w:color w:val="auto"/>
        </w:rPr>
      </w:pPr>
      <w:r>
        <w:object w:dxaOrig="7377" w:dyaOrig="4543">
          <v:shape id="_x0000_i1028" type="#_x0000_t75" style="width:369pt;height:227.25pt" o:ole="">
            <v:imagedata r:id="rId18" o:title=""/>
          </v:shape>
          <o:OLEObject Type="Link" ProgID="Excel.Sheet.8" ShapeID="_x0000_i1028" DrawAspect="Content" r:id="rId19" UpdateMode="Always">
            <o:LinkType>Picture</o:LinkType>
            <o:LockedField>false</o:LockedField>
          </o:OLEObject>
        </w:object>
      </w:r>
    </w:p>
    <w:p w:rsidR="00070427" w:rsidRDefault="00414F5C" w:rsidP="00070427">
      <w:pPr>
        <w:pStyle w:val="Heading2"/>
      </w:pPr>
      <w:r>
        <w:br w:type="page"/>
      </w:r>
      <w:r w:rsidR="00070427" w:rsidRPr="00070427">
        <w:lastRenderedPageBreak/>
        <w:t>Approvals</w:t>
      </w:r>
      <w:r w:rsidR="00070427">
        <w:t xml:space="preserve"> by value</w:t>
      </w:r>
    </w:p>
    <w:p w:rsidR="00CA6B78" w:rsidRDefault="00617AC3" w:rsidP="00232A67">
      <w:r w:rsidRPr="005B2446">
        <w:t>The remainder of this</w:t>
      </w:r>
      <w:r w:rsidR="007C6833" w:rsidRPr="005B2446">
        <w:t xml:space="preserve"> </w:t>
      </w:r>
      <w:r w:rsidR="009545F3" w:rsidRPr="005B2446">
        <w:t>c</w:t>
      </w:r>
      <w:r w:rsidRPr="005B2446">
        <w:t xml:space="preserve">hapter analyses </w:t>
      </w:r>
      <w:r w:rsidR="00650B30" w:rsidRPr="005B2446">
        <w:t xml:space="preserve">applications </w:t>
      </w:r>
      <w:r w:rsidRPr="005B2446">
        <w:t>approved during 200</w:t>
      </w:r>
      <w:r w:rsidR="00FD148D" w:rsidRPr="005B2446">
        <w:t>7</w:t>
      </w:r>
      <w:r w:rsidR="007D00F8">
        <w:noBreakHyphen/>
      </w:r>
      <w:r w:rsidRPr="005B2446">
        <w:t>0</w:t>
      </w:r>
      <w:r w:rsidR="00FD148D" w:rsidRPr="005B2446">
        <w:t>8</w:t>
      </w:r>
      <w:r w:rsidR="003917C6" w:rsidRPr="005B2446">
        <w:t xml:space="preserve"> </w:t>
      </w:r>
      <w:r w:rsidRPr="005B2446">
        <w:t>(excluding corporate reorganisations).</w:t>
      </w:r>
      <w:r w:rsidR="00B377ED" w:rsidRPr="005B2446">
        <w:t xml:space="preserve"> Table 2.3 </w:t>
      </w:r>
      <w:r w:rsidR="00245E3B">
        <w:t>displays</w:t>
      </w:r>
      <w:r w:rsidR="00CA6B78">
        <w:t xml:space="preserve"> the number of</w:t>
      </w:r>
      <w:r w:rsidR="00245E3B">
        <w:t xml:space="preserve"> approvals sorted </w:t>
      </w:r>
      <w:r w:rsidR="00245E3B" w:rsidRPr="005B2446">
        <w:t xml:space="preserve">by the value of </w:t>
      </w:r>
      <w:r w:rsidR="00CA6B78">
        <w:t>proposed investment</w:t>
      </w:r>
      <w:r w:rsidR="00245E3B">
        <w:t xml:space="preserve"> </w:t>
      </w:r>
      <w:r w:rsidR="00B377ED" w:rsidRPr="005B2446">
        <w:t>for the last four years.</w:t>
      </w:r>
      <w:r w:rsidR="00935E1A" w:rsidRPr="005B2446">
        <w:t xml:space="preserve"> T</w:t>
      </w:r>
      <w:r w:rsidR="004A2F8D" w:rsidRPr="005B2446">
        <w:t xml:space="preserve">here was an increase </w:t>
      </w:r>
      <w:r w:rsidR="002148C5" w:rsidRPr="005B2446">
        <w:t xml:space="preserve">across </w:t>
      </w:r>
      <w:r w:rsidR="00F82F0B" w:rsidRPr="005B2446">
        <w:t>all categories</w:t>
      </w:r>
      <w:r w:rsidR="004A2F8D" w:rsidRPr="005B2446">
        <w:t xml:space="preserve"> during 200</w:t>
      </w:r>
      <w:r w:rsidR="00FD148D" w:rsidRPr="005B2446">
        <w:t>7</w:t>
      </w:r>
      <w:r w:rsidR="007D00F8">
        <w:noBreakHyphen/>
      </w:r>
      <w:r w:rsidR="004A2F8D" w:rsidRPr="005B2446">
        <w:t>0</w:t>
      </w:r>
      <w:r w:rsidR="00FD148D" w:rsidRPr="005B2446">
        <w:t>8</w:t>
      </w:r>
      <w:r w:rsidR="00A269A8" w:rsidRPr="005B2446">
        <w:t>. Overall</w:t>
      </w:r>
      <w:r w:rsidR="00CE455A">
        <w:t xml:space="preserve">, </w:t>
      </w:r>
      <w:r w:rsidR="00A269A8" w:rsidRPr="005B2446">
        <w:t xml:space="preserve">there were 28 per cent more </w:t>
      </w:r>
      <w:r w:rsidR="005877B4">
        <w:t>approvals</w:t>
      </w:r>
      <w:r w:rsidR="00A269A8" w:rsidRPr="005B2446">
        <w:t xml:space="preserve"> and </w:t>
      </w:r>
      <w:r w:rsidR="00CE455A">
        <w:t xml:space="preserve">a </w:t>
      </w:r>
      <w:r w:rsidR="00A269A8" w:rsidRPr="005B2446">
        <w:t xml:space="preserve">23 per cent </w:t>
      </w:r>
      <w:r w:rsidR="00CE455A">
        <w:t xml:space="preserve">increase in </w:t>
      </w:r>
      <w:r w:rsidR="00A269A8" w:rsidRPr="005B2446">
        <w:t>proposed investment than in 2006</w:t>
      </w:r>
      <w:r w:rsidR="007D00F8">
        <w:noBreakHyphen/>
      </w:r>
      <w:r w:rsidR="00A269A8" w:rsidRPr="005B2446">
        <w:t>07.</w:t>
      </w:r>
    </w:p>
    <w:p w:rsidR="003C16CB" w:rsidRDefault="00F02903" w:rsidP="00232A67">
      <w:r>
        <w:t>There was a 75 per cent increase in the number of proposals valued at $1 billion or more</w:t>
      </w:r>
      <w:r w:rsidR="00260209">
        <w:t xml:space="preserve"> (35 compared to 20 the previous year)</w:t>
      </w:r>
      <w:r>
        <w:t>, but only a 17 per cent increase in the amount of proposed in</w:t>
      </w:r>
      <w:r w:rsidR="00B71A6D">
        <w:t>vestment</w:t>
      </w:r>
      <w:r w:rsidR="004563D8">
        <w:t xml:space="preserve">. </w:t>
      </w:r>
      <w:r w:rsidR="00421EBC">
        <w:t xml:space="preserve">This </w:t>
      </w:r>
      <w:r w:rsidR="00B71A6D">
        <w:t>indicat</w:t>
      </w:r>
      <w:r w:rsidR="00421EBC">
        <w:t xml:space="preserve">es </w:t>
      </w:r>
      <w:r w:rsidR="00B71A6D">
        <w:t>that</w:t>
      </w:r>
      <w:r w:rsidR="00A02D57">
        <w:t>,</w:t>
      </w:r>
      <w:r w:rsidR="00B71A6D">
        <w:t xml:space="preserve"> while there were more proposals, they involved </w:t>
      </w:r>
      <w:r w:rsidR="009006B2">
        <w:t xml:space="preserve">smaller </w:t>
      </w:r>
      <w:r w:rsidR="00B71A6D">
        <w:t>investment</w:t>
      </w:r>
      <w:r w:rsidR="009006B2">
        <w:t xml:space="preserve"> volumes</w:t>
      </w:r>
      <w:r w:rsidR="007731C7">
        <w:t xml:space="preserve"> and the majority of these </w:t>
      </w:r>
      <w:r>
        <w:t>were</w:t>
      </w:r>
      <w:r w:rsidR="00B569BC">
        <w:t xml:space="preserve"> not much more than</w:t>
      </w:r>
      <w:r>
        <w:t xml:space="preserve"> $1 billion</w:t>
      </w:r>
      <w:r w:rsidR="00B569BC">
        <w:t xml:space="preserve"> in value</w:t>
      </w:r>
      <w:r w:rsidR="00CD00BD">
        <w:t xml:space="preserve">. </w:t>
      </w:r>
    </w:p>
    <w:p w:rsidR="005A7E65" w:rsidRDefault="00CA6B78" w:rsidP="00232A67">
      <w:r>
        <w:t>The largest increase</w:t>
      </w:r>
      <w:r w:rsidR="00AE6C10">
        <w:t>s</w:t>
      </w:r>
      <w:r w:rsidR="00E47A5C">
        <w:t xml:space="preserve"> in both number of approvals and proposed investment</w:t>
      </w:r>
      <w:r w:rsidR="00C35176">
        <w:t>s</w:t>
      </w:r>
      <w:r w:rsidR="00E47A5C">
        <w:t xml:space="preserve"> w</w:t>
      </w:r>
      <w:r w:rsidR="00990FAD">
        <w:t>ere</w:t>
      </w:r>
      <w:r w:rsidR="00E47A5C">
        <w:t xml:space="preserve"> in the $2 billion to less than $5 billion category, with </w:t>
      </w:r>
      <w:bookmarkStart w:id="10" w:name="OLE_LINK57"/>
      <w:bookmarkStart w:id="11" w:name="OLE_LINK58"/>
      <w:r w:rsidR="00E47A5C">
        <w:t>two and a half times</w:t>
      </w:r>
      <w:bookmarkEnd w:id="10"/>
      <w:bookmarkEnd w:id="11"/>
      <w:r w:rsidR="00E47A5C">
        <w:t xml:space="preserve"> the number of approvals and almost</w:t>
      </w:r>
      <w:r w:rsidR="0063446C">
        <w:t xml:space="preserve"> </w:t>
      </w:r>
      <w:r w:rsidR="00E47A5C">
        <w:t xml:space="preserve">two and a half times the </w:t>
      </w:r>
      <w:r w:rsidR="00345F80">
        <w:t>total amount of proposed investment. The next largest increases occurred in the $1 billion to less than $2 billion category, with 82 per cent more approvals and 55 per cent higher proposed investment.</w:t>
      </w:r>
      <w:r w:rsidR="00B71A6D">
        <w:t xml:space="preserve"> The number of proposals</w:t>
      </w:r>
      <w:r w:rsidR="0086413A">
        <w:t xml:space="preserve"> in the $5 billion or more category remained the same</w:t>
      </w:r>
      <w:r w:rsidR="00AE6C10">
        <w:t>. H</w:t>
      </w:r>
      <w:r w:rsidR="0086413A">
        <w:t>owever</w:t>
      </w:r>
      <w:r w:rsidR="00990FAD">
        <w:t>,</w:t>
      </w:r>
      <w:r w:rsidR="0086413A">
        <w:t xml:space="preserve"> proposed investment was 28 per cent less in 2007</w:t>
      </w:r>
      <w:r w:rsidR="007D00F8">
        <w:noBreakHyphen/>
      </w:r>
      <w:r w:rsidR="0086413A">
        <w:t>08.</w:t>
      </w:r>
    </w:p>
    <w:p w:rsidR="00E6250E" w:rsidRPr="000A0D5D" w:rsidRDefault="00CD00BD" w:rsidP="00232A67">
      <w:r>
        <w:t>I</w:t>
      </w:r>
      <w:r w:rsidR="000A0D5D">
        <w:t>n</w:t>
      </w:r>
      <w:r w:rsidR="00640A1C">
        <w:t xml:space="preserve"> </w:t>
      </w:r>
      <w:r>
        <w:t xml:space="preserve">the </w:t>
      </w:r>
      <w:r w:rsidRPr="005B2446">
        <w:t>less than $1 million category</w:t>
      </w:r>
      <w:r>
        <w:t xml:space="preserve">, there was </w:t>
      </w:r>
      <w:r w:rsidR="000A0D5D">
        <w:t xml:space="preserve">a </w:t>
      </w:r>
      <w:r w:rsidR="002D15A2">
        <w:t xml:space="preserve">28 per cent increase in the number of proposals and a </w:t>
      </w:r>
      <w:r w:rsidR="000A0D5D">
        <w:t>33 per cent increase in proposed investment</w:t>
      </w:r>
      <w:r w:rsidR="002D15A2">
        <w:t xml:space="preserve">s. </w:t>
      </w:r>
      <w:r w:rsidR="005A7E65">
        <w:t>The</w:t>
      </w:r>
      <w:r w:rsidR="000A0D5D">
        <w:t>se increases</w:t>
      </w:r>
      <w:r w:rsidR="005A7E65">
        <w:t xml:space="preserve"> mainly reflect the increase in real estate proposals during 2007</w:t>
      </w:r>
      <w:r w:rsidR="007D00F8">
        <w:noBreakHyphen/>
      </w:r>
      <w:r w:rsidR="005A7E65">
        <w:t>08.</w:t>
      </w:r>
      <w:r w:rsidR="00CA6B78">
        <w:t xml:space="preserve"> </w:t>
      </w:r>
    </w:p>
    <w:p w:rsidR="00585452" w:rsidRDefault="00E37A34" w:rsidP="00260209">
      <w:pPr>
        <w:spacing w:after="0"/>
        <w:rPr>
          <w:highlight w:val="magenta"/>
        </w:rPr>
      </w:pPr>
      <w:bookmarkStart w:id="12" w:name="OLE_LINK52"/>
      <w:bookmarkStart w:id="13" w:name="OLE_LINK53"/>
      <w:r w:rsidRPr="005B2446">
        <w:t xml:space="preserve">The </w:t>
      </w:r>
      <w:r>
        <w:t>smallest increase in number of approvals, with a 14 per cent increase, was in the</w:t>
      </w:r>
      <w:bookmarkStart w:id="14" w:name="OLE_LINK30"/>
      <w:bookmarkStart w:id="15" w:name="OLE_LINK31"/>
      <w:r>
        <w:t xml:space="preserve"> $50 million to less than $100 million category</w:t>
      </w:r>
      <w:bookmarkEnd w:id="14"/>
      <w:bookmarkEnd w:id="15"/>
      <w:r>
        <w:t>. This</w:t>
      </w:r>
      <w:r w:rsidR="007A6CC4">
        <w:t xml:space="preserve"> is </w:t>
      </w:r>
      <w:r w:rsidR="002B3C56">
        <w:t>attributable</w:t>
      </w:r>
      <w:r w:rsidR="007A6CC4">
        <w:t xml:space="preserve"> </w:t>
      </w:r>
      <w:r w:rsidR="002B3C56">
        <w:t>to the increase in the number of</w:t>
      </w:r>
      <w:r w:rsidR="00B569BC">
        <w:t xml:space="preserve"> approvals for</w:t>
      </w:r>
      <w:r w:rsidR="002B3C56">
        <w:t xml:space="preserve"> </w:t>
      </w:r>
      <w:r w:rsidR="00B569BC">
        <w:t>‘</w:t>
      </w:r>
      <w:r w:rsidR="002B3C56">
        <w:t>annual programmes</w:t>
      </w:r>
      <w:r w:rsidR="00B569BC">
        <w:t>’</w:t>
      </w:r>
      <w:r w:rsidR="002B3C56">
        <w:t xml:space="preserve"> </w:t>
      </w:r>
      <w:r w:rsidR="00B569BC">
        <w:t>of real estate acquisitions</w:t>
      </w:r>
      <w:r w:rsidR="002B3C56">
        <w:t xml:space="preserve"> in 2007</w:t>
      </w:r>
      <w:r w:rsidR="007D00F8">
        <w:noBreakHyphen/>
      </w:r>
      <w:r w:rsidR="002B3C56">
        <w:t xml:space="preserve">08. </w:t>
      </w:r>
      <w:r w:rsidR="008478BC">
        <w:t>These annual programmes reduced the</w:t>
      </w:r>
      <w:r w:rsidR="004C7840">
        <w:t xml:space="preserve"> number</w:t>
      </w:r>
      <w:r w:rsidR="00846A03">
        <w:t xml:space="preserve"> </w:t>
      </w:r>
      <w:r w:rsidR="008478BC">
        <w:t xml:space="preserve">of </w:t>
      </w:r>
      <w:r w:rsidR="00953458">
        <w:t xml:space="preserve">the larger, </w:t>
      </w:r>
      <w:r w:rsidR="008478BC">
        <w:t>individual real estate proposals (which would usually</w:t>
      </w:r>
      <w:r w:rsidR="00953458">
        <w:t xml:space="preserve"> make up the majority of proposals</w:t>
      </w:r>
      <w:r w:rsidR="008478BC">
        <w:t xml:space="preserve"> within this category).</w:t>
      </w:r>
      <w:bookmarkEnd w:id="12"/>
      <w:bookmarkEnd w:id="13"/>
    </w:p>
    <w:p w:rsidR="00B10236" w:rsidRDefault="00B10236" w:rsidP="00B10236">
      <w:pPr>
        <w:pStyle w:val="TableMainHeading"/>
      </w:pPr>
      <w:r w:rsidRPr="00D278BA">
        <w:t>Table 2.</w:t>
      </w:r>
      <w:r w:rsidR="00BF3B06">
        <w:t>3</w:t>
      </w:r>
      <w:r>
        <w:t xml:space="preserve">: </w:t>
      </w:r>
      <w:r w:rsidR="00C9145B">
        <w:t>Total a</w:t>
      </w:r>
      <w:r w:rsidRPr="00D278BA">
        <w:t>pp</w:t>
      </w:r>
      <w:r w:rsidR="00070427">
        <w:t>rovals by value</w:t>
      </w:r>
      <w:r w:rsidRPr="00D278BA">
        <w:t xml:space="preserve"> </w:t>
      </w:r>
      <w:r w:rsidR="00C9145B">
        <w:t>200</w:t>
      </w:r>
      <w:r w:rsidR="00FD148D">
        <w:t>4</w:t>
      </w:r>
      <w:r w:rsidR="007D00F8">
        <w:noBreakHyphen/>
      </w:r>
      <w:r w:rsidR="00C9145B">
        <w:t>0</w:t>
      </w:r>
      <w:r w:rsidR="00FD148D">
        <w:t>5</w:t>
      </w:r>
      <w:r w:rsidR="00C9145B">
        <w:t xml:space="preserve"> to </w:t>
      </w:r>
      <w:r w:rsidR="00310514" w:rsidRPr="00C6620A">
        <w:t>200</w:t>
      </w:r>
      <w:r w:rsidR="00FD148D">
        <w:t>7</w:t>
      </w:r>
      <w:r w:rsidR="007D00F8">
        <w:noBreakHyphen/>
      </w:r>
      <w:r w:rsidR="00310514" w:rsidRPr="00C6620A">
        <w:t>0</w:t>
      </w:r>
      <w:r w:rsidR="00FD148D">
        <w:t>8</w:t>
      </w:r>
      <w:r w:rsidR="00C9145B" w:rsidRPr="00D278BA">
        <w:t xml:space="preserve"> </w:t>
      </w:r>
    </w:p>
    <w:p w:rsidR="00B10236" w:rsidRDefault="00137E09" w:rsidP="00B10236">
      <w:pPr>
        <w:pStyle w:val="TableGraphic"/>
      </w:pPr>
      <w:r>
        <w:object w:dxaOrig="7704" w:dyaOrig="2712">
          <v:shape id="_x0000_i1029" type="#_x0000_t75" style="width:385.5pt;height:135.75pt" o:ole="">
            <v:imagedata r:id="rId20" o:title=""/>
          </v:shape>
          <o:OLEObject Type="Link" ProgID="Excel.Sheet.8" ShapeID="_x0000_i1029" DrawAspect="Content" r:id="rId21" UpdateMode="Always">
            <o:LinkType>Picture</o:LinkType>
            <o:LockedField>false</o:LockedField>
          </o:OLEObject>
        </w:object>
      </w:r>
    </w:p>
    <w:p w:rsidR="00255C9E" w:rsidRDefault="00FD36ED" w:rsidP="00255C9E">
      <w:pPr>
        <w:pStyle w:val="ChartorTableNote"/>
      </w:pPr>
      <w:r>
        <w:t>Note:</w:t>
      </w:r>
      <w:r>
        <w:tab/>
      </w:r>
      <w:r w:rsidR="00255C9E">
        <w:t>Totals may not add due to rounding.</w:t>
      </w:r>
    </w:p>
    <w:p w:rsidR="002A73A8" w:rsidRDefault="00255C9E" w:rsidP="00BD44B1">
      <w:pPr>
        <w:pStyle w:val="ChartorTableNote"/>
        <w:spacing w:after="240"/>
      </w:pPr>
      <w:r>
        <w:tab/>
        <w:t>Ex</w:t>
      </w:r>
      <w:r w:rsidRPr="00557CCE">
        <w:t>cludes corporate re</w:t>
      </w:r>
      <w:r>
        <w:t xml:space="preserve">organisations </w:t>
      </w:r>
      <w:r w:rsidR="003917C6">
        <w:t>(</w:t>
      </w:r>
      <w:r w:rsidR="0045589B">
        <w:t xml:space="preserve">66 </w:t>
      </w:r>
      <w:r w:rsidR="003917C6">
        <w:t>in 200</w:t>
      </w:r>
      <w:r w:rsidR="00FD148D">
        <w:t>7</w:t>
      </w:r>
      <w:r w:rsidR="007D00F8">
        <w:noBreakHyphen/>
      </w:r>
      <w:r w:rsidR="003917C6">
        <w:t>0</w:t>
      </w:r>
      <w:r w:rsidR="00FD148D">
        <w:t>8</w:t>
      </w:r>
      <w:r w:rsidR="003917C6">
        <w:t>)</w:t>
      </w:r>
      <w:r w:rsidR="003917C6" w:rsidRPr="00557CCE">
        <w:t>.</w:t>
      </w:r>
    </w:p>
    <w:p w:rsidR="00B10236" w:rsidRDefault="002A73A8" w:rsidP="00E90CA8">
      <w:pPr>
        <w:pStyle w:val="ChartorTableNote"/>
        <w:spacing w:before="120" w:after="120" w:line="260" w:lineRule="exact"/>
        <w:rPr>
          <w:rFonts w:ascii="Book Antiqua" w:hAnsi="Book Antiqua"/>
          <w:sz w:val="20"/>
        </w:rPr>
      </w:pPr>
      <w:r w:rsidRPr="00B648AE">
        <w:rPr>
          <w:rFonts w:ascii="Book Antiqua" w:hAnsi="Book Antiqua"/>
          <w:sz w:val="20"/>
        </w:rPr>
        <w:lastRenderedPageBreak/>
        <w:t>Charts 2.3 and 2.4 depict total approvals by value</w:t>
      </w:r>
      <w:r w:rsidR="00A00325" w:rsidRPr="00B648AE">
        <w:rPr>
          <w:rFonts w:ascii="Book Antiqua" w:hAnsi="Book Antiqua"/>
          <w:sz w:val="20"/>
        </w:rPr>
        <w:t xml:space="preserve"> </w:t>
      </w:r>
      <w:r w:rsidR="00650B30" w:rsidRPr="00B648AE">
        <w:rPr>
          <w:rFonts w:ascii="Book Antiqua" w:hAnsi="Book Antiqua"/>
          <w:sz w:val="20"/>
        </w:rPr>
        <w:t>using</w:t>
      </w:r>
      <w:r w:rsidR="00B5773A" w:rsidRPr="00B648AE">
        <w:rPr>
          <w:rFonts w:ascii="Book Antiqua" w:hAnsi="Book Antiqua"/>
          <w:sz w:val="20"/>
        </w:rPr>
        <w:t xml:space="preserve"> the data</w:t>
      </w:r>
      <w:r w:rsidR="00A00325" w:rsidRPr="00B648AE">
        <w:rPr>
          <w:rFonts w:ascii="Book Antiqua" w:hAnsi="Book Antiqua"/>
          <w:sz w:val="20"/>
        </w:rPr>
        <w:t xml:space="preserve"> provided in Table 2.3. The increase in the number of approvals involving proposed investment of less than $1 million</w:t>
      </w:r>
      <w:r w:rsidRPr="00B648AE">
        <w:rPr>
          <w:rFonts w:ascii="Book Antiqua" w:hAnsi="Book Antiqua"/>
          <w:sz w:val="20"/>
        </w:rPr>
        <w:t xml:space="preserve"> can be seen in Chart 2.3, correlating with the increase in real estate proposals shown in Chart 2.1. </w:t>
      </w:r>
      <w:r w:rsidR="00567983">
        <w:rPr>
          <w:rFonts w:ascii="Book Antiqua" w:hAnsi="Book Antiqua"/>
          <w:sz w:val="20"/>
        </w:rPr>
        <w:t>T</w:t>
      </w:r>
      <w:r w:rsidR="00A00325" w:rsidRPr="00B648AE">
        <w:rPr>
          <w:rFonts w:ascii="Book Antiqua" w:hAnsi="Book Antiqua"/>
          <w:sz w:val="20"/>
        </w:rPr>
        <w:t xml:space="preserve">he </w:t>
      </w:r>
      <w:r w:rsidR="00121E5D" w:rsidRPr="00B648AE">
        <w:rPr>
          <w:rFonts w:ascii="Book Antiqua" w:hAnsi="Book Antiqua"/>
          <w:sz w:val="20"/>
        </w:rPr>
        <w:t>in</w:t>
      </w:r>
      <w:r w:rsidR="00A00325" w:rsidRPr="00B648AE">
        <w:rPr>
          <w:rFonts w:ascii="Book Antiqua" w:hAnsi="Book Antiqua"/>
          <w:sz w:val="20"/>
        </w:rPr>
        <w:t>crease</w:t>
      </w:r>
      <w:r w:rsidR="00A84A9F" w:rsidRPr="00B648AE">
        <w:rPr>
          <w:rFonts w:ascii="Book Antiqua" w:hAnsi="Book Antiqua"/>
          <w:sz w:val="20"/>
        </w:rPr>
        <w:t>s</w:t>
      </w:r>
      <w:r w:rsidR="00A00325" w:rsidRPr="00B648AE">
        <w:rPr>
          <w:rFonts w:ascii="Book Antiqua" w:hAnsi="Book Antiqua"/>
          <w:sz w:val="20"/>
        </w:rPr>
        <w:t xml:space="preserve"> in proposed investment </w:t>
      </w:r>
      <w:r w:rsidR="00121E5D" w:rsidRPr="00B648AE">
        <w:rPr>
          <w:rFonts w:ascii="Book Antiqua" w:hAnsi="Book Antiqua"/>
          <w:sz w:val="20"/>
        </w:rPr>
        <w:t>in the</w:t>
      </w:r>
      <w:r w:rsidR="00A84A9F" w:rsidRPr="00B648AE">
        <w:rPr>
          <w:rFonts w:ascii="Book Antiqua" w:hAnsi="Book Antiqua"/>
          <w:sz w:val="20"/>
        </w:rPr>
        <w:t xml:space="preserve"> higher</w:t>
      </w:r>
      <w:r w:rsidR="00121E5D" w:rsidRPr="00B648AE">
        <w:rPr>
          <w:rFonts w:ascii="Book Antiqua" w:hAnsi="Book Antiqua"/>
          <w:sz w:val="20"/>
        </w:rPr>
        <w:t xml:space="preserve"> </w:t>
      </w:r>
      <w:r w:rsidR="0058040E" w:rsidRPr="00B648AE">
        <w:rPr>
          <w:rFonts w:ascii="Book Antiqua" w:hAnsi="Book Antiqua"/>
          <w:sz w:val="20"/>
        </w:rPr>
        <w:t>categor</w:t>
      </w:r>
      <w:r w:rsidR="00567983">
        <w:rPr>
          <w:rFonts w:ascii="Book Antiqua" w:hAnsi="Book Antiqua"/>
          <w:sz w:val="20"/>
        </w:rPr>
        <w:t>ies</w:t>
      </w:r>
      <w:r w:rsidR="00DC5592" w:rsidRPr="00B648AE">
        <w:rPr>
          <w:rFonts w:ascii="Book Antiqua" w:hAnsi="Book Antiqua"/>
          <w:sz w:val="20"/>
        </w:rPr>
        <w:t xml:space="preserve"> </w:t>
      </w:r>
      <w:r w:rsidR="00A00325" w:rsidRPr="00B648AE">
        <w:rPr>
          <w:rFonts w:ascii="Book Antiqua" w:hAnsi="Book Antiqua"/>
          <w:sz w:val="20"/>
        </w:rPr>
        <w:t xml:space="preserve">can be seen in </w:t>
      </w:r>
      <w:r w:rsidR="00567983">
        <w:rPr>
          <w:rFonts w:ascii="Book Antiqua" w:hAnsi="Book Antiqua"/>
          <w:sz w:val="20"/>
        </w:rPr>
        <w:t>Chart 2.4.</w:t>
      </w:r>
    </w:p>
    <w:p w:rsidR="00587693" w:rsidRDefault="001266B4" w:rsidP="00E90CA8">
      <w:pPr>
        <w:pStyle w:val="ChartMainHeading"/>
        <w:spacing w:before="0" w:after="0"/>
      </w:pPr>
      <w:r>
        <w:br w:type="page"/>
      </w:r>
      <w:r w:rsidR="00587693">
        <w:lastRenderedPageBreak/>
        <w:t>Chart</w:t>
      </w:r>
      <w:r w:rsidR="00587693" w:rsidRPr="00D278BA">
        <w:t xml:space="preserve"> 2.</w:t>
      </w:r>
      <w:r w:rsidR="00587693">
        <w:t xml:space="preserve">3: </w:t>
      </w:r>
      <w:r w:rsidR="00C9145B">
        <w:t>Total a</w:t>
      </w:r>
      <w:r w:rsidR="001D0B3E" w:rsidRPr="00D278BA">
        <w:t>pp</w:t>
      </w:r>
      <w:r w:rsidR="001D0B3E">
        <w:t>rovals by value</w:t>
      </w:r>
      <w:r w:rsidR="001D0B3E" w:rsidRPr="00D278BA">
        <w:t xml:space="preserve"> </w:t>
      </w:r>
      <w:r w:rsidR="001D0B3E">
        <w:t>200</w:t>
      </w:r>
      <w:r w:rsidR="00FD148D">
        <w:t>4</w:t>
      </w:r>
      <w:r w:rsidR="007D00F8">
        <w:noBreakHyphen/>
      </w:r>
      <w:r w:rsidR="001D0B3E">
        <w:t>0</w:t>
      </w:r>
      <w:r w:rsidR="00FD148D">
        <w:t>5</w:t>
      </w:r>
      <w:r w:rsidR="001D0B3E">
        <w:t xml:space="preserve"> to 200</w:t>
      </w:r>
      <w:r w:rsidR="00FD148D">
        <w:t>7</w:t>
      </w:r>
      <w:r w:rsidR="007D00F8">
        <w:noBreakHyphen/>
      </w:r>
      <w:r w:rsidR="001D0B3E">
        <w:t>0</w:t>
      </w:r>
      <w:r w:rsidR="00FD148D">
        <w:t>8</w:t>
      </w:r>
      <w:r w:rsidR="00C03285">
        <w:t xml:space="preserve"> — </w:t>
      </w:r>
      <w:r w:rsidR="00BE1E59">
        <w:br w:type="textWrapping" w:clear="all"/>
      </w:r>
      <w:r w:rsidR="00587693">
        <w:t xml:space="preserve">number </w:t>
      </w:r>
      <w:r w:rsidR="00C9145B">
        <w:t>of proposals</w:t>
      </w:r>
    </w:p>
    <w:p w:rsidR="00587693" w:rsidRDefault="00854D5D" w:rsidP="00F146A8">
      <w:pPr>
        <w:pStyle w:val="ChartGraphic"/>
      </w:pPr>
      <w:r>
        <w:object w:dxaOrig="7377" w:dyaOrig="4543">
          <v:shape id="_x0000_i1030" type="#_x0000_t75" style="width:369pt;height:217.5pt" o:ole="">
            <v:imagedata r:id="rId22" o:title="" cropbottom="2077f"/>
          </v:shape>
          <o:OLEObject Type="Link" ProgID="Excel.Sheet.8" ShapeID="_x0000_i1030" DrawAspect="Content" r:id="rId23" UpdateMode="Always">
            <o:LinkType>Picture</o:LinkType>
            <o:LockedField>false</o:LockedField>
          </o:OLEObject>
        </w:object>
      </w:r>
    </w:p>
    <w:p w:rsidR="001266B4" w:rsidRDefault="001266B4" w:rsidP="001266B4">
      <w:pPr>
        <w:pStyle w:val="SingleParagraph"/>
      </w:pPr>
    </w:p>
    <w:p w:rsidR="00FA32F4" w:rsidRDefault="00FA32F4" w:rsidP="001266B4">
      <w:pPr>
        <w:pStyle w:val="SingleParagraph"/>
      </w:pPr>
    </w:p>
    <w:p w:rsidR="00587693" w:rsidRDefault="00587693" w:rsidP="00E90CA8">
      <w:pPr>
        <w:pStyle w:val="ChartMainHeading"/>
        <w:spacing w:before="120" w:after="0"/>
      </w:pPr>
      <w:r>
        <w:t>Chart</w:t>
      </w:r>
      <w:r w:rsidRPr="00D278BA">
        <w:t xml:space="preserve"> 2.</w:t>
      </w:r>
      <w:r>
        <w:t xml:space="preserve">4: </w:t>
      </w:r>
      <w:r w:rsidR="00C9145B">
        <w:t>Total a</w:t>
      </w:r>
      <w:r w:rsidRPr="00D278BA">
        <w:t>pp</w:t>
      </w:r>
      <w:r>
        <w:t>rovals by value</w:t>
      </w:r>
      <w:r w:rsidRPr="00D278BA">
        <w:t xml:space="preserve"> </w:t>
      </w:r>
      <w:r w:rsidR="001D0B3E">
        <w:t>200</w:t>
      </w:r>
      <w:r w:rsidR="00FD148D">
        <w:t>4</w:t>
      </w:r>
      <w:r w:rsidR="007D00F8">
        <w:noBreakHyphen/>
      </w:r>
      <w:r w:rsidR="001D0B3E">
        <w:t>0</w:t>
      </w:r>
      <w:r w:rsidR="00FD148D">
        <w:t>5</w:t>
      </w:r>
      <w:r w:rsidR="001D0B3E">
        <w:t xml:space="preserve"> to 200</w:t>
      </w:r>
      <w:r w:rsidR="00FD148D">
        <w:t>7</w:t>
      </w:r>
      <w:r w:rsidR="007D00F8">
        <w:noBreakHyphen/>
      </w:r>
      <w:r w:rsidR="001D0B3E">
        <w:t>0</w:t>
      </w:r>
      <w:r w:rsidR="00FD148D">
        <w:t>8</w:t>
      </w:r>
      <w:r w:rsidR="00C03285">
        <w:t xml:space="preserve"> — </w:t>
      </w:r>
      <w:r w:rsidR="00BE1E59">
        <w:br w:type="textWrapping" w:clear="all"/>
      </w:r>
      <w:r w:rsidRPr="00D278BA">
        <w:t>proposed investment</w:t>
      </w:r>
    </w:p>
    <w:p w:rsidR="00587693" w:rsidRPr="006768E0" w:rsidRDefault="00854D5D" w:rsidP="00F146A8">
      <w:pPr>
        <w:pStyle w:val="ChartGraphic"/>
      </w:pPr>
      <w:r>
        <w:object w:dxaOrig="7377" w:dyaOrig="4543">
          <v:shape id="_x0000_i1031" type="#_x0000_t75" style="width:369pt;height:215.25pt" o:ole="">
            <v:imagedata r:id="rId24" o:title="" cropbottom="2726f"/>
          </v:shape>
          <o:OLEObject Type="Link" ProgID="Excel.Sheet.8" ShapeID="_x0000_i1031" DrawAspect="Content" r:id="rId25" UpdateMode="Always">
            <o:LinkType>Picture</o:LinkType>
            <o:LockedField>false</o:LockedField>
          </o:OLEObject>
        </w:object>
      </w:r>
    </w:p>
    <w:p w:rsidR="00F06B75" w:rsidRDefault="00FF63F6" w:rsidP="003D79FF">
      <w:pPr>
        <w:pStyle w:val="Heading2"/>
      </w:pPr>
      <w:r>
        <w:br w:type="page"/>
      </w:r>
      <w:r w:rsidR="00F06B75">
        <w:lastRenderedPageBreak/>
        <w:t>Approvals by sector</w:t>
      </w:r>
    </w:p>
    <w:p w:rsidR="00F06B75" w:rsidRPr="001277F6" w:rsidRDefault="00A94AC0">
      <w:pPr>
        <w:rPr>
          <w:color w:val="auto"/>
        </w:rPr>
      </w:pPr>
      <w:r>
        <w:t xml:space="preserve">Table 2.4 </w:t>
      </w:r>
      <w:r w:rsidR="00BC0D8E">
        <w:t xml:space="preserve">lists </w:t>
      </w:r>
      <w:r w:rsidR="00650B30">
        <w:t>applications</w:t>
      </w:r>
      <w:r w:rsidR="00650B30" w:rsidRPr="00FB1E53">
        <w:t xml:space="preserve"> approved</w:t>
      </w:r>
      <w:r>
        <w:t xml:space="preserve"> </w:t>
      </w:r>
      <w:r w:rsidR="00650B30">
        <w:t>during</w:t>
      </w:r>
      <w:r>
        <w:t xml:space="preserve"> 200</w:t>
      </w:r>
      <w:r w:rsidR="00FD148D">
        <w:t>7</w:t>
      </w:r>
      <w:r w:rsidR="007D00F8">
        <w:noBreakHyphen/>
      </w:r>
      <w:r>
        <w:t>0</w:t>
      </w:r>
      <w:r w:rsidR="00FD148D">
        <w:t>8</w:t>
      </w:r>
      <w:r>
        <w:t xml:space="preserve"> by industry sector. Chart 2.</w:t>
      </w:r>
      <w:r w:rsidR="00F277C9">
        <w:t>5</w:t>
      </w:r>
      <w:r>
        <w:t xml:space="preserve"> depicts approved investment in each sector on a proportional basis by value. </w:t>
      </w:r>
      <w:r w:rsidR="00226052">
        <w:t>The majority</w:t>
      </w:r>
      <w:r w:rsidR="00F06B75">
        <w:t xml:space="preserve"> of the </w:t>
      </w:r>
      <w:r w:rsidR="00DE78C4">
        <w:t>proposed investment</w:t>
      </w:r>
      <w:r w:rsidR="00F06B75">
        <w:t xml:space="preserve"> is attributable to the proposed</w:t>
      </w:r>
      <w:r w:rsidR="002C0AF4">
        <w:t xml:space="preserve"> acquisition</w:t>
      </w:r>
      <w:r w:rsidR="00F06B75">
        <w:t xml:space="preserve"> cost. The skewing of the foreign investment data towards the acquisition costs </w:t>
      </w:r>
      <w:r w:rsidR="009A294E">
        <w:t xml:space="preserve">reflects </w:t>
      </w:r>
      <w:r w:rsidR="00F06B75">
        <w:t>the</w:t>
      </w:r>
      <w:r w:rsidR="001D2C31">
        <w:t xml:space="preserve"> fact that the FATA applies to acquisitions of interests in</w:t>
      </w:r>
      <w:r w:rsidR="000739F5">
        <w:t>,</w:t>
      </w:r>
      <w:r w:rsidR="001D2C31">
        <w:t xml:space="preserve"> and not to </w:t>
      </w:r>
      <w:r w:rsidR="00F06B75">
        <w:t>the expansion of</w:t>
      </w:r>
      <w:r w:rsidR="000739F5">
        <w:t>,</w:t>
      </w:r>
      <w:r w:rsidR="00F06B75">
        <w:t xml:space="preserve"> existing businesses.</w:t>
      </w:r>
      <w:r w:rsidR="001D2C31">
        <w:t xml:space="preserve"> The real estate sector’s development figures predominantly reflect the estimated expenditure on construction on vacant land. The vast majority of the non</w:t>
      </w:r>
      <w:r w:rsidR="007D00F8">
        <w:noBreakHyphen/>
      </w:r>
      <w:r w:rsidR="001D2C31">
        <w:t xml:space="preserve">real estate figures are attributed to the estimated investment involved in establishing new businesses. Under the </w:t>
      </w:r>
      <w:r w:rsidR="00542033">
        <w:t>p</w:t>
      </w:r>
      <w:r w:rsidR="001D2C31">
        <w:t>olicy, proposals to establish new businesses involving a total investment of $10 million or more are subject to notification and approval</w:t>
      </w:r>
      <w:r w:rsidR="003D5419">
        <w:t xml:space="preserve">. </w:t>
      </w:r>
      <w:r w:rsidR="00F06B75" w:rsidRPr="00997979">
        <w:rPr>
          <w:color w:val="auto"/>
        </w:rPr>
        <w:t>Bearing in mind the limitations of the Board</w:t>
      </w:r>
      <w:r w:rsidR="003D79FF">
        <w:rPr>
          <w:color w:val="auto"/>
        </w:rPr>
        <w:t>’</w:t>
      </w:r>
      <w:r w:rsidR="00F06B75" w:rsidRPr="00997979">
        <w:rPr>
          <w:color w:val="auto"/>
        </w:rPr>
        <w:t>s data,</w:t>
      </w:r>
      <w:r w:rsidR="005B4A9D">
        <w:rPr>
          <w:color w:val="auto"/>
        </w:rPr>
        <w:t xml:space="preserve"> during </w:t>
      </w:r>
      <w:r w:rsidR="00131690" w:rsidRPr="00131690">
        <w:rPr>
          <w:color w:val="auto"/>
        </w:rPr>
        <w:t>200</w:t>
      </w:r>
      <w:r w:rsidR="00FD148D">
        <w:rPr>
          <w:color w:val="auto"/>
        </w:rPr>
        <w:t>7</w:t>
      </w:r>
      <w:r w:rsidR="007D00F8">
        <w:rPr>
          <w:color w:val="auto"/>
        </w:rPr>
        <w:noBreakHyphen/>
      </w:r>
      <w:r w:rsidR="00131690" w:rsidRPr="00131690">
        <w:rPr>
          <w:color w:val="auto"/>
        </w:rPr>
        <w:t>0</w:t>
      </w:r>
      <w:r w:rsidR="00FD148D">
        <w:rPr>
          <w:color w:val="auto"/>
        </w:rPr>
        <w:t>8</w:t>
      </w:r>
      <w:r w:rsidR="00F06B75" w:rsidRPr="001277F6">
        <w:rPr>
          <w:color w:val="auto"/>
        </w:rPr>
        <w:t>:</w:t>
      </w:r>
    </w:p>
    <w:p w:rsidR="00F06B75" w:rsidRPr="00201698" w:rsidRDefault="0015251E" w:rsidP="006E00E1">
      <w:pPr>
        <w:pStyle w:val="Bullet"/>
      </w:pPr>
      <w:r>
        <w:t xml:space="preserve">mineral exploration and development </w:t>
      </w:r>
      <w:r w:rsidR="00630A28">
        <w:t xml:space="preserve">was the </w:t>
      </w:r>
      <w:bookmarkStart w:id="16" w:name="OLE_LINK32"/>
      <w:bookmarkStart w:id="17" w:name="OLE_LINK33"/>
      <w:r w:rsidR="00630A28">
        <w:t xml:space="preserve">largest </w:t>
      </w:r>
      <w:bookmarkStart w:id="18" w:name="OLE_LINK10"/>
      <w:bookmarkStart w:id="19" w:name="OLE_LINK11"/>
      <w:r w:rsidR="00630A28">
        <w:t>industry sector by value</w:t>
      </w:r>
      <w:bookmarkEnd w:id="16"/>
      <w:bookmarkEnd w:id="17"/>
      <w:bookmarkEnd w:id="18"/>
      <w:bookmarkEnd w:id="19"/>
      <w:r w:rsidR="00851607" w:rsidRPr="00201698">
        <w:t>, with approvals totalling</w:t>
      </w:r>
      <w:r>
        <w:t xml:space="preserve"> $64.3 billion ($32.3 billion in 2006</w:t>
      </w:r>
      <w:r w:rsidR="007D00F8">
        <w:noBreakHyphen/>
      </w:r>
      <w:r w:rsidR="006E00E1">
        <w:t>07)</w:t>
      </w:r>
      <w:r w:rsidR="00851607" w:rsidRPr="00201698">
        <w:t>; and</w:t>
      </w:r>
    </w:p>
    <w:p w:rsidR="00F06B75" w:rsidRDefault="00F06B75" w:rsidP="006E00E1">
      <w:pPr>
        <w:pStyle w:val="Bullet"/>
      </w:pPr>
      <w:r w:rsidRPr="00201698">
        <w:t xml:space="preserve">other </w:t>
      </w:r>
      <w:r w:rsidR="00650B30" w:rsidRPr="00201698">
        <w:t xml:space="preserve">significant </w:t>
      </w:r>
      <w:r w:rsidRPr="00201698">
        <w:t xml:space="preserve">sectors </w:t>
      </w:r>
      <w:r w:rsidR="00630A28">
        <w:t xml:space="preserve">by value of </w:t>
      </w:r>
      <w:r w:rsidR="00226052" w:rsidRPr="00201698">
        <w:t xml:space="preserve">proposed investment </w:t>
      </w:r>
      <w:r w:rsidRPr="00201698">
        <w:t>were</w:t>
      </w:r>
      <w:r w:rsidR="0083713E">
        <w:t>,</w:t>
      </w:r>
      <w:r w:rsidR="0015251E" w:rsidRPr="0015251E">
        <w:t xml:space="preserve"> </w:t>
      </w:r>
      <w:r w:rsidR="0015251E" w:rsidRPr="00201698">
        <w:t>real estate</w:t>
      </w:r>
      <w:r w:rsidR="0015251E">
        <w:t xml:space="preserve"> with</w:t>
      </w:r>
      <w:r w:rsidR="0015251E" w:rsidRPr="00201698">
        <w:t xml:space="preserve"> $</w:t>
      </w:r>
      <w:r w:rsidR="00A35CF6">
        <w:t>45.5</w:t>
      </w:r>
      <w:r w:rsidR="0015251E" w:rsidRPr="00201698">
        <w:t> billion ($</w:t>
      </w:r>
      <w:r w:rsidR="00A35CF6">
        <w:t>21.4</w:t>
      </w:r>
      <w:r w:rsidR="0015251E" w:rsidRPr="00201698">
        <w:t> billion in 200</w:t>
      </w:r>
      <w:r w:rsidR="00A35CF6">
        <w:t>6</w:t>
      </w:r>
      <w:r w:rsidR="007D00F8">
        <w:noBreakHyphen/>
      </w:r>
      <w:r w:rsidR="0015251E" w:rsidRPr="00201698">
        <w:t>0</w:t>
      </w:r>
      <w:r w:rsidR="00A35CF6">
        <w:t>7</w:t>
      </w:r>
      <w:r w:rsidR="0015251E" w:rsidRPr="00201698">
        <w:t>)</w:t>
      </w:r>
      <w:r w:rsidR="00A35CF6">
        <w:t>,</w:t>
      </w:r>
      <w:r w:rsidR="0083713E">
        <w:t xml:space="preserve"> </w:t>
      </w:r>
      <w:r w:rsidR="0083713E" w:rsidRPr="00201698">
        <w:t>services</w:t>
      </w:r>
      <w:r w:rsidR="002104B8">
        <w:t xml:space="preserve"> with</w:t>
      </w:r>
      <w:r w:rsidR="0083713E" w:rsidRPr="00201698">
        <w:t xml:space="preserve"> </w:t>
      </w:r>
      <w:r w:rsidR="00851607" w:rsidRPr="00201698">
        <w:t>$</w:t>
      </w:r>
      <w:r w:rsidR="00A35CF6">
        <w:t>35.7</w:t>
      </w:r>
      <w:r w:rsidR="009A294E" w:rsidRPr="00201698">
        <w:t> billion ($</w:t>
      </w:r>
      <w:r w:rsidR="00A35CF6">
        <w:t>28.9</w:t>
      </w:r>
      <w:r w:rsidR="009A294E" w:rsidRPr="00201698">
        <w:t> </w:t>
      </w:r>
      <w:r w:rsidR="00851607" w:rsidRPr="00201698">
        <w:t>billion</w:t>
      </w:r>
      <w:r w:rsidR="009A294E" w:rsidRPr="00201698">
        <w:t xml:space="preserve"> in </w:t>
      </w:r>
      <w:r w:rsidR="00E41F17" w:rsidRPr="00201698">
        <w:t>200</w:t>
      </w:r>
      <w:r w:rsidR="00A35CF6">
        <w:t>6</w:t>
      </w:r>
      <w:r w:rsidR="007D00F8">
        <w:noBreakHyphen/>
      </w:r>
      <w:r w:rsidR="00E41F17" w:rsidRPr="00201698">
        <w:t>0</w:t>
      </w:r>
      <w:r w:rsidR="00A35CF6">
        <w:t>7</w:t>
      </w:r>
      <w:r w:rsidR="0082750D">
        <w:t xml:space="preserve">), </w:t>
      </w:r>
      <w:r w:rsidR="0002484E">
        <w:t>and</w:t>
      </w:r>
      <w:r w:rsidR="0015251E" w:rsidRPr="0015251E">
        <w:t xml:space="preserve"> </w:t>
      </w:r>
      <w:r w:rsidR="00A35CF6">
        <w:t>m</w:t>
      </w:r>
      <w:r w:rsidR="0015251E">
        <w:t>anufacturing</w:t>
      </w:r>
      <w:r w:rsidR="00A35CF6">
        <w:t xml:space="preserve"> with</w:t>
      </w:r>
      <w:r w:rsidR="0015251E">
        <w:t xml:space="preserve"> </w:t>
      </w:r>
      <w:r w:rsidR="0015251E" w:rsidRPr="00201698">
        <w:t>$</w:t>
      </w:r>
      <w:r w:rsidR="00A35CF6">
        <w:t>31.3 </w:t>
      </w:r>
      <w:r w:rsidR="0015251E" w:rsidRPr="00201698">
        <w:t>billion ($</w:t>
      </w:r>
      <w:r w:rsidR="00A35CF6">
        <w:t>62.</w:t>
      </w:r>
      <w:r w:rsidR="009E4315">
        <w:t>8</w:t>
      </w:r>
      <w:r w:rsidR="00A35CF6" w:rsidRPr="00201698">
        <w:t> </w:t>
      </w:r>
      <w:r w:rsidR="0015251E" w:rsidRPr="00201698">
        <w:t>billion in 200</w:t>
      </w:r>
      <w:r w:rsidR="0015251E">
        <w:t>5</w:t>
      </w:r>
      <w:r w:rsidR="007D00F8">
        <w:noBreakHyphen/>
      </w:r>
      <w:r w:rsidR="0015251E" w:rsidRPr="00201698">
        <w:t>0</w:t>
      </w:r>
      <w:r w:rsidR="0015251E">
        <w:t>6</w:t>
      </w:r>
      <w:r w:rsidR="00A35CF6">
        <w:t xml:space="preserve"> — the largest industry sector by value for that </w:t>
      </w:r>
      <w:r w:rsidR="001D2C31">
        <w:t>year</w:t>
      </w:r>
      <w:r w:rsidR="00A35CF6" w:rsidRPr="00201698">
        <w:t>)</w:t>
      </w:r>
      <w:r w:rsidR="00A35CF6">
        <w:t>.</w:t>
      </w:r>
    </w:p>
    <w:p w:rsidR="00F06B75" w:rsidRDefault="00F06B75" w:rsidP="00183392">
      <w:pPr>
        <w:pStyle w:val="TableMainHeading"/>
      </w:pPr>
      <w:r>
        <w:t>Table 2.</w:t>
      </w:r>
      <w:r w:rsidR="00BF3B06">
        <w:t>4</w:t>
      </w:r>
      <w:r w:rsidR="00C450A2">
        <w:t xml:space="preserve">: </w:t>
      </w:r>
      <w:r>
        <w:t xml:space="preserve">Total approvals by industry sector in </w:t>
      </w:r>
      <w:r w:rsidR="00310514" w:rsidRPr="00C6620A">
        <w:t>200</w:t>
      </w:r>
      <w:r w:rsidR="00FD148D">
        <w:t>7</w:t>
      </w:r>
      <w:r w:rsidR="007D00F8">
        <w:noBreakHyphen/>
      </w:r>
      <w:r w:rsidR="00310514" w:rsidRPr="00C6620A">
        <w:t>0</w:t>
      </w:r>
      <w:r w:rsidR="00FD148D">
        <w:t>8</w:t>
      </w:r>
    </w:p>
    <w:p w:rsidR="00F06B75" w:rsidRPr="0018567C" w:rsidRDefault="00137E09">
      <w:pPr>
        <w:pStyle w:val="TableGraphic"/>
        <w:jc w:val="both"/>
        <w:rPr>
          <w:color w:val="auto"/>
        </w:rPr>
      </w:pPr>
      <w:r>
        <w:object w:dxaOrig="7692" w:dyaOrig="2702">
          <v:shape id="_x0000_i1032" type="#_x0000_t75" style="width:384.75pt;height:135pt" o:ole="">
            <v:imagedata r:id="rId26" o:title=""/>
          </v:shape>
          <o:OLEObject Type="Link" ProgID="Excel.Sheet.8" ShapeID="_x0000_i1032" DrawAspect="Content" r:id="rId27" UpdateMode="Always">
            <o:LinkType>Picture</o:LinkType>
            <o:LockedField>false</o:LockedField>
          </o:OLEObject>
        </w:object>
      </w:r>
    </w:p>
    <w:p w:rsidR="00F06B75" w:rsidRDefault="00DE78C4" w:rsidP="00867043">
      <w:pPr>
        <w:pStyle w:val="ChartandTableFootnoteAlpha"/>
      </w:pPr>
      <w:r>
        <w:t>Proposed investment</w:t>
      </w:r>
      <w:r w:rsidR="00F06B75" w:rsidRPr="008A5FC8">
        <w:t xml:space="preserve"> in the real estate sector may be overstated as it includes </w:t>
      </w:r>
      <w:r w:rsidR="00D616F6" w:rsidRPr="008A5FC8">
        <w:t>off</w:t>
      </w:r>
      <w:r w:rsidR="007D00F8">
        <w:noBreakHyphen/>
      </w:r>
      <w:r w:rsidR="00D616F6" w:rsidRPr="008A5FC8">
        <w:t>the</w:t>
      </w:r>
      <w:r w:rsidR="007D00F8">
        <w:noBreakHyphen/>
      </w:r>
      <w:r w:rsidR="00D616F6" w:rsidRPr="008A5FC8">
        <w:t xml:space="preserve">plan approvals provided to real estate developers </w:t>
      </w:r>
      <w:r w:rsidR="00D616F6">
        <w:t xml:space="preserve">and </w:t>
      </w:r>
      <w:r w:rsidR="006F4F83" w:rsidRPr="008A5FC8">
        <w:t>approvals for</w:t>
      </w:r>
      <w:r w:rsidR="00F06B75" w:rsidRPr="008A5FC8">
        <w:t xml:space="preserve"> annual program</w:t>
      </w:r>
      <w:r w:rsidR="00CF59D5" w:rsidRPr="008A5FC8">
        <w:t>me</w:t>
      </w:r>
      <w:r w:rsidR="00F06B75" w:rsidRPr="008A5FC8">
        <w:t>s</w:t>
      </w:r>
      <w:r w:rsidR="00D616F6">
        <w:t xml:space="preserve">. Further details provided in section on real estate from page </w:t>
      </w:r>
      <w:r w:rsidR="00E24360" w:rsidRPr="003B72EF">
        <w:t>3</w:t>
      </w:r>
      <w:r w:rsidR="009E4315">
        <w:t>0</w:t>
      </w:r>
      <w:r w:rsidR="00D616F6" w:rsidRPr="003B72EF">
        <w:t>.</w:t>
      </w:r>
      <w:r w:rsidR="006F4F83" w:rsidRPr="008A5FC8">
        <w:t xml:space="preserve"> </w:t>
      </w:r>
    </w:p>
    <w:p w:rsidR="00BE6943" w:rsidRDefault="00630A28" w:rsidP="00867043">
      <w:pPr>
        <w:pStyle w:val="ChartorTableNote"/>
      </w:pPr>
      <w:r>
        <w:t>Note:</w:t>
      </w:r>
      <w:r>
        <w:tab/>
        <w:t>Totals may not add due to rounding</w:t>
      </w:r>
      <w:r w:rsidR="00BE6943">
        <w:t>.</w:t>
      </w:r>
    </w:p>
    <w:p w:rsidR="00630A28" w:rsidRDefault="00BE6943" w:rsidP="00630A28">
      <w:pPr>
        <w:pStyle w:val="ChartorTableNote"/>
      </w:pPr>
      <w:r>
        <w:tab/>
      </w:r>
      <w:r w:rsidR="007D00F8">
        <w:t>‘</w:t>
      </w:r>
      <w:r w:rsidR="007D00F8">
        <w:noBreakHyphen/>
        <w:t>‘</w:t>
      </w:r>
      <w:r w:rsidR="00D0418B" w:rsidDel="00D0418B">
        <w:t xml:space="preserve"> </w:t>
      </w:r>
      <w:r w:rsidR="00B93E23">
        <w:t>i</w:t>
      </w:r>
      <w:r w:rsidR="00630A28" w:rsidRPr="008A5FC8">
        <w:t>ndicates a figure of zero.</w:t>
      </w:r>
    </w:p>
    <w:p w:rsidR="00D7342B" w:rsidRDefault="00D7342B" w:rsidP="00D7342B">
      <w:pPr>
        <w:pStyle w:val="ChartorTableNote"/>
        <w:spacing w:after="240"/>
      </w:pPr>
      <w:r>
        <w:tab/>
        <w:t>Ex</w:t>
      </w:r>
      <w:r w:rsidRPr="00557CCE">
        <w:t>cludes corporate re</w:t>
      </w:r>
      <w:r>
        <w:t xml:space="preserve">organisations </w:t>
      </w:r>
      <w:r w:rsidR="003917C6">
        <w:t>(</w:t>
      </w:r>
      <w:r w:rsidR="008F07A8">
        <w:t xml:space="preserve">66 </w:t>
      </w:r>
      <w:r w:rsidR="003917C6">
        <w:t>in 200</w:t>
      </w:r>
      <w:r w:rsidR="00FD148D">
        <w:t>7</w:t>
      </w:r>
      <w:r w:rsidR="007D00F8">
        <w:noBreakHyphen/>
      </w:r>
      <w:r w:rsidR="003917C6">
        <w:t>0</w:t>
      </w:r>
      <w:r w:rsidR="00FD148D">
        <w:t>8</w:t>
      </w:r>
      <w:r w:rsidR="003917C6">
        <w:t>)</w:t>
      </w:r>
      <w:r w:rsidRPr="00557CCE">
        <w:t>.</w:t>
      </w:r>
    </w:p>
    <w:p w:rsidR="00F06B75" w:rsidRDefault="00F06B75" w:rsidP="00F82222">
      <w:pPr>
        <w:pStyle w:val="ChartMainHeading"/>
      </w:pPr>
      <w:r>
        <w:lastRenderedPageBreak/>
        <w:t>Chart 2.</w:t>
      </w:r>
      <w:r w:rsidR="00587693">
        <w:t>5</w:t>
      </w:r>
      <w:r w:rsidR="00C450A2">
        <w:t xml:space="preserve">: </w:t>
      </w:r>
      <w:r w:rsidR="00345249">
        <w:t>Total a</w:t>
      </w:r>
      <w:r>
        <w:t xml:space="preserve">pprovals by industry sector in </w:t>
      </w:r>
      <w:r w:rsidR="00310514" w:rsidRPr="00C6620A">
        <w:t>200</w:t>
      </w:r>
      <w:r w:rsidR="00FD148D">
        <w:t>7</w:t>
      </w:r>
      <w:r w:rsidR="007D00F8">
        <w:noBreakHyphen/>
      </w:r>
      <w:r w:rsidR="00310514" w:rsidRPr="00C6620A">
        <w:t>0</w:t>
      </w:r>
      <w:r w:rsidR="00FD148D">
        <w:t>8</w:t>
      </w:r>
      <w:r>
        <w:t xml:space="preserve"> — </w:t>
      </w:r>
      <w:r w:rsidR="00BE1E59">
        <w:br w:type="textWrapping" w:clear="all"/>
      </w:r>
      <w:r w:rsidR="006F4F83">
        <w:t xml:space="preserve">proposed investment </w:t>
      </w:r>
      <w:r>
        <w:t>value</w:t>
      </w:r>
    </w:p>
    <w:p w:rsidR="00F06B75" w:rsidRDefault="00854D5D" w:rsidP="003819F0">
      <w:pPr>
        <w:pStyle w:val="ChartGraphic"/>
        <w:spacing w:before="120"/>
      </w:pPr>
      <w:r>
        <w:object w:dxaOrig="6807" w:dyaOrig="4392">
          <v:shape id="_x0000_i1033" type="#_x0000_t75" style="width:340.5pt;height:195pt" o:ole="">
            <v:imagedata r:id="rId28" o:title="" croptop="6804f"/>
          </v:shape>
          <o:OLEObject Type="Link" ProgID="Excel.Sheet.8" ShapeID="_x0000_i1033" DrawAspect="Content" r:id="rId29" UpdateMode="Always">
            <o:LinkType>Picture</o:LinkType>
            <o:LockedField>false</o:LockedField>
          </o:OLEObject>
        </w:object>
      </w:r>
    </w:p>
    <w:p w:rsidR="00BE6943" w:rsidRDefault="00630A28" w:rsidP="00630A28">
      <w:pPr>
        <w:pStyle w:val="ChartorTableNote"/>
      </w:pPr>
      <w:r>
        <w:t>Note:</w:t>
      </w:r>
      <w:r>
        <w:tab/>
        <w:t>Totals may not add due to rounding</w:t>
      </w:r>
      <w:r w:rsidR="00BE6943">
        <w:t>.</w:t>
      </w:r>
    </w:p>
    <w:p w:rsidR="00630A28" w:rsidRDefault="00BE6943" w:rsidP="00630A28">
      <w:pPr>
        <w:pStyle w:val="ChartorTableNote"/>
      </w:pPr>
      <w:r>
        <w:tab/>
      </w:r>
      <w:r w:rsidR="00630A28">
        <w:t>‘0</w:t>
      </w:r>
      <w:r w:rsidR="00D616F6">
        <w:t>%</w:t>
      </w:r>
      <w:r w:rsidR="007D00F8">
        <w:t>’</w:t>
      </w:r>
      <w:r w:rsidR="00630A28">
        <w:t xml:space="preserve"> indicates a figure of less than 0.5%.</w:t>
      </w:r>
    </w:p>
    <w:p w:rsidR="001D57DD" w:rsidRPr="000E1839" w:rsidRDefault="001D57DD" w:rsidP="003D1C97">
      <w:pPr>
        <w:pStyle w:val="SingleParagraph"/>
      </w:pPr>
    </w:p>
    <w:p w:rsidR="00F06B75" w:rsidRDefault="00F06B75" w:rsidP="003D79FF">
      <w:pPr>
        <w:pStyle w:val="Heading3"/>
      </w:pPr>
      <w:r>
        <w:t>Agriculture, forestry and fishing</w:t>
      </w:r>
    </w:p>
    <w:p w:rsidR="00F06B75" w:rsidRDefault="008A54F4">
      <w:r>
        <w:t>P</w:t>
      </w:r>
      <w:r w:rsidR="00A90E7E">
        <w:t>roposed investment in the agriculture, forestry and fishing sector</w:t>
      </w:r>
      <w:r>
        <w:t xml:space="preserve"> </w:t>
      </w:r>
      <w:r w:rsidR="00AE3CF2">
        <w:t>in</w:t>
      </w:r>
      <w:r>
        <w:t xml:space="preserve">creased </w:t>
      </w:r>
      <w:r w:rsidR="00950820">
        <w:t xml:space="preserve">significantly </w:t>
      </w:r>
      <w:r>
        <w:t>in 200</w:t>
      </w:r>
      <w:r w:rsidR="00FD148D">
        <w:t>7</w:t>
      </w:r>
      <w:r w:rsidR="007D00F8">
        <w:noBreakHyphen/>
      </w:r>
      <w:r>
        <w:t>0</w:t>
      </w:r>
      <w:r w:rsidR="00FD148D">
        <w:t>8</w:t>
      </w:r>
      <w:r>
        <w:t xml:space="preserve">. </w:t>
      </w:r>
      <w:r w:rsidR="005156F9">
        <w:t xml:space="preserve">Eleven </w:t>
      </w:r>
      <w:r>
        <w:t>proposals were approved</w:t>
      </w:r>
      <w:r w:rsidR="00A90E7E">
        <w:t xml:space="preserve"> </w:t>
      </w:r>
      <w:r w:rsidR="00D12245">
        <w:t>with a total value of</w:t>
      </w:r>
      <w:r w:rsidR="001275A7" w:rsidRPr="00291C84">
        <w:t xml:space="preserve"> $</w:t>
      </w:r>
      <w:r w:rsidR="005156F9">
        <w:t>2.5</w:t>
      </w:r>
      <w:r w:rsidR="001275A7" w:rsidRPr="00291C84">
        <w:t> </w:t>
      </w:r>
      <w:r w:rsidR="005156F9">
        <w:t>b</w:t>
      </w:r>
      <w:r w:rsidR="001275A7" w:rsidRPr="00291C84">
        <w:t>illion,</w:t>
      </w:r>
      <w:r w:rsidR="00D12245">
        <w:t xml:space="preserve"> compared with</w:t>
      </w:r>
      <w:r w:rsidR="00AE3CF2">
        <w:t xml:space="preserve"> only</w:t>
      </w:r>
      <w:r w:rsidR="00D12245">
        <w:t xml:space="preserve"> </w:t>
      </w:r>
      <w:r w:rsidR="005156F9">
        <w:t xml:space="preserve">four </w:t>
      </w:r>
      <w:r w:rsidR="00D12245">
        <w:t xml:space="preserve">approvals </w:t>
      </w:r>
      <w:r w:rsidR="00D12245" w:rsidRPr="00291C84">
        <w:t xml:space="preserve">in </w:t>
      </w:r>
      <w:r w:rsidR="00AE3CF2">
        <w:t>200</w:t>
      </w:r>
      <w:r w:rsidR="0087568F">
        <w:t>6</w:t>
      </w:r>
      <w:r w:rsidR="007D00F8">
        <w:noBreakHyphen/>
      </w:r>
      <w:r w:rsidR="00AE3CF2">
        <w:t>0</w:t>
      </w:r>
      <w:r w:rsidR="0087568F">
        <w:t>7</w:t>
      </w:r>
      <w:r w:rsidR="00D12245">
        <w:rPr>
          <w:color w:val="auto"/>
        </w:rPr>
        <w:t xml:space="preserve"> </w:t>
      </w:r>
      <w:r w:rsidR="00D12245">
        <w:t>with a total value of</w:t>
      </w:r>
      <w:r w:rsidR="001275A7" w:rsidRPr="00291C84">
        <w:t xml:space="preserve"> </w:t>
      </w:r>
      <w:r w:rsidR="00AE3CF2" w:rsidRPr="00291C84">
        <w:t>$</w:t>
      </w:r>
      <w:r w:rsidR="005156F9">
        <w:t>104.0</w:t>
      </w:r>
      <w:r w:rsidR="00AE3CF2" w:rsidRPr="00291C84">
        <w:t> million</w:t>
      </w:r>
      <w:r w:rsidR="00A90E7E" w:rsidRPr="00291C84">
        <w:t>.</w:t>
      </w:r>
      <w:r w:rsidR="00DD7B34">
        <w:t xml:space="preserve"> Of these approvals</w:t>
      </w:r>
      <w:r w:rsidR="000931C9">
        <w:t xml:space="preserve">, </w:t>
      </w:r>
      <w:r w:rsidR="00DD7B34">
        <w:t>six</w:t>
      </w:r>
      <w:r w:rsidR="00DD7B34" w:rsidRPr="003D33F1">
        <w:rPr>
          <w:color w:val="auto"/>
        </w:rPr>
        <w:t xml:space="preserve"> involved</w:t>
      </w:r>
      <w:r w:rsidR="00DD7B34">
        <w:rPr>
          <w:color w:val="auto"/>
        </w:rPr>
        <w:t xml:space="preserve"> total investment </w:t>
      </w:r>
      <w:r w:rsidR="00AE30F3">
        <w:rPr>
          <w:color w:val="auto"/>
        </w:rPr>
        <w:t>in excess of</w:t>
      </w:r>
      <w:r w:rsidR="00DD7B34" w:rsidRPr="003D33F1">
        <w:rPr>
          <w:color w:val="auto"/>
        </w:rPr>
        <w:t xml:space="preserve"> $100 million, </w:t>
      </w:r>
      <w:r w:rsidR="00DD7B34">
        <w:rPr>
          <w:color w:val="auto"/>
        </w:rPr>
        <w:t>including</w:t>
      </w:r>
      <w:r w:rsidR="00AE30F3">
        <w:rPr>
          <w:color w:val="auto"/>
        </w:rPr>
        <w:t xml:space="preserve"> one</w:t>
      </w:r>
      <w:r w:rsidR="00DD7B34">
        <w:rPr>
          <w:color w:val="auto"/>
        </w:rPr>
        <w:t xml:space="preserve"> </w:t>
      </w:r>
      <w:r w:rsidR="00AE30F3">
        <w:rPr>
          <w:color w:val="auto"/>
        </w:rPr>
        <w:t>involving estimated investment in</w:t>
      </w:r>
      <w:r w:rsidR="00DD7B34">
        <w:rPr>
          <w:color w:val="auto"/>
        </w:rPr>
        <w:t xml:space="preserve"> excess of $1 billion</w:t>
      </w:r>
      <w:r w:rsidR="00AE30F3">
        <w:rPr>
          <w:color w:val="auto"/>
        </w:rPr>
        <w:t>.</w:t>
      </w:r>
      <w:r w:rsidR="00DD7B34">
        <w:t xml:space="preserve"> </w:t>
      </w:r>
    </w:p>
    <w:p w:rsidR="00F06B75" w:rsidRDefault="00F06B75" w:rsidP="006A2068">
      <w:pPr>
        <w:pStyle w:val="Heading3"/>
        <w:spacing w:before="170" w:after="113"/>
      </w:pPr>
      <w:r>
        <w:t>Finance and insurance</w:t>
      </w:r>
    </w:p>
    <w:p w:rsidR="00A0403A" w:rsidRPr="003D33F1" w:rsidRDefault="00A90E7E">
      <w:pPr>
        <w:rPr>
          <w:color w:val="auto"/>
        </w:rPr>
      </w:pPr>
      <w:r w:rsidRPr="00A90E7E">
        <w:t xml:space="preserve">During </w:t>
      </w:r>
      <w:r w:rsidR="000E3C40">
        <w:t>200</w:t>
      </w:r>
      <w:r w:rsidR="00FD148D">
        <w:t>7</w:t>
      </w:r>
      <w:r w:rsidR="007D00F8">
        <w:noBreakHyphen/>
      </w:r>
      <w:r w:rsidR="000E3C40">
        <w:t>0</w:t>
      </w:r>
      <w:r w:rsidR="00FD148D">
        <w:t>8</w:t>
      </w:r>
      <w:r w:rsidRPr="00A90E7E">
        <w:t>,</w:t>
      </w:r>
      <w:r>
        <w:t xml:space="preserve"> </w:t>
      </w:r>
      <w:r w:rsidR="00034130">
        <w:t>39 </w:t>
      </w:r>
      <w:r w:rsidR="00E04992">
        <w:t xml:space="preserve">proposals were approved in the finance and insurance sector with </w:t>
      </w:r>
      <w:r w:rsidR="00DE78C4">
        <w:t>proposed investment</w:t>
      </w:r>
      <w:r>
        <w:t xml:space="preserve"> </w:t>
      </w:r>
      <w:r w:rsidR="00E04992">
        <w:t>of</w:t>
      </w:r>
      <w:r>
        <w:t xml:space="preserve"> </w:t>
      </w:r>
      <w:r w:rsidRPr="00034130">
        <w:t>$</w:t>
      </w:r>
      <w:r w:rsidR="00034130" w:rsidRPr="00034130">
        <w:t>9.2</w:t>
      </w:r>
      <w:r w:rsidRPr="00034130">
        <w:t> billion</w:t>
      </w:r>
      <w:r w:rsidRPr="00A90E7E">
        <w:t xml:space="preserve">, </w:t>
      </w:r>
      <w:r w:rsidR="008A71F9">
        <w:t>compared with</w:t>
      </w:r>
      <w:r w:rsidRPr="00A90E7E">
        <w:t xml:space="preserve"> </w:t>
      </w:r>
      <w:r w:rsidR="002B2FC7">
        <w:t>3</w:t>
      </w:r>
      <w:r w:rsidR="00034130">
        <w:t>8</w:t>
      </w:r>
      <w:r w:rsidR="002B2FC7">
        <w:t xml:space="preserve"> proposals and </w:t>
      </w:r>
      <w:r w:rsidR="000E3C40" w:rsidRPr="00A90E7E">
        <w:t>$</w:t>
      </w:r>
      <w:r w:rsidR="00034130" w:rsidRPr="00034130">
        <w:t>5.6</w:t>
      </w:r>
      <w:r w:rsidR="000E3C40" w:rsidRPr="00A90E7E">
        <w:t> billion</w:t>
      </w:r>
      <w:r w:rsidR="008A71F9">
        <w:t xml:space="preserve"> in </w:t>
      </w:r>
      <w:r w:rsidR="008A71F9" w:rsidRPr="00A90E7E">
        <w:rPr>
          <w:color w:val="auto"/>
        </w:rPr>
        <w:t>200</w:t>
      </w:r>
      <w:r w:rsidR="008A71F9">
        <w:rPr>
          <w:color w:val="auto"/>
        </w:rPr>
        <w:t>6</w:t>
      </w:r>
      <w:r w:rsidR="007D00F8">
        <w:rPr>
          <w:color w:val="auto"/>
        </w:rPr>
        <w:noBreakHyphen/>
      </w:r>
      <w:r w:rsidR="008A71F9" w:rsidRPr="00A90E7E">
        <w:rPr>
          <w:color w:val="auto"/>
        </w:rPr>
        <w:t>0</w:t>
      </w:r>
      <w:r w:rsidR="008A71F9">
        <w:rPr>
          <w:color w:val="auto"/>
        </w:rPr>
        <w:t>7</w:t>
      </w:r>
      <w:r w:rsidRPr="003D33F1">
        <w:t xml:space="preserve">. </w:t>
      </w:r>
      <w:r w:rsidR="00F06B75" w:rsidRPr="003D33F1">
        <w:t>The</w:t>
      </w:r>
      <w:r w:rsidR="00AE30F3">
        <w:t>re were 13</w:t>
      </w:r>
      <w:r w:rsidR="00E04992" w:rsidRPr="003D33F1">
        <w:t xml:space="preserve"> proposals</w:t>
      </w:r>
      <w:r w:rsidR="00AE30F3">
        <w:t xml:space="preserve"> approved which</w:t>
      </w:r>
      <w:r w:rsidR="00E04992" w:rsidRPr="003D33F1">
        <w:t xml:space="preserve"> involv</w:t>
      </w:r>
      <w:r w:rsidR="00AE30F3">
        <w:t>ed</w:t>
      </w:r>
      <w:r w:rsidR="00E04992" w:rsidRPr="003D33F1">
        <w:t xml:space="preserve"> investment of </w:t>
      </w:r>
      <w:bookmarkStart w:id="20" w:name="OLE_LINK38"/>
      <w:bookmarkStart w:id="21" w:name="OLE_LINK39"/>
      <w:r w:rsidR="00E04992" w:rsidRPr="003D33F1">
        <w:rPr>
          <w:color w:val="auto"/>
        </w:rPr>
        <w:t>$100 million or more</w:t>
      </w:r>
      <w:r w:rsidR="00F06B75" w:rsidRPr="003D33F1">
        <w:t xml:space="preserve"> </w:t>
      </w:r>
      <w:bookmarkEnd w:id="20"/>
      <w:bookmarkEnd w:id="21"/>
      <w:r w:rsidR="00E04992" w:rsidRPr="003D33F1">
        <w:t>(1</w:t>
      </w:r>
      <w:r w:rsidR="00401501">
        <w:t>6</w:t>
      </w:r>
      <w:r w:rsidR="00E04992" w:rsidRPr="003D33F1">
        <w:t xml:space="preserve"> in </w:t>
      </w:r>
      <w:r w:rsidR="000E3C40" w:rsidRPr="00A90E7E">
        <w:rPr>
          <w:color w:val="auto"/>
        </w:rPr>
        <w:t>200</w:t>
      </w:r>
      <w:r w:rsidR="00401501">
        <w:rPr>
          <w:color w:val="auto"/>
        </w:rPr>
        <w:t>6</w:t>
      </w:r>
      <w:r w:rsidR="007D00F8">
        <w:rPr>
          <w:color w:val="auto"/>
        </w:rPr>
        <w:noBreakHyphen/>
      </w:r>
      <w:r w:rsidR="000E3C40" w:rsidRPr="00A90E7E">
        <w:rPr>
          <w:color w:val="auto"/>
        </w:rPr>
        <w:t>0</w:t>
      </w:r>
      <w:r w:rsidR="00401501">
        <w:rPr>
          <w:color w:val="auto"/>
        </w:rPr>
        <w:t>7</w:t>
      </w:r>
      <w:r w:rsidR="00E04992" w:rsidRPr="003D33F1">
        <w:t>)</w:t>
      </w:r>
      <w:r w:rsidR="00AE30F3">
        <w:t>, with</w:t>
      </w:r>
      <w:r w:rsidR="00A0403A" w:rsidRPr="003D33F1">
        <w:rPr>
          <w:color w:val="auto"/>
        </w:rPr>
        <w:t xml:space="preserve"> </w:t>
      </w:r>
      <w:r w:rsidR="00401501">
        <w:rPr>
          <w:color w:val="auto"/>
        </w:rPr>
        <w:t>two</w:t>
      </w:r>
      <w:r w:rsidR="00401501" w:rsidRPr="003D33F1">
        <w:rPr>
          <w:color w:val="auto"/>
        </w:rPr>
        <w:t xml:space="preserve"> </w:t>
      </w:r>
      <w:r w:rsidR="00A0403A" w:rsidRPr="003D33F1">
        <w:rPr>
          <w:color w:val="auto"/>
        </w:rPr>
        <w:t>involv</w:t>
      </w:r>
      <w:r w:rsidR="000E3C40">
        <w:rPr>
          <w:color w:val="auto"/>
        </w:rPr>
        <w:t>ing</w:t>
      </w:r>
      <w:r w:rsidR="0052153F">
        <w:rPr>
          <w:color w:val="auto"/>
        </w:rPr>
        <w:t xml:space="preserve"> proposed investment of</w:t>
      </w:r>
      <w:r w:rsidR="00E7543D" w:rsidRPr="003D33F1">
        <w:rPr>
          <w:color w:val="auto"/>
        </w:rPr>
        <w:t xml:space="preserve"> $1 billion</w:t>
      </w:r>
      <w:r w:rsidR="00850F55">
        <w:rPr>
          <w:color w:val="auto"/>
        </w:rPr>
        <w:t xml:space="preserve"> </w:t>
      </w:r>
      <w:r w:rsidR="006552D6">
        <w:rPr>
          <w:color w:val="auto"/>
        </w:rPr>
        <w:t>or more</w:t>
      </w:r>
      <w:r w:rsidR="0052153F">
        <w:rPr>
          <w:color w:val="auto"/>
        </w:rPr>
        <w:t>, acco</w:t>
      </w:r>
      <w:r w:rsidR="00AE30F3">
        <w:rPr>
          <w:color w:val="auto"/>
        </w:rPr>
        <w:t>unting</w:t>
      </w:r>
      <w:r w:rsidR="0052153F">
        <w:rPr>
          <w:color w:val="auto"/>
        </w:rPr>
        <w:t xml:space="preserve"> for $5.8 billion</w:t>
      </w:r>
      <w:r w:rsidR="00C454B7">
        <w:rPr>
          <w:color w:val="auto"/>
        </w:rPr>
        <w:t xml:space="preserve"> (63 per cent)</w:t>
      </w:r>
      <w:r w:rsidR="0052153F">
        <w:rPr>
          <w:color w:val="auto"/>
        </w:rPr>
        <w:t xml:space="preserve"> of the overall total</w:t>
      </w:r>
      <w:r w:rsidR="00A0403A" w:rsidRPr="003D33F1">
        <w:rPr>
          <w:color w:val="auto"/>
        </w:rPr>
        <w:t xml:space="preserve">. </w:t>
      </w:r>
    </w:p>
    <w:p w:rsidR="00F06B75" w:rsidRPr="00565C59" w:rsidRDefault="001D57DD">
      <w:pPr>
        <w:rPr>
          <w:color w:val="auto"/>
        </w:rPr>
      </w:pPr>
      <w:r>
        <w:t>As discussed at the beginning of this chapter, t</w:t>
      </w:r>
      <w:r w:rsidRPr="00D278BA">
        <w:t>he proposed acquisition cost</w:t>
      </w:r>
      <w:r w:rsidR="007A13F6">
        <w:t>s</w:t>
      </w:r>
      <w:r w:rsidRPr="00D278BA">
        <w:t xml:space="preserve"> and development expenditure </w:t>
      </w:r>
      <w:r w:rsidR="007A13F6">
        <w:t>are</w:t>
      </w:r>
      <w:r w:rsidRPr="00D278BA">
        <w:t xml:space="preserve"> not recorded </w:t>
      </w:r>
      <w:r>
        <w:t xml:space="preserve">in FIMS </w:t>
      </w:r>
      <w:r w:rsidRPr="00D278BA">
        <w:t xml:space="preserve">for proposals such as </w:t>
      </w:r>
      <w:r w:rsidR="00F620AF">
        <w:t>financing</w:t>
      </w:r>
      <w:r w:rsidR="00F620AF" w:rsidRPr="00D278BA">
        <w:t xml:space="preserve"> </w:t>
      </w:r>
      <w:r w:rsidRPr="00D278BA">
        <w:t>arrangements wh</w:t>
      </w:r>
      <w:r>
        <w:t>ere there is not expected to be an</w:t>
      </w:r>
      <w:r w:rsidRPr="00D278BA">
        <w:t xml:space="preserve"> investment f</w:t>
      </w:r>
      <w:r>
        <w:t>l</w:t>
      </w:r>
      <w:r w:rsidRPr="00D278BA">
        <w:t>o</w:t>
      </w:r>
      <w:r>
        <w:t>w</w:t>
      </w:r>
      <w:r w:rsidRPr="00D278BA">
        <w:t xml:space="preserve"> in</w:t>
      </w:r>
      <w:r>
        <w:t>to</w:t>
      </w:r>
      <w:r w:rsidRPr="00D278BA">
        <w:t xml:space="preserve"> Australia</w:t>
      </w:r>
      <w:r w:rsidR="00C03285">
        <w:t xml:space="preserve">. </w:t>
      </w:r>
    </w:p>
    <w:p w:rsidR="00F06B75" w:rsidRDefault="002D72BB" w:rsidP="003D79FF">
      <w:pPr>
        <w:pStyle w:val="Heading3"/>
      </w:pPr>
      <w:r>
        <w:br w:type="page"/>
      </w:r>
      <w:r w:rsidR="00F06B75">
        <w:lastRenderedPageBreak/>
        <w:t>Manufacturing</w:t>
      </w:r>
    </w:p>
    <w:p w:rsidR="008E4369" w:rsidRPr="00941BCE" w:rsidRDefault="002C7077">
      <w:pPr>
        <w:rPr>
          <w:color w:val="auto"/>
        </w:rPr>
      </w:pPr>
      <w:r>
        <w:t>The manufacturing sector</w:t>
      </w:r>
      <w:r w:rsidR="00273809">
        <w:t>,</w:t>
      </w:r>
      <w:r>
        <w:t xml:space="preserve"> </w:t>
      </w:r>
      <w:r w:rsidR="002F2EFD">
        <w:t xml:space="preserve">which was the leading industry sector by value in the previous </w:t>
      </w:r>
      <w:r w:rsidR="00B62D99">
        <w:t>year</w:t>
      </w:r>
      <w:r w:rsidR="002F2EFD">
        <w:t xml:space="preserve">, </w:t>
      </w:r>
      <w:r>
        <w:t>saw a significant decrease in both number of proposals approved and p</w:t>
      </w:r>
      <w:r w:rsidR="00DE78C4">
        <w:t>roposed investment</w:t>
      </w:r>
      <w:r w:rsidR="002F2EFD">
        <w:t xml:space="preserve"> in 2007</w:t>
      </w:r>
      <w:r w:rsidR="007D00F8">
        <w:noBreakHyphen/>
      </w:r>
      <w:r w:rsidR="002F2EFD">
        <w:t>08. There were</w:t>
      </w:r>
      <w:r>
        <w:t xml:space="preserve"> 48 proposals</w:t>
      </w:r>
      <w:r w:rsidR="00F06B75">
        <w:t xml:space="preserve"> </w:t>
      </w:r>
      <w:r w:rsidR="00AE7832">
        <w:t>(41 per cent less than the 82 proposals in 2006</w:t>
      </w:r>
      <w:r w:rsidR="007D00F8">
        <w:noBreakHyphen/>
      </w:r>
      <w:r w:rsidR="00AE7832">
        <w:t>07) and proposed investment of</w:t>
      </w:r>
      <w:r w:rsidR="00291C84" w:rsidRPr="00A90E7E">
        <w:t xml:space="preserve"> </w:t>
      </w:r>
      <w:r w:rsidR="00291C84" w:rsidRPr="003D33F1">
        <w:t>$</w:t>
      </w:r>
      <w:r w:rsidR="00AE7832">
        <w:t>31.3</w:t>
      </w:r>
      <w:r w:rsidR="00291C84" w:rsidRPr="003D33F1">
        <w:t xml:space="preserve"> billion </w:t>
      </w:r>
      <w:r w:rsidR="00AE7832">
        <w:rPr>
          <w:color w:val="auto"/>
        </w:rPr>
        <w:t>(50 per cent less than the</w:t>
      </w:r>
      <w:r w:rsidR="00106DDB">
        <w:rPr>
          <w:color w:val="auto"/>
        </w:rPr>
        <w:t xml:space="preserve"> $6</w:t>
      </w:r>
      <w:r w:rsidR="008E01EC">
        <w:rPr>
          <w:color w:val="auto"/>
        </w:rPr>
        <w:t>2</w:t>
      </w:r>
      <w:r w:rsidR="00106DDB">
        <w:rPr>
          <w:color w:val="auto"/>
        </w:rPr>
        <w:t>.</w:t>
      </w:r>
      <w:r w:rsidR="0046267E">
        <w:rPr>
          <w:color w:val="auto"/>
        </w:rPr>
        <w:t>8</w:t>
      </w:r>
      <w:r w:rsidR="00106DDB">
        <w:rPr>
          <w:color w:val="auto"/>
        </w:rPr>
        <w:t xml:space="preserve"> billion in </w:t>
      </w:r>
      <w:r w:rsidR="00106DDB">
        <w:t>2006</w:t>
      </w:r>
      <w:r w:rsidR="007D00F8">
        <w:noBreakHyphen/>
      </w:r>
      <w:r w:rsidR="00106DDB">
        <w:t>07</w:t>
      </w:r>
      <w:r w:rsidR="00AE7832">
        <w:t>)</w:t>
      </w:r>
      <w:r w:rsidR="00F06B75" w:rsidRPr="003D33F1">
        <w:t>.</w:t>
      </w:r>
      <w:r w:rsidR="00C03285">
        <w:t xml:space="preserve"> </w:t>
      </w:r>
      <w:r w:rsidR="00970E87">
        <w:t>Thirty</w:t>
      </w:r>
      <w:r w:rsidR="007D00F8">
        <w:noBreakHyphen/>
      </w:r>
      <w:r w:rsidR="00970E87">
        <w:t xml:space="preserve">one </w:t>
      </w:r>
      <w:r w:rsidR="00263D4F">
        <w:t xml:space="preserve">involved total investment of $100 million or more </w:t>
      </w:r>
      <w:r w:rsidR="00263D4F" w:rsidRPr="003D33F1">
        <w:rPr>
          <w:color w:val="auto"/>
        </w:rPr>
        <w:t xml:space="preserve">in </w:t>
      </w:r>
      <w:r w:rsidR="00263D4F">
        <w:t>200</w:t>
      </w:r>
      <w:r w:rsidR="00970E87">
        <w:t>7</w:t>
      </w:r>
      <w:r w:rsidR="007D00F8">
        <w:noBreakHyphen/>
      </w:r>
      <w:r w:rsidR="00263D4F">
        <w:t>0</w:t>
      </w:r>
      <w:r w:rsidR="00970E87">
        <w:t>8</w:t>
      </w:r>
      <w:r w:rsidR="00263D4F">
        <w:t xml:space="preserve">. </w:t>
      </w:r>
      <w:bookmarkStart w:id="22" w:name="OLE_LINK36"/>
      <w:bookmarkStart w:id="23" w:name="OLE_LINK37"/>
      <w:r w:rsidR="00207749">
        <w:rPr>
          <w:color w:val="auto"/>
        </w:rPr>
        <w:t>F</w:t>
      </w:r>
      <w:r w:rsidR="00970E87">
        <w:t>our</w:t>
      </w:r>
      <w:r w:rsidR="00970E87" w:rsidRPr="003D33F1">
        <w:rPr>
          <w:color w:val="auto"/>
        </w:rPr>
        <w:t xml:space="preserve"> </w:t>
      </w:r>
      <w:r w:rsidR="00B05D71" w:rsidRPr="003D33F1">
        <w:rPr>
          <w:color w:val="auto"/>
        </w:rPr>
        <w:t>involved</w:t>
      </w:r>
      <w:r w:rsidR="00970E87">
        <w:rPr>
          <w:color w:val="auto"/>
        </w:rPr>
        <w:t xml:space="preserve"> total investment of</w:t>
      </w:r>
      <w:r w:rsidR="00B05D71" w:rsidRPr="003D33F1">
        <w:rPr>
          <w:color w:val="auto"/>
        </w:rPr>
        <w:t xml:space="preserve"> $1 billion</w:t>
      </w:r>
      <w:r w:rsidR="006552D6">
        <w:rPr>
          <w:color w:val="auto"/>
        </w:rPr>
        <w:t xml:space="preserve"> or more</w:t>
      </w:r>
      <w:r w:rsidR="00B05D71" w:rsidRPr="003D33F1">
        <w:rPr>
          <w:color w:val="auto"/>
        </w:rPr>
        <w:t xml:space="preserve">, compared </w:t>
      </w:r>
      <w:r w:rsidR="00850F55">
        <w:rPr>
          <w:color w:val="auto"/>
        </w:rPr>
        <w:t>with</w:t>
      </w:r>
      <w:r w:rsidR="00B05D71" w:rsidRPr="003D33F1">
        <w:rPr>
          <w:color w:val="auto"/>
        </w:rPr>
        <w:t xml:space="preserve"> </w:t>
      </w:r>
      <w:r w:rsidR="00970E87">
        <w:rPr>
          <w:color w:val="auto"/>
        </w:rPr>
        <w:t>seven</w:t>
      </w:r>
      <w:r w:rsidR="00970E87" w:rsidRPr="003D33F1">
        <w:rPr>
          <w:color w:val="auto"/>
        </w:rPr>
        <w:t xml:space="preserve"> </w:t>
      </w:r>
      <w:r w:rsidR="00B05D71" w:rsidRPr="003D33F1">
        <w:rPr>
          <w:color w:val="auto"/>
        </w:rPr>
        <w:t>proposal</w:t>
      </w:r>
      <w:r w:rsidR="00970E87">
        <w:rPr>
          <w:color w:val="auto"/>
        </w:rPr>
        <w:t>s</w:t>
      </w:r>
      <w:r w:rsidR="00207749">
        <w:rPr>
          <w:color w:val="auto"/>
        </w:rPr>
        <w:t xml:space="preserve"> (including one of nearly $17 billion) with an estimated investment value</w:t>
      </w:r>
      <w:r w:rsidR="00970E87">
        <w:rPr>
          <w:color w:val="auto"/>
        </w:rPr>
        <w:t xml:space="preserve"> </w:t>
      </w:r>
      <w:bookmarkEnd w:id="22"/>
      <w:bookmarkEnd w:id="23"/>
      <w:r w:rsidR="000668CA">
        <w:rPr>
          <w:color w:val="auto"/>
        </w:rPr>
        <w:t xml:space="preserve">in excess of $1 billion </w:t>
      </w:r>
      <w:r w:rsidR="00B05D71" w:rsidRPr="003D33F1">
        <w:rPr>
          <w:color w:val="auto"/>
        </w:rPr>
        <w:t xml:space="preserve">during the previous year. </w:t>
      </w:r>
      <w:r w:rsidR="00F06B75" w:rsidRPr="003D33F1">
        <w:rPr>
          <w:color w:val="auto"/>
        </w:rPr>
        <w:t>Propos</w:t>
      </w:r>
      <w:r w:rsidR="00385909" w:rsidRPr="003D33F1">
        <w:rPr>
          <w:color w:val="auto"/>
        </w:rPr>
        <w:t xml:space="preserve">ed investment </w:t>
      </w:r>
      <w:r w:rsidR="00BD24F8" w:rsidRPr="003D33F1">
        <w:rPr>
          <w:color w:val="auto"/>
        </w:rPr>
        <w:t>in manufacturing</w:t>
      </w:r>
      <w:r w:rsidR="00385909" w:rsidRPr="003D33F1">
        <w:rPr>
          <w:color w:val="auto"/>
        </w:rPr>
        <w:t xml:space="preserve"> was primarily </w:t>
      </w:r>
      <w:r w:rsidR="00F06B75" w:rsidRPr="003D33F1">
        <w:rPr>
          <w:color w:val="auto"/>
        </w:rPr>
        <w:t xml:space="preserve">in </w:t>
      </w:r>
      <w:r w:rsidR="00106DDB">
        <w:rPr>
          <w:color w:val="auto"/>
        </w:rPr>
        <w:t>electricity and gas</w:t>
      </w:r>
      <w:r w:rsidR="00385909">
        <w:rPr>
          <w:color w:val="auto"/>
        </w:rPr>
        <w:t>,</w:t>
      </w:r>
      <w:r w:rsidR="00F06B75" w:rsidRPr="001275A7">
        <w:rPr>
          <w:color w:val="auto"/>
        </w:rPr>
        <w:t xml:space="preserve"> account</w:t>
      </w:r>
      <w:r w:rsidR="00385909">
        <w:rPr>
          <w:color w:val="auto"/>
        </w:rPr>
        <w:t>ing</w:t>
      </w:r>
      <w:r w:rsidR="00F06B75" w:rsidRPr="001275A7">
        <w:rPr>
          <w:color w:val="auto"/>
        </w:rPr>
        <w:t xml:space="preserve"> for</w:t>
      </w:r>
      <w:r w:rsidR="001277F6" w:rsidRPr="001275A7">
        <w:rPr>
          <w:color w:val="auto"/>
        </w:rPr>
        <w:t xml:space="preserve"> </w:t>
      </w:r>
      <w:r w:rsidR="00970E87">
        <w:rPr>
          <w:color w:val="auto"/>
        </w:rPr>
        <w:t>41</w:t>
      </w:r>
      <w:r w:rsidR="00970E87" w:rsidRPr="001275A7">
        <w:rPr>
          <w:color w:val="auto"/>
        </w:rPr>
        <w:t> </w:t>
      </w:r>
      <w:r w:rsidR="00667BAD" w:rsidRPr="001275A7">
        <w:rPr>
          <w:color w:val="auto"/>
        </w:rPr>
        <w:t>per cent</w:t>
      </w:r>
      <w:r w:rsidR="00F06B75" w:rsidRPr="001275A7">
        <w:rPr>
          <w:color w:val="auto"/>
        </w:rPr>
        <w:t xml:space="preserve"> </w:t>
      </w:r>
      <w:r w:rsidR="00667BAD" w:rsidRPr="001275A7">
        <w:rPr>
          <w:color w:val="auto"/>
        </w:rPr>
        <w:t>(</w:t>
      </w:r>
      <w:r w:rsidR="00F06B75" w:rsidRPr="001275A7">
        <w:rPr>
          <w:color w:val="auto"/>
        </w:rPr>
        <w:t>$</w:t>
      </w:r>
      <w:r w:rsidR="00970E87">
        <w:rPr>
          <w:color w:val="auto"/>
        </w:rPr>
        <w:t>12.7</w:t>
      </w:r>
      <w:r w:rsidR="00EF0128" w:rsidRPr="001275A7">
        <w:rPr>
          <w:color w:val="auto"/>
        </w:rPr>
        <w:t> </w:t>
      </w:r>
      <w:r w:rsidR="00F06B75" w:rsidRPr="001275A7">
        <w:rPr>
          <w:color w:val="auto"/>
        </w:rPr>
        <w:t>billion</w:t>
      </w:r>
      <w:r w:rsidR="00667BAD" w:rsidRPr="0014267D">
        <w:rPr>
          <w:color w:val="auto"/>
        </w:rPr>
        <w:t>)</w:t>
      </w:r>
      <w:r w:rsidR="004E1310" w:rsidRPr="0014267D">
        <w:rPr>
          <w:color w:val="auto"/>
        </w:rPr>
        <w:t xml:space="preserve"> of </w:t>
      </w:r>
      <w:r w:rsidR="00630A28">
        <w:rPr>
          <w:color w:val="auto"/>
        </w:rPr>
        <w:t xml:space="preserve">the </w:t>
      </w:r>
      <w:r w:rsidR="00DE78C4">
        <w:rPr>
          <w:color w:val="auto"/>
        </w:rPr>
        <w:t>proposed investment</w:t>
      </w:r>
      <w:r w:rsidR="00667BAD" w:rsidRPr="0014267D">
        <w:rPr>
          <w:color w:val="auto"/>
        </w:rPr>
        <w:t xml:space="preserve"> in </w:t>
      </w:r>
      <w:r w:rsidR="00BD24F8">
        <w:rPr>
          <w:color w:val="auto"/>
        </w:rPr>
        <w:t>this sector</w:t>
      </w:r>
      <w:r w:rsidR="00F06B75" w:rsidRPr="0014267D">
        <w:rPr>
          <w:color w:val="auto"/>
        </w:rPr>
        <w:t>.</w:t>
      </w:r>
    </w:p>
    <w:p w:rsidR="00F06B75" w:rsidRDefault="00F06B75" w:rsidP="00183392">
      <w:pPr>
        <w:pStyle w:val="TableMainHeading"/>
      </w:pPr>
      <w:r>
        <w:t>Table 2.</w:t>
      </w:r>
      <w:r w:rsidR="00BF3B06">
        <w:t>5</w:t>
      </w:r>
      <w:r w:rsidR="00C450A2">
        <w:t xml:space="preserve">: </w:t>
      </w:r>
      <w:r>
        <w:t xml:space="preserve">Manufacturing sector approvals in </w:t>
      </w:r>
      <w:r w:rsidR="00310514" w:rsidRPr="00C6620A">
        <w:t>200</w:t>
      </w:r>
      <w:r w:rsidR="00FD148D">
        <w:t>7</w:t>
      </w:r>
      <w:r w:rsidR="007D00F8">
        <w:noBreakHyphen/>
      </w:r>
      <w:r w:rsidR="00310514" w:rsidRPr="00C6620A">
        <w:t>0</w:t>
      </w:r>
      <w:r w:rsidR="00FD148D">
        <w:t>8</w:t>
      </w:r>
      <w:r w:rsidR="00C9145B">
        <w:t xml:space="preserve"> </w:t>
      </w:r>
    </w:p>
    <w:p w:rsidR="00F06B75" w:rsidRPr="0018567C" w:rsidRDefault="005E06D1">
      <w:pPr>
        <w:pStyle w:val="TableGraphic"/>
        <w:rPr>
          <w:color w:val="auto"/>
        </w:rPr>
      </w:pPr>
      <w:r>
        <w:object w:dxaOrig="7692" w:dyaOrig="2265">
          <v:shape id="_x0000_i1034" type="#_x0000_t75" style="width:384.75pt;height:113.25pt" o:ole="">
            <v:imagedata r:id="rId30" o:title=""/>
          </v:shape>
          <o:OLEObject Type="Link" ProgID="Excel.Sheet.8" ShapeID="_x0000_i1034" DrawAspect="Content" r:id="rId31" UpdateMode="Always">
            <o:LinkType>Picture</o:LinkType>
            <o:LockedField>false</o:LockedField>
          </o:OLEObject>
        </w:object>
      </w:r>
    </w:p>
    <w:p w:rsidR="00F06B75" w:rsidRDefault="00B23A9F">
      <w:pPr>
        <w:pStyle w:val="ChartandTableFootnoteAlpha"/>
        <w:numPr>
          <w:ilvl w:val="0"/>
          <w:numId w:val="4"/>
        </w:numPr>
      </w:pPr>
      <w:r w:rsidRPr="00475926">
        <w:t>Comprises</w:t>
      </w:r>
      <w:r w:rsidR="00A958B3" w:rsidRPr="00475926">
        <w:t>:</w:t>
      </w:r>
      <w:r w:rsidR="001277F6" w:rsidRPr="00475926">
        <w:t xml:space="preserve"> </w:t>
      </w:r>
      <w:r w:rsidR="005E06D1">
        <w:t>n</w:t>
      </w:r>
      <w:r w:rsidR="005E06D1" w:rsidRPr="005E06D1">
        <w:t>on</w:t>
      </w:r>
      <w:r w:rsidR="007D00F8">
        <w:noBreakHyphen/>
      </w:r>
      <w:r w:rsidR="005E06D1" w:rsidRPr="005E06D1">
        <w:t>metallic mineral products</w:t>
      </w:r>
      <w:r w:rsidR="005E06D1">
        <w:t xml:space="preserve">; </w:t>
      </w:r>
      <w:r w:rsidR="007465D7" w:rsidRPr="00475926">
        <w:t>miscellaneous manufacturing</w:t>
      </w:r>
      <w:r w:rsidR="007465D7">
        <w:t xml:space="preserve">; and </w:t>
      </w:r>
      <w:r w:rsidR="007A1AE3" w:rsidRPr="00475926">
        <w:t>textiles</w:t>
      </w:r>
      <w:r w:rsidR="00231A6D" w:rsidRPr="00475926">
        <w:t>.</w:t>
      </w:r>
    </w:p>
    <w:p w:rsidR="00BE6943" w:rsidRDefault="00630A28" w:rsidP="00BE6943">
      <w:pPr>
        <w:pStyle w:val="ChartorTableNote"/>
      </w:pPr>
      <w:r>
        <w:t>Note:</w:t>
      </w:r>
      <w:r>
        <w:tab/>
        <w:t>Totals may not add due to rounding</w:t>
      </w:r>
      <w:r w:rsidR="00BE6943">
        <w:t>.</w:t>
      </w:r>
    </w:p>
    <w:p w:rsidR="00630A28" w:rsidRDefault="00BE6943" w:rsidP="0051204C">
      <w:pPr>
        <w:pStyle w:val="ChartorTableNote"/>
        <w:spacing w:after="240"/>
      </w:pPr>
      <w:r>
        <w:tab/>
      </w:r>
      <w:r w:rsidR="007D00F8">
        <w:t>‘</w:t>
      </w:r>
      <w:r w:rsidR="007D00F8">
        <w:noBreakHyphen/>
        <w:t>‘</w:t>
      </w:r>
      <w:r w:rsidR="00B93E23">
        <w:t xml:space="preserve"> i</w:t>
      </w:r>
      <w:r w:rsidR="00630A28" w:rsidRPr="008A5FC8">
        <w:t>ndicates a figure of zero.</w:t>
      </w:r>
    </w:p>
    <w:p w:rsidR="00F06B75" w:rsidRPr="0051204C" w:rsidRDefault="003D1C97" w:rsidP="006E77FF">
      <w:pPr>
        <w:pStyle w:val="Heading3"/>
      </w:pPr>
      <w:r>
        <w:br w:type="page"/>
      </w:r>
      <w:r w:rsidR="00F06B75" w:rsidRPr="0051204C">
        <w:lastRenderedPageBreak/>
        <w:t xml:space="preserve">Mineral exploration </w:t>
      </w:r>
      <w:r w:rsidR="00F06B75" w:rsidRPr="006E77FF">
        <w:t>a</w:t>
      </w:r>
      <w:r w:rsidR="00F06B75" w:rsidRPr="0051204C">
        <w:t>nd development</w:t>
      </w:r>
    </w:p>
    <w:p w:rsidR="00EF0128" w:rsidRDefault="00DE78C4" w:rsidP="00EF0128">
      <w:pPr>
        <w:rPr>
          <w:color w:val="auto"/>
        </w:rPr>
      </w:pPr>
      <w:r>
        <w:t>Proposed investment</w:t>
      </w:r>
      <w:r w:rsidR="00FE6A33">
        <w:t xml:space="preserve"> in the mineral exploration and development</w:t>
      </w:r>
      <w:r w:rsidR="004965E2">
        <w:t xml:space="preserve"> sector </w:t>
      </w:r>
      <w:r w:rsidR="00A3658F">
        <w:t>in</w:t>
      </w:r>
      <w:r w:rsidR="004965E2" w:rsidRPr="003D33F1">
        <w:t xml:space="preserve">creased </w:t>
      </w:r>
      <w:r w:rsidR="002B2FC7">
        <w:t xml:space="preserve">by </w:t>
      </w:r>
      <w:r w:rsidR="004010D0">
        <w:t>99 </w:t>
      </w:r>
      <w:r w:rsidR="002B2FC7">
        <w:t>per cent,</w:t>
      </w:r>
      <w:r w:rsidR="00984F80">
        <w:t xml:space="preserve"> </w:t>
      </w:r>
      <w:r w:rsidR="004965E2" w:rsidRPr="003D33F1">
        <w:t xml:space="preserve">from </w:t>
      </w:r>
      <w:r w:rsidR="004010D0">
        <w:rPr>
          <w:color w:val="auto"/>
        </w:rPr>
        <w:t xml:space="preserve">$32.3 billion in </w:t>
      </w:r>
      <w:r w:rsidR="004010D0">
        <w:t>2006</w:t>
      </w:r>
      <w:r w:rsidR="007D00F8">
        <w:noBreakHyphen/>
      </w:r>
      <w:r w:rsidR="004010D0">
        <w:t xml:space="preserve">07 to </w:t>
      </w:r>
      <w:r w:rsidR="004965E2" w:rsidRPr="003D33F1">
        <w:t>$</w:t>
      </w:r>
      <w:r w:rsidR="004010D0">
        <w:t>64.3</w:t>
      </w:r>
      <w:r w:rsidR="004965E2" w:rsidRPr="003D33F1">
        <w:t xml:space="preserve"> billion in </w:t>
      </w:r>
      <w:r w:rsidR="00131690" w:rsidRPr="003D33F1">
        <w:rPr>
          <w:color w:val="auto"/>
        </w:rPr>
        <w:t>200</w:t>
      </w:r>
      <w:r w:rsidR="004010D0">
        <w:rPr>
          <w:color w:val="auto"/>
        </w:rPr>
        <w:t>7</w:t>
      </w:r>
      <w:r w:rsidR="007D00F8">
        <w:rPr>
          <w:color w:val="auto"/>
        </w:rPr>
        <w:noBreakHyphen/>
      </w:r>
      <w:r w:rsidR="00131690" w:rsidRPr="003D33F1">
        <w:rPr>
          <w:color w:val="auto"/>
        </w:rPr>
        <w:t>0</w:t>
      </w:r>
      <w:r w:rsidR="004010D0">
        <w:rPr>
          <w:color w:val="auto"/>
        </w:rPr>
        <w:t>8, making it the largest industry sector by value</w:t>
      </w:r>
      <w:r w:rsidR="004965E2" w:rsidRPr="003D33F1">
        <w:t>.</w:t>
      </w:r>
      <w:r w:rsidR="00C75577" w:rsidRPr="003D33F1">
        <w:t xml:space="preserve"> </w:t>
      </w:r>
      <w:r w:rsidR="00A3658F">
        <w:rPr>
          <w:color w:val="auto"/>
        </w:rPr>
        <w:t>A total of</w:t>
      </w:r>
      <w:r w:rsidR="00666ED6" w:rsidRPr="003D33F1">
        <w:t xml:space="preserve"> </w:t>
      </w:r>
      <w:r w:rsidR="004010D0">
        <w:t>173</w:t>
      </w:r>
      <w:r w:rsidR="004010D0" w:rsidRPr="003D33F1">
        <w:t> </w:t>
      </w:r>
      <w:r w:rsidR="009B0724" w:rsidRPr="003D33F1">
        <w:t>proposals were approved</w:t>
      </w:r>
      <w:r w:rsidR="00A3658F">
        <w:t xml:space="preserve"> (compare</w:t>
      </w:r>
      <w:r w:rsidR="004339FA">
        <w:t>d</w:t>
      </w:r>
      <w:r w:rsidR="00A3658F">
        <w:t xml:space="preserve"> </w:t>
      </w:r>
      <w:r w:rsidR="00F620AF">
        <w:t>with</w:t>
      </w:r>
      <w:r w:rsidR="00A3658F">
        <w:t xml:space="preserve"> </w:t>
      </w:r>
      <w:r w:rsidR="004010D0">
        <w:t xml:space="preserve">141 </w:t>
      </w:r>
      <w:r w:rsidR="00A3658F">
        <w:t xml:space="preserve">in </w:t>
      </w:r>
      <w:r w:rsidR="00A3658F" w:rsidRPr="003D33F1">
        <w:rPr>
          <w:color w:val="auto"/>
        </w:rPr>
        <w:t>200</w:t>
      </w:r>
      <w:r w:rsidR="004010D0">
        <w:rPr>
          <w:color w:val="auto"/>
        </w:rPr>
        <w:t>6</w:t>
      </w:r>
      <w:r w:rsidR="007D00F8">
        <w:rPr>
          <w:color w:val="auto"/>
        </w:rPr>
        <w:noBreakHyphen/>
      </w:r>
      <w:r w:rsidR="00A3658F" w:rsidRPr="003D33F1">
        <w:rPr>
          <w:color w:val="auto"/>
        </w:rPr>
        <w:t>0</w:t>
      </w:r>
      <w:r w:rsidR="004010D0">
        <w:rPr>
          <w:color w:val="auto"/>
        </w:rPr>
        <w:t>7</w:t>
      </w:r>
      <w:r w:rsidR="00A3658F">
        <w:rPr>
          <w:color w:val="auto"/>
        </w:rPr>
        <w:t>)</w:t>
      </w:r>
      <w:r w:rsidR="00666ED6" w:rsidRPr="003D33F1">
        <w:t xml:space="preserve">, comprising </w:t>
      </w:r>
      <w:r w:rsidR="004010D0">
        <w:t>five</w:t>
      </w:r>
      <w:r w:rsidR="004010D0" w:rsidRPr="003D33F1">
        <w:t xml:space="preserve"> </w:t>
      </w:r>
      <w:r w:rsidR="009B0724" w:rsidRPr="003D33F1">
        <w:t>to establish</w:t>
      </w:r>
      <w:r w:rsidR="009B0724">
        <w:t xml:space="preserve"> new busin</w:t>
      </w:r>
      <w:r w:rsidR="00666ED6">
        <w:t xml:space="preserve">esses and </w:t>
      </w:r>
      <w:r w:rsidR="00A3658F">
        <w:t>1</w:t>
      </w:r>
      <w:r w:rsidR="004010D0">
        <w:t>68</w:t>
      </w:r>
      <w:r w:rsidR="004965E2">
        <w:t xml:space="preserve"> </w:t>
      </w:r>
      <w:r w:rsidR="00551AEE">
        <w:t xml:space="preserve">to </w:t>
      </w:r>
      <w:r w:rsidR="009B0724">
        <w:t>acqui</w:t>
      </w:r>
      <w:r w:rsidR="00551AEE">
        <w:t>re</w:t>
      </w:r>
      <w:r w:rsidR="009B0724">
        <w:t xml:space="preserve"> </w:t>
      </w:r>
      <w:r w:rsidR="00551AEE">
        <w:t>an</w:t>
      </w:r>
      <w:r w:rsidR="009B0724">
        <w:t xml:space="preserve"> interest in existing businesses. </w:t>
      </w:r>
      <w:r w:rsidR="007B1A9D">
        <w:t xml:space="preserve">There were </w:t>
      </w:r>
      <w:r w:rsidR="00D23E50">
        <w:rPr>
          <w:color w:val="auto"/>
        </w:rPr>
        <w:t>83 </w:t>
      </w:r>
      <w:r w:rsidR="007B1A9D">
        <w:rPr>
          <w:color w:val="auto"/>
        </w:rPr>
        <w:t>proposals involving total</w:t>
      </w:r>
      <w:r w:rsidR="004E1310">
        <w:rPr>
          <w:color w:val="auto"/>
        </w:rPr>
        <w:t xml:space="preserve"> investment of</w:t>
      </w:r>
      <w:r w:rsidR="00853539">
        <w:rPr>
          <w:color w:val="auto"/>
        </w:rPr>
        <w:t xml:space="preserve"> $100</w:t>
      </w:r>
      <w:r w:rsidR="00EF0128">
        <w:rPr>
          <w:color w:val="auto"/>
        </w:rPr>
        <w:t> </w:t>
      </w:r>
      <w:r w:rsidR="00853539">
        <w:rPr>
          <w:color w:val="auto"/>
        </w:rPr>
        <w:t>million</w:t>
      </w:r>
      <w:r w:rsidR="004E1310">
        <w:rPr>
          <w:color w:val="auto"/>
        </w:rPr>
        <w:t xml:space="preserve"> or more</w:t>
      </w:r>
      <w:bookmarkStart w:id="24" w:name="OLE_LINK1"/>
      <w:bookmarkStart w:id="25" w:name="OLE_LINK2"/>
      <w:r w:rsidR="00EF0128">
        <w:rPr>
          <w:color w:val="auto"/>
        </w:rPr>
        <w:t>, including</w:t>
      </w:r>
      <w:r w:rsidR="00635728">
        <w:rPr>
          <w:color w:val="auto"/>
        </w:rPr>
        <w:t xml:space="preserve"> </w:t>
      </w:r>
      <w:r w:rsidR="00D23E50">
        <w:rPr>
          <w:color w:val="auto"/>
        </w:rPr>
        <w:t>12</w:t>
      </w:r>
      <w:r w:rsidR="006552D6">
        <w:rPr>
          <w:color w:val="auto"/>
        </w:rPr>
        <w:t xml:space="preserve"> </w:t>
      </w:r>
      <w:r w:rsidR="00853539" w:rsidRPr="00E7543D">
        <w:rPr>
          <w:color w:val="auto"/>
        </w:rPr>
        <w:t xml:space="preserve">for </w:t>
      </w:r>
      <w:bookmarkStart w:id="26" w:name="OLE_LINK34"/>
      <w:bookmarkStart w:id="27" w:name="OLE_LINK35"/>
      <w:r w:rsidR="00853539" w:rsidRPr="00D43030">
        <w:rPr>
          <w:color w:val="auto"/>
        </w:rPr>
        <w:t>$1 billion</w:t>
      </w:r>
      <w:bookmarkEnd w:id="24"/>
      <w:bookmarkEnd w:id="25"/>
      <w:r w:rsidR="006552D6">
        <w:rPr>
          <w:color w:val="auto"/>
        </w:rPr>
        <w:t xml:space="preserve"> or more</w:t>
      </w:r>
      <w:bookmarkEnd w:id="26"/>
      <w:bookmarkEnd w:id="27"/>
      <w:r w:rsidR="00D23E50">
        <w:rPr>
          <w:color w:val="auto"/>
        </w:rPr>
        <w:t xml:space="preserve"> (compared with six for </w:t>
      </w:r>
      <w:r w:rsidR="00D23E50" w:rsidRPr="00D43030">
        <w:rPr>
          <w:color w:val="auto"/>
        </w:rPr>
        <w:t>$1 billion</w:t>
      </w:r>
      <w:r w:rsidR="00D23E50">
        <w:rPr>
          <w:color w:val="auto"/>
        </w:rPr>
        <w:t xml:space="preserve"> or more in 2006</w:t>
      </w:r>
      <w:r w:rsidR="007D00F8">
        <w:rPr>
          <w:color w:val="auto"/>
        </w:rPr>
        <w:noBreakHyphen/>
      </w:r>
      <w:r w:rsidR="00D23E50">
        <w:rPr>
          <w:color w:val="auto"/>
        </w:rPr>
        <w:t>07)</w:t>
      </w:r>
      <w:r w:rsidR="00D43030" w:rsidRPr="00D43030">
        <w:rPr>
          <w:color w:val="auto"/>
        </w:rPr>
        <w:t>.</w:t>
      </w:r>
      <w:r w:rsidR="00C35588" w:rsidRPr="00D43030">
        <w:rPr>
          <w:color w:val="auto"/>
        </w:rPr>
        <w:t xml:space="preserve"> </w:t>
      </w:r>
      <w:r w:rsidR="00D43030" w:rsidRPr="00D43030">
        <w:rPr>
          <w:color w:val="auto"/>
        </w:rPr>
        <w:t>The</w:t>
      </w:r>
      <w:r w:rsidR="00D23E50">
        <w:rPr>
          <w:color w:val="auto"/>
        </w:rPr>
        <w:t xml:space="preserve">se 12 </w:t>
      </w:r>
      <w:r w:rsidR="00D32D08">
        <w:rPr>
          <w:color w:val="auto"/>
        </w:rPr>
        <w:t>proposals, one of which was valued at $10.5</w:t>
      </w:r>
      <w:r w:rsidR="00D5008A">
        <w:rPr>
          <w:color w:val="auto"/>
        </w:rPr>
        <w:t> </w:t>
      </w:r>
      <w:r w:rsidR="00D32D08">
        <w:rPr>
          <w:color w:val="auto"/>
        </w:rPr>
        <w:t>billion</w:t>
      </w:r>
      <w:r w:rsidR="005D1998">
        <w:rPr>
          <w:color w:val="auto"/>
        </w:rPr>
        <w:t xml:space="preserve">, </w:t>
      </w:r>
      <w:r w:rsidR="00D23E50">
        <w:rPr>
          <w:color w:val="auto"/>
        </w:rPr>
        <w:t>accounted for</w:t>
      </w:r>
      <w:r w:rsidR="00D43030" w:rsidRPr="00D43030">
        <w:rPr>
          <w:color w:val="auto"/>
        </w:rPr>
        <w:t xml:space="preserve"> </w:t>
      </w:r>
      <w:r w:rsidR="00D32D08">
        <w:rPr>
          <w:color w:val="auto"/>
        </w:rPr>
        <w:t xml:space="preserve">a </w:t>
      </w:r>
      <w:r w:rsidR="00C35588" w:rsidRPr="00D43030">
        <w:t xml:space="preserve">combined </w:t>
      </w:r>
      <w:r w:rsidR="00B1559C" w:rsidRPr="00D43030">
        <w:t>proposed</w:t>
      </w:r>
      <w:r w:rsidR="00C35588" w:rsidRPr="00D43030">
        <w:t xml:space="preserve"> investment in excess of $</w:t>
      </w:r>
      <w:r w:rsidR="00D23E50">
        <w:t>34</w:t>
      </w:r>
      <w:r w:rsidR="00D23E50" w:rsidRPr="00D43030">
        <w:t> </w:t>
      </w:r>
      <w:r w:rsidR="00C35588" w:rsidRPr="00D43030">
        <w:t>billion</w:t>
      </w:r>
      <w:r w:rsidR="00CA2B45">
        <w:t xml:space="preserve"> (53 per cent of the proposed investment in this sector)</w:t>
      </w:r>
      <w:r w:rsidR="00B55475">
        <w:t xml:space="preserve">. </w:t>
      </w:r>
    </w:p>
    <w:p w:rsidR="00F06B75" w:rsidRDefault="00F06B75" w:rsidP="00183392">
      <w:pPr>
        <w:pStyle w:val="TableMainHeading"/>
      </w:pPr>
      <w:r>
        <w:t>Table 2.</w:t>
      </w:r>
      <w:r w:rsidR="00BF3B06">
        <w:t>6</w:t>
      </w:r>
      <w:r w:rsidR="00C450A2">
        <w:t xml:space="preserve">: </w:t>
      </w:r>
      <w:r>
        <w:t>Mineral</w:t>
      </w:r>
      <w:r w:rsidR="004965E2">
        <w:t xml:space="preserve"> exploration and development</w:t>
      </w:r>
      <w:r>
        <w:t xml:space="preserve"> sector approvals</w:t>
      </w:r>
      <w:r w:rsidR="00C9145B">
        <w:t xml:space="preserve"> </w:t>
      </w:r>
      <w:r w:rsidR="00131690">
        <w:t>200</w:t>
      </w:r>
      <w:r w:rsidR="00FD148D">
        <w:t>6</w:t>
      </w:r>
      <w:r w:rsidR="007D00F8">
        <w:noBreakHyphen/>
      </w:r>
      <w:r w:rsidR="00131690">
        <w:t>0</w:t>
      </w:r>
      <w:r w:rsidR="00FD148D">
        <w:t>7</w:t>
      </w:r>
      <w:r w:rsidR="00310514">
        <w:t xml:space="preserve"> to </w:t>
      </w:r>
      <w:r w:rsidR="00310514" w:rsidRPr="00C6620A">
        <w:t>200</w:t>
      </w:r>
      <w:r w:rsidR="00FD148D">
        <w:t>7</w:t>
      </w:r>
      <w:r w:rsidR="007D00F8">
        <w:noBreakHyphen/>
      </w:r>
      <w:r w:rsidR="00310514" w:rsidRPr="00C6620A">
        <w:t>0</w:t>
      </w:r>
      <w:r w:rsidR="00FD148D">
        <w:t>8</w:t>
      </w:r>
    </w:p>
    <w:p w:rsidR="00F06B75" w:rsidRPr="00A73D41" w:rsidRDefault="00362070">
      <w:pPr>
        <w:pStyle w:val="TableGraphic"/>
      </w:pPr>
      <w:r>
        <w:object w:dxaOrig="7692" w:dyaOrig="3293">
          <v:shape id="_x0000_i1035" type="#_x0000_t75" style="width:384.75pt;height:165pt" o:ole="">
            <v:imagedata r:id="rId32" o:title=""/>
          </v:shape>
          <o:OLEObject Type="Link" ProgID="Excel.Sheet.8" ShapeID="_x0000_i1035" DrawAspect="Content" r:id="rId33" UpdateMode="Always">
            <o:LinkType>Picture</o:LinkType>
            <o:LockedField>false</o:LockedField>
          </o:OLEObject>
        </w:object>
      </w:r>
    </w:p>
    <w:p w:rsidR="00FC7B5C" w:rsidRPr="00475926" w:rsidRDefault="00523436" w:rsidP="00972C86">
      <w:pPr>
        <w:pStyle w:val="ChartandTableFootnoteAlpha"/>
        <w:numPr>
          <w:ilvl w:val="0"/>
          <w:numId w:val="17"/>
        </w:numPr>
      </w:pPr>
      <w:r>
        <w:t>From 2005</w:t>
      </w:r>
      <w:r w:rsidR="007D00F8">
        <w:noBreakHyphen/>
      </w:r>
      <w:r>
        <w:t>06 onwards, c</w:t>
      </w:r>
      <w:r w:rsidRPr="00475926">
        <w:t>opper and gold are</w:t>
      </w:r>
      <w:r w:rsidRPr="00475926" w:rsidDel="00523436">
        <w:t xml:space="preserve"> </w:t>
      </w:r>
      <w:r w:rsidRPr="00475926">
        <w:t>reported jointly</w:t>
      </w:r>
      <w:r w:rsidRPr="00475926" w:rsidDel="00523436">
        <w:t xml:space="preserve"> </w:t>
      </w:r>
      <w:r>
        <w:t>s</w:t>
      </w:r>
      <w:r w:rsidR="00FC7B5C" w:rsidRPr="00475926">
        <w:t xml:space="preserve">ince </w:t>
      </w:r>
      <w:r>
        <w:t xml:space="preserve">they are </w:t>
      </w:r>
      <w:r w:rsidR="00FC7B5C" w:rsidRPr="00475926">
        <w:t>often mined together</w:t>
      </w:r>
      <w:r>
        <w:t>.</w:t>
      </w:r>
      <w:r w:rsidR="00FC7B5C" w:rsidRPr="00475926">
        <w:t xml:space="preserve"> </w:t>
      </w:r>
    </w:p>
    <w:p w:rsidR="00FC7B5C" w:rsidRDefault="00B23A9F" w:rsidP="00972C86">
      <w:pPr>
        <w:pStyle w:val="ChartandTableFootnoteAlpha"/>
        <w:numPr>
          <w:ilvl w:val="0"/>
          <w:numId w:val="17"/>
        </w:numPr>
      </w:pPr>
      <w:r w:rsidRPr="00475926">
        <w:t>Comprises</w:t>
      </w:r>
      <w:r w:rsidR="00FC7B5C" w:rsidRPr="00475926">
        <w:t xml:space="preserve">: </w:t>
      </w:r>
      <w:r w:rsidR="007465D7" w:rsidRPr="00475926">
        <w:t>services to mining and exploration</w:t>
      </w:r>
      <w:r w:rsidR="007465D7">
        <w:t>; and</w:t>
      </w:r>
      <w:r w:rsidR="007465D7" w:rsidRPr="00475926">
        <w:t xml:space="preserve"> </w:t>
      </w:r>
      <w:r w:rsidR="00FC7B5C" w:rsidRPr="00475926">
        <w:t>non</w:t>
      </w:r>
      <w:r w:rsidR="007D00F8">
        <w:noBreakHyphen/>
      </w:r>
      <w:r w:rsidR="00FC7B5C" w:rsidRPr="00475926">
        <w:t>metallic minerals.</w:t>
      </w:r>
    </w:p>
    <w:p w:rsidR="00BD44B1" w:rsidRDefault="00906E0E" w:rsidP="00906E0E">
      <w:pPr>
        <w:pStyle w:val="ChartorTableNote"/>
      </w:pPr>
      <w:r>
        <w:t>Note:</w:t>
      </w:r>
      <w:r>
        <w:tab/>
        <w:t>Totals may not add due to rounding</w:t>
      </w:r>
      <w:r w:rsidR="00BD44B1">
        <w:t>.</w:t>
      </w:r>
      <w:r>
        <w:t xml:space="preserve"> </w:t>
      </w:r>
    </w:p>
    <w:p w:rsidR="00906E0E" w:rsidRDefault="00BD44B1" w:rsidP="00906E0E">
      <w:pPr>
        <w:pStyle w:val="ChartorTableNote"/>
      </w:pPr>
      <w:r>
        <w:tab/>
      </w:r>
      <w:r w:rsidR="007D00F8">
        <w:t>‘</w:t>
      </w:r>
      <w:r w:rsidR="007D00F8">
        <w:noBreakHyphen/>
        <w:t>‘</w:t>
      </w:r>
      <w:r w:rsidR="00B93E23">
        <w:t xml:space="preserve"> i</w:t>
      </w:r>
      <w:r w:rsidR="00906E0E" w:rsidRPr="008A5FC8">
        <w:t>ndicates a figure of zero.</w:t>
      </w:r>
    </w:p>
    <w:p w:rsidR="009A0BD5" w:rsidRPr="00475926" w:rsidRDefault="009A0BD5" w:rsidP="009A0BD5">
      <w:pPr>
        <w:pStyle w:val="SingleParagraph"/>
      </w:pPr>
    </w:p>
    <w:p w:rsidR="000E3C40" w:rsidRDefault="000E3C40" w:rsidP="000E3C40">
      <w:pPr>
        <w:pStyle w:val="Heading3"/>
      </w:pPr>
      <w:r>
        <w:t>Resource processing</w:t>
      </w:r>
    </w:p>
    <w:p w:rsidR="00ED67F6" w:rsidRDefault="00CA2B45" w:rsidP="00ED67F6">
      <w:r>
        <w:t>There was a decrease in p</w:t>
      </w:r>
      <w:r w:rsidR="00ED67F6">
        <w:t>roposed foreign</w:t>
      </w:r>
      <w:r w:rsidR="00ED67F6" w:rsidRPr="000620A5">
        <w:t xml:space="preserve"> investment in the </w:t>
      </w:r>
      <w:r w:rsidR="00ED67F6">
        <w:t>resource processing</w:t>
      </w:r>
      <w:r w:rsidR="00ED67F6" w:rsidRPr="000620A5">
        <w:t xml:space="preserve"> sector</w:t>
      </w:r>
      <w:r w:rsidR="007C18B2">
        <w:t>,</w:t>
      </w:r>
      <w:r w:rsidR="00ED67F6" w:rsidRPr="000620A5">
        <w:t xml:space="preserve"> </w:t>
      </w:r>
      <w:r w:rsidR="009545F3">
        <w:t xml:space="preserve">with </w:t>
      </w:r>
      <w:r>
        <w:t>three</w:t>
      </w:r>
      <w:r w:rsidR="009545F3">
        <w:t xml:space="preserve"> </w:t>
      </w:r>
      <w:r w:rsidR="00ED67F6">
        <w:t xml:space="preserve">approvals </w:t>
      </w:r>
      <w:r w:rsidR="00ED67F6" w:rsidRPr="000620A5">
        <w:t xml:space="preserve">in </w:t>
      </w:r>
      <w:r w:rsidR="00ED67F6">
        <w:t>200</w:t>
      </w:r>
      <w:r>
        <w:t>7</w:t>
      </w:r>
      <w:r w:rsidR="007D00F8">
        <w:noBreakHyphen/>
      </w:r>
      <w:r w:rsidR="00ED67F6">
        <w:t>0</w:t>
      </w:r>
      <w:r w:rsidR="00BE2978">
        <w:t xml:space="preserve">8, compared to </w:t>
      </w:r>
      <w:r>
        <w:t>eight in 2006</w:t>
      </w:r>
      <w:r w:rsidR="007D00F8">
        <w:noBreakHyphen/>
      </w:r>
      <w:r>
        <w:t>07</w:t>
      </w:r>
      <w:r w:rsidR="005D1998">
        <w:t xml:space="preserve"> (</w:t>
      </w:r>
      <w:r w:rsidR="007C18B2">
        <w:t xml:space="preserve">and none </w:t>
      </w:r>
      <w:r w:rsidR="00033886">
        <w:t xml:space="preserve">in the previous </w:t>
      </w:r>
      <w:r w:rsidR="00AF6BFE">
        <w:t>two years</w:t>
      </w:r>
      <w:r w:rsidR="006469B4">
        <w:t>)</w:t>
      </w:r>
      <w:r w:rsidR="00ED67F6">
        <w:t xml:space="preserve">. Total proposed investment was </w:t>
      </w:r>
      <w:r w:rsidR="00BE2978">
        <w:t>$221 million (</w:t>
      </w:r>
      <w:r w:rsidR="00ED67F6" w:rsidRPr="000620A5">
        <w:t>$</w:t>
      </w:r>
      <w:r w:rsidR="00ED67F6">
        <w:t>3.7</w:t>
      </w:r>
      <w:r w:rsidR="00ED67F6" w:rsidRPr="000620A5">
        <w:t xml:space="preserve"> billion</w:t>
      </w:r>
      <w:r w:rsidR="00BE2978">
        <w:t xml:space="preserve"> in 2006</w:t>
      </w:r>
      <w:r w:rsidR="007D00F8">
        <w:noBreakHyphen/>
      </w:r>
      <w:r w:rsidR="00BE2978">
        <w:t>07)</w:t>
      </w:r>
      <w:r w:rsidR="00ED67F6">
        <w:t>, including one proposal involving</w:t>
      </w:r>
      <w:r w:rsidR="00ED67F6" w:rsidRPr="00E7543D">
        <w:t xml:space="preserve"> investment of </w:t>
      </w:r>
      <w:r w:rsidR="006250A0">
        <w:t>approximately</w:t>
      </w:r>
      <w:r w:rsidR="00ED67F6" w:rsidRPr="00E7543D">
        <w:rPr>
          <w:color w:val="auto"/>
        </w:rPr>
        <w:t xml:space="preserve"> $</w:t>
      </w:r>
      <w:r w:rsidR="00BE2978">
        <w:rPr>
          <w:color w:val="auto"/>
        </w:rPr>
        <w:t>137</w:t>
      </w:r>
      <w:r w:rsidR="00ED67F6" w:rsidRPr="00E7543D">
        <w:rPr>
          <w:color w:val="auto"/>
        </w:rPr>
        <w:t> </w:t>
      </w:r>
      <w:r w:rsidR="00BE2978">
        <w:rPr>
          <w:color w:val="auto"/>
        </w:rPr>
        <w:t>m</w:t>
      </w:r>
      <w:r w:rsidR="00ED67F6" w:rsidRPr="00E7543D">
        <w:rPr>
          <w:color w:val="auto"/>
        </w:rPr>
        <w:t>illion</w:t>
      </w:r>
      <w:r w:rsidR="00BE2978">
        <w:rPr>
          <w:color w:val="auto"/>
        </w:rPr>
        <w:t xml:space="preserve"> (or 62 per cent of proposed investment in this sector</w:t>
      </w:r>
      <w:r w:rsidR="00B569BC">
        <w:rPr>
          <w:color w:val="auto"/>
        </w:rPr>
        <w:t>)</w:t>
      </w:r>
      <w:r w:rsidR="00ED67F6" w:rsidRPr="00E7543D">
        <w:rPr>
          <w:color w:val="auto"/>
        </w:rPr>
        <w:t>.</w:t>
      </w:r>
      <w:r w:rsidR="00ED67F6">
        <w:rPr>
          <w:color w:val="auto"/>
        </w:rPr>
        <w:t xml:space="preserve"> </w:t>
      </w:r>
    </w:p>
    <w:p w:rsidR="00F06B75" w:rsidRDefault="00F06B75" w:rsidP="002D67CD">
      <w:pPr>
        <w:pStyle w:val="Heading3"/>
        <w:spacing w:before="170" w:after="113"/>
      </w:pPr>
      <w:r>
        <w:t xml:space="preserve">Services </w:t>
      </w:r>
    </w:p>
    <w:p w:rsidR="004E1310" w:rsidRPr="00FE24BA" w:rsidRDefault="00B069DC">
      <w:pPr>
        <w:rPr>
          <w:color w:val="auto"/>
        </w:rPr>
      </w:pPr>
      <w:r w:rsidRPr="00C95BF0">
        <w:t>During</w:t>
      </w:r>
      <w:r w:rsidRPr="000620A5">
        <w:t xml:space="preserve"> </w:t>
      </w:r>
      <w:r>
        <w:t>200</w:t>
      </w:r>
      <w:r w:rsidR="00FD3547">
        <w:t>7</w:t>
      </w:r>
      <w:r w:rsidR="007D00F8">
        <w:noBreakHyphen/>
      </w:r>
      <w:r>
        <w:t>0</w:t>
      </w:r>
      <w:r w:rsidR="00FD3547">
        <w:t>8</w:t>
      </w:r>
      <w:r>
        <w:t>, p</w:t>
      </w:r>
      <w:r w:rsidR="00BD4CBF">
        <w:t xml:space="preserve">roposed investment in the </w:t>
      </w:r>
      <w:r w:rsidR="00BD4CBF" w:rsidRPr="00C95BF0">
        <w:t>services industry</w:t>
      </w:r>
      <w:r w:rsidR="00BD4CBF">
        <w:t xml:space="preserve"> </w:t>
      </w:r>
      <w:r w:rsidR="00BD4CBF" w:rsidRPr="00692641">
        <w:t>sector</w:t>
      </w:r>
      <w:r>
        <w:t xml:space="preserve"> increased</w:t>
      </w:r>
      <w:r w:rsidR="00BD4CBF">
        <w:t xml:space="preserve"> </w:t>
      </w:r>
      <w:r w:rsidR="00FD3547">
        <w:t xml:space="preserve">by 24 per cent, from </w:t>
      </w:r>
      <w:r w:rsidR="00FD3547" w:rsidRPr="00692641">
        <w:t>$</w:t>
      </w:r>
      <w:r w:rsidR="00FD3547">
        <w:t>28.9</w:t>
      </w:r>
      <w:r w:rsidR="00FD3547" w:rsidRPr="00692641">
        <w:t> billion</w:t>
      </w:r>
      <w:r w:rsidR="00FD3547">
        <w:t xml:space="preserve"> in 2006</w:t>
      </w:r>
      <w:r w:rsidR="007D00F8">
        <w:noBreakHyphen/>
      </w:r>
      <w:r w:rsidR="00FD3547">
        <w:t xml:space="preserve">07 to </w:t>
      </w:r>
      <w:r w:rsidR="00FD3547" w:rsidRPr="00692641">
        <w:t>$</w:t>
      </w:r>
      <w:r w:rsidR="00FD3547">
        <w:t>35.7</w:t>
      </w:r>
      <w:r w:rsidR="00FD3547" w:rsidRPr="00692641">
        <w:t> billion</w:t>
      </w:r>
      <w:r w:rsidR="00FD3547">
        <w:t xml:space="preserve"> in </w:t>
      </w:r>
      <w:r w:rsidR="00FD3547">
        <w:rPr>
          <w:color w:val="auto"/>
        </w:rPr>
        <w:t>2007</w:t>
      </w:r>
      <w:r w:rsidR="007D00F8">
        <w:rPr>
          <w:color w:val="auto"/>
        </w:rPr>
        <w:noBreakHyphen/>
      </w:r>
      <w:r w:rsidR="00FD3547" w:rsidRPr="00C95BF0">
        <w:rPr>
          <w:color w:val="auto"/>
        </w:rPr>
        <w:t>0</w:t>
      </w:r>
      <w:r w:rsidR="00FD3547">
        <w:rPr>
          <w:color w:val="auto"/>
        </w:rPr>
        <w:t>8.</w:t>
      </w:r>
      <w:r w:rsidR="00FD3547">
        <w:t xml:space="preserve"> However, the number of proposals decreased slightly, with </w:t>
      </w:r>
      <w:r w:rsidR="00B916A4" w:rsidRPr="00C95BF0">
        <w:t>1</w:t>
      </w:r>
      <w:r w:rsidR="00FD3547">
        <w:t>09</w:t>
      </w:r>
      <w:r w:rsidR="0019113D">
        <w:t xml:space="preserve"> </w:t>
      </w:r>
      <w:r w:rsidR="00F06B75" w:rsidRPr="00C95BF0">
        <w:t xml:space="preserve">proposals </w:t>
      </w:r>
      <w:r w:rsidR="00BD4CBF">
        <w:t>(</w:t>
      </w:r>
      <w:r w:rsidR="004575FA">
        <w:t>11</w:t>
      </w:r>
      <w:r w:rsidR="00FD3547">
        <w:t>6</w:t>
      </w:r>
      <w:r w:rsidR="004575FA">
        <w:t xml:space="preserve"> </w:t>
      </w:r>
      <w:r w:rsidR="00BD4CBF">
        <w:t xml:space="preserve">in </w:t>
      </w:r>
      <w:r w:rsidRPr="00C95BF0">
        <w:rPr>
          <w:color w:val="auto"/>
        </w:rPr>
        <w:t>200</w:t>
      </w:r>
      <w:r w:rsidR="00FD3547">
        <w:rPr>
          <w:color w:val="auto"/>
        </w:rPr>
        <w:t>6</w:t>
      </w:r>
      <w:r w:rsidR="007D00F8">
        <w:rPr>
          <w:color w:val="auto"/>
        </w:rPr>
        <w:noBreakHyphen/>
      </w:r>
      <w:r w:rsidRPr="00C95BF0">
        <w:rPr>
          <w:color w:val="auto"/>
        </w:rPr>
        <w:t>0</w:t>
      </w:r>
      <w:r w:rsidR="00FD3547">
        <w:rPr>
          <w:color w:val="auto"/>
        </w:rPr>
        <w:t>7</w:t>
      </w:r>
      <w:r w:rsidR="00BD4CBF">
        <w:t>)</w:t>
      </w:r>
      <w:r w:rsidR="00FD3547">
        <w:t>.</w:t>
      </w:r>
      <w:r w:rsidR="008C0AB6" w:rsidRPr="00692641">
        <w:t xml:space="preserve"> Proposals in the </w:t>
      </w:r>
      <w:r w:rsidR="008B574B">
        <w:t>construction</w:t>
      </w:r>
      <w:r w:rsidR="008B574B" w:rsidRPr="00692641">
        <w:t xml:space="preserve"> </w:t>
      </w:r>
      <w:r w:rsidR="008C0AB6" w:rsidRPr="00692641">
        <w:t>industry accounted for</w:t>
      </w:r>
      <w:r w:rsidR="00E505A1" w:rsidRPr="00692641">
        <w:t xml:space="preserve"> around</w:t>
      </w:r>
      <w:r w:rsidR="008C0AB6" w:rsidRPr="00692641">
        <w:t xml:space="preserve"> </w:t>
      </w:r>
      <w:r>
        <w:t>3</w:t>
      </w:r>
      <w:r w:rsidR="008B574B">
        <w:t>5</w:t>
      </w:r>
      <w:r w:rsidR="00E505A1" w:rsidRPr="00692641">
        <w:t> per cent (</w:t>
      </w:r>
      <w:bookmarkStart w:id="28" w:name="OLE_LINK5"/>
      <w:bookmarkStart w:id="29" w:name="OLE_LINK6"/>
      <w:r w:rsidR="008C0AB6" w:rsidRPr="00692641">
        <w:t>$</w:t>
      </w:r>
      <w:r w:rsidR="008B574B">
        <w:t>12.5</w:t>
      </w:r>
      <w:r w:rsidR="008C0AB6" w:rsidRPr="00692641">
        <w:t> billion</w:t>
      </w:r>
      <w:bookmarkEnd w:id="28"/>
      <w:bookmarkEnd w:id="29"/>
      <w:r w:rsidR="00E505A1" w:rsidRPr="00692641">
        <w:t>)</w:t>
      </w:r>
      <w:r w:rsidR="008C0AB6" w:rsidRPr="00692641">
        <w:t xml:space="preserve"> </w:t>
      </w:r>
      <w:r w:rsidR="00B72504" w:rsidRPr="00692641">
        <w:t xml:space="preserve">of total </w:t>
      </w:r>
      <w:r w:rsidR="00CF1DEF" w:rsidRPr="00692641">
        <w:t xml:space="preserve">approved </w:t>
      </w:r>
      <w:r w:rsidR="00B72504" w:rsidRPr="00692641">
        <w:t>investment.</w:t>
      </w:r>
      <w:r w:rsidR="00BE169E" w:rsidRPr="00692641">
        <w:t xml:space="preserve"> </w:t>
      </w:r>
      <w:r w:rsidR="00C03907" w:rsidRPr="00692641">
        <w:t>Ther</w:t>
      </w:r>
      <w:r w:rsidR="00B916A4" w:rsidRPr="00692641">
        <w:t xml:space="preserve">e were </w:t>
      </w:r>
      <w:r w:rsidR="008B574B">
        <w:t>62</w:t>
      </w:r>
      <w:r w:rsidR="00AC03AC" w:rsidRPr="00692641">
        <w:t> </w:t>
      </w:r>
      <w:r w:rsidR="00C03907" w:rsidRPr="00692641">
        <w:t xml:space="preserve">proposals involving </w:t>
      </w:r>
      <w:r w:rsidR="00CF1DEF" w:rsidRPr="00692641">
        <w:t xml:space="preserve">proposed </w:t>
      </w:r>
      <w:r w:rsidR="00C03907" w:rsidRPr="00692641">
        <w:t xml:space="preserve">investment of </w:t>
      </w:r>
      <w:r w:rsidR="00C44544" w:rsidRPr="00692641">
        <w:lastRenderedPageBreak/>
        <w:t>$100 million</w:t>
      </w:r>
      <w:r w:rsidR="004E1310" w:rsidRPr="00692641">
        <w:t xml:space="preserve"> or</w:t>
      </w:r>
      <w:r w:rsidR="004E1310" w:rsidRPr="00C95BF0">
        <w:t xml:space="preserve"> </w:t>
      </w:r>
      <w:r w:rsidR="004E1310" w:rsidRPr="007B686B">
        <w:t>more</w:t>
      </w:r>
      <w:r w:rsidR="00CF1DEF" w:rsidRPr="007B686B">
        <w:t>, including</w:t>
      </w:r>
      <w:r w:rsidR="00C44544" w:rsidRPr="007B686B">
        <w:t xml:space="preserve"> </w:t>
      </w:r>
      <w:r w:rsidR="008B574B">
        <w:t>eight</w:t>
      </w:r>
      <w:r w:rsidR="008B574B" w:rsidRPr="007B686B">
        <w:t xml:space="preserve"> </w:t>
      </w:r>
      <w:r w:rsidR="00CF1DEF" w:rsidRPr="007B686B">
        <w:t>of</w:t>
      </w:r>
      <w:r w:rsidR="00C44544" w:rsidRPr="007B686B">
        <w:t xml:space="preserve"> </w:t>
      </w:r>
      <w:r w:rsidR="00C03907" w:rsidRPr="007B686B">
        <w:t>$1 billion</w:t>
      </w:r>
      <w:r w:rsidR="00C44544" w:rsidRPr="007B686B">
        <w:t xml:space="preserve"> or more</w:t>
      </w:r>
      <w:r w:rsidR="00C03907" w:rsidRPr="007B686B">
        <w:t>.</w:t>
      </w:r>
      <w:r w:rsidR="000F4C90">
        <w:t xml:space="preserve"> Of these eight proposals, two in the construction industry accounted for </w:t>
      </w:r>
      <w:r w:rsidR="0047121A">
        <w:t xml:space="preserve">a total of </w:t>
      </w:r>
      <w:r w:rsidR="000F4C90">
        <w:t>$9.9 billion (or 28 per cent of total proposed investment in the sector).</w:t>
      </w:r>
      <w:r w:rsidR="00C03907" w:rsidRPr="007B686B">
        <w:t xml:space="preserve"> </w:t>
      </w:r>
    </w:p>
    <w:p w:rsidR="00F06B75" w:rsidRDefault="00F06B75" w:rsidP="00183392">
      <w:pPr>
        <w:pStyle w:val="TableMainHeading"/>
      </w:pPr>
      <w:r>
        <w:t>Table 2.</w:t>
      </w:r>
      <w:r w:rsidR="00BF3B06">
        <w:t>7</w:t>
      </w:r>
      <w:r w:rsidR="00C450A2">
        <w:t xml:space="preserve">: </w:t>
      </w:r>
      <w:r>
        <w:t xml:space="preserve">Services sector approvals </w:t>
      </w:r>
      <w:r w:rsidR="00851CB0">
        <w:t xml:space="preserve">in </w:t>
      </w:r>
      <w:r w:rsidR="00310514" w:rsidRPr="00C6620A">
        <w:t>200</w:t>
      </w:r>
      <w:r w:rsidR="00FD148D">
        <w:t>7</w:t>
      </w:r>
      <w:r w:rsidR="007D00F8">
        <w:noBreakHyphen/>
      </w:r>
      <w:r w:rsidR="00310514" w:rsidRPr="00C6620A">
        <w:t>0</w:t>
      </w:r>
      <w:r w:rsidR="00FD148D">
        <w:t>8</w:t>
      </w:r>
    </w:p>
    <w:p w:rsidR="00F06B75" w:rsidRPr="00952B4A" w:rsidRDefault="005E06D1">
      <w:pPr>
        <w:pStyle w:val="TableGraphic"/>
      </w:pPr>
      <w:r>
        <w:object w:dxaOrig="7661" w:dyaOrig="4232">
          <v:shape id="_x0000_i1036" type="#_x0000_t75" style="width:383.25pt;height:211.5pt" o:ole="">
            <v:imagedata r:id="rId34" o:title=""/>
          </v:shape>
          <o:OLEObject Type="Link" ProgID="Excel.Sheet.8" ShapeID="_x0000_i1036" DrawAspect="Content" r:id="rId35" UpdateMode="Always">
            <o:LinkType>Picture</o:LinkType>
            <o:LockedField>false</o:LockedField>
          </o:OLEObject>
        </w:object>
      </w:r>
    </w:p>
    <w:p w:rsidR="000A200D" w:rsidRDefault="00B23A9F" w:rsidP="00E234C7">
      <w:pPr>
        <w:pStyle w:val="ChartandTableFootnoteAlpha"/>
        <w:numPr>
          <w:ilvl w:val="0"/>
          <w:numId w:val="3"/>
        </w:numPr>
      </w:pPr>
      <w:r w:rsidRPr="00475926">
        <w:t>Comprises</w:t>
      </w:r>
      <w:r w:rsidR="00A958B3" w:rsidRPr="00475926">
        <w:t>:</w:t>
      </w:r>
      <w:r w:rsidR="00D64EA8" w:rsidRPr="00475926">
        <w:t xml:space="preserve"> </w:t>
      </w:r>
      <w:r w:rsidR="00E234C7" w:rsidRPr="00475926">
        <w:t xml:space="preserve">education, museum and library services; </w:t>
      </w:r>
      <w:r w:rsidR="00D64EA8" w:rsidRPr="00475926">
        <w:t>entertainment and recreational services</w:t>
      </w:r>
      <w:r w:rsidR="00E234C7" w:rsidRPr="00475926">
        <w:t>;</w:t>
      </w:r>
      <w:r w:rsidR="00D64EA8" w:rsidRPr="00475926">
        <w:t xml:space="preserve"> and personal services.</w:t>
      </w:r>
    </w:p>
    <w:p w:rsidR="00BD44B1" w:rsidRDefault="00906E0E" w:rsidP="00906E0E">
      <w:pPr>
        <w:pStyle w:val="ChartorTableNote"/>
        <w:ind w:left="567" w:hanging="567"/>
      </w:pPr>
      <w:r>
        <w:t>Note:</w:t>
      </w:r>
      <w:r>
        <w:tab/>
        <w:t>Totals may not add due to rounding</w:t>
      </w:r>
      <w:r w:rsidR="00BD44B1">
        <w:t>.</w:t>
      </w:r>
      <w:r>
        <w:t xml:space="preserve"> </w:t>
      </w:r>
    </w:p>
    <w:p w:rsidR="00F06B75" w:rsidRPr="006C055C" w:rsidRDefault="00BD44B1" w:rsidP="006A2068">
      <w:pPr>
        <w:pStyle w:val="ChartorTableNote"/>
        <w:spacing w:after="240"/>
        <w:ind w:left="567" w:hanging="567"/>
      </w:pPr>
      <w:r>
        <w:tab/>
      </w:r>
      <w:r w:rsidR="007D00F8">
        <w:t>‘</w:t>
      </w:r>
      <w:r w:rsidR="007D00F8">
        <w:noBreakHyphen/>
        <w:t>‘</w:t>
      </w:r>
      <w:r w:rsidR="00B93E23">
        <w:t xml:space="preserve"> i</w:t>
      </w:r>
      <w:r w:rsidR="00906E0E">
        <w:t>ndicates a figure of zero</w:t>
      </w:r>
      <w:r w:rsidR="00E40C4A" w:rsidRPr="00E40C4A">
        <w:t xml:space="preserve"> </w:t>
      </w:r>
      <w:r w:rsidR="00E40C4A">
        <w:t>and ‘0.00’ indicates a figure of less than $5 million</w:t>
      </w:r>
      <w:r w:rsidR="00906E0E">
        <w:t>.</w:t>
      </w:r>
    </w:p>
    <w:p w:rsidR="00F06B75" w:rsidRDefault="00F06B75" w:rsidP="006A2068">
      <w:pPr>
        <w:pStyle w:val="Heading3"/>
        <w:spacing w:before="170" w:after="113"/>
      </w:pPr>
      <w:r>
        <w:t>Tourism</w:t>
      </w:r>
    </w:p>
    <w:p w:rsidR="00F06B75" w:rsidRDefault="00F06B75">
      <w:pPr>
        <w:rPr>
          <w:color w:val="auto"/>
        </w:rPr>
      </w:pPr>
      <w:r w:rsidRPr="000620A5">
        <w:t xml:space="preserve">Total approved foreign investment in the tourism sector </w:t>
      </w:r>
      <w:r w:rsidR="00366119">
        <w:t>more than doubled in 2007</w:t>
      </w:r>
      <w:r w:rsidR="007D00F8">
        <w:noBreakHyphen/>
      </w:r>
      <w:r w:rsidR="00366119">
        <w:t xml:space="preserve">08, with </w:t>
      </w:r>
      <w:r w:rsidR="007F212D" w:rsidRPr="000620A5">
        <w:t>$</w:t>
      </w:r>
      <w:r w:rsidR="00366119">
        <w:t>3.2</w:t>
      </w:r>
      <w:r w:rsidR="00523436">
        <w:t> </w:t>
      </w:r>
      <w:r w:rsidR="00436635" w:rsidRPr="000620A5">
        <w:t>billion</w:t>
      </w:r>
      <w:r w:rsidR="00CD29AB" w:rsidRPr="000620A5">
        <w:t xml:space="preserve"> </w:t>
      </w:r>
      <w:r w:rsidR="00366119">
        <w:t>(</w:t>
      </w:r>
      <w:r w:rsidR="00CD29AB" w:rsidRPr="000620A5">
        <w:t>$</w:t>
      </w:r>
      <w:r w:rsidR="00436635">
        <w:t>1.5</w:t>
      </w:r>
      <w:r w:rsidR="000620A5" w:rsidRPr="000620A5">
        <w:t xml:space="preserve"> b</w:t>
      </w:r>
      <w:r w:rsidR="007A6DA6" w:rsidRPr="000620A5">
        <w:t xml:space="preserve">illion in </w:t>
      </w:r>
      <w:r w:rsidR="00436635">
        <w:t>2006</w:t>
      </w:r>
      <w:r w:rsidR="007D00F8">
        <w:noBreakHyphen/>
      </w:r>
      <w:r w:rsidR="00436635">
        <w:t>07</w:t>
      </w:r>
      <w:r w:rsidR="00366119">
        <w:t>), while</w:t>
      </w:r>
      <w:r w:rsidRPr="000620A5">
        <w:t xml:space="preserve"> </w:t>
      </w:r>
      <w:r w:rsidR="00366119">
        <w:t>t</w:t>
      </w:r>
      <w:r w:rsidR="000620A5" w:rsidRPr="00A90E7E">
        <w:t>he</w:t>
      </w:r>
      <w:r w:rsidR="00436635">
        <w:t xml:space="preserve"> number of proposals </w:t>
      </w:r>
      <w:r w:rsidR="0069277B">
        <w:t>de</w:t>
      </w:r>
      <w:r w:rsidR="00436635">
        <w:t xml:space="preserve">creased </w:t>
      </w:r>
      <w:r w:rsidR="0069277B">
        <w:t xml:space="preserve">by 44 per cent, </w:t>
      </w:r>
      <w:r w:rsidR="00436635">
        <w:t xml:space="preserve">from </w:t>
      </w:r>
      <w:r w:rsidR="0069277B">
        <w:t>68</w:t>
      </w:r>
      <w:r w:rsidR="00436635">
        <w:t xml:space="preserve"> to </w:t>
      </w:r>
      <w:r w:rsidR="0069277B">
        <w:t xml:space="preserve">38. </w:t>
      </w:r>
      <w:r w:rsidR="000E153F">
        <w:t>T</w:t>
      </w:r>
      <w:r w:rsidR="00190365">
        <w:t>hree</w:t>
      </w:r>
      <w:r w:rsidR="00725978">
        <w:t xml:space="preserve"> proposals involv</w:t>
      </w:r>
      <w:r w:rsidR="000E153F">
        <w:t>ed</w:t>
      </w:r>
      <w:r w:rsidR="0019113D">
        <w:t xml:space="preserve"> </w:t>
      </w:r>
      <w:r w:rsidR="0019113D" w:rsidRPr="00692641">
        <w:t>proposed investment of $100 million or</w:t>
      </w:r>
      <w:r w:rsidR="0019113D" w:rsidRPr="00C95BF0">
        <w:t xml:space="preserve"> </w:t>
      </w:r>
      <w:r w:rsidR="0019113D" w:rsidRPr="007B686B">
        <w:t>more</w:t>
      </w:r>
      <w:r w:rsidR="006E00E1">
        <w:t xml:space="preserve"> (four</w:t>
      </w:r>
      <w:r w:rsidR="00725978">
        <w:t xml:space="preserve"> in 2006</w:t>
      </w:r>
      <w:r w:rsidR="007D00F8">
        <w:noBreakHyphen/>
      </w:r>
      <w:r w:rsidR="00725978">
        <w:t>07)</w:t>
      </w:r>
      <w:r w:rsidR="0099566E">
        <w:t>.</w:t>
      </w:r>
      <w:r w:rsidR="00725978">
        <w:t xml:space="preserve"> Of these, one involved proposed investment in excess of $1.8 billion. This is</w:t>
      </w:r>
      <w:r w:rsidR="0077340D">
        <w:t xml:space="preserve"> in contrast to the previous year</w:t>
      </w:r>
      <w:r w:rsidR="00725978">
        <w:t>, where there were no</w:t>
      </w:r>
      <w:r w:rsidR="00436635">
        <w:t xml:space="preserve"> </w:t>
      </w:r>
      <w:r w:rsidR="0019113D">
        <w:t xml:space="preserve">proposals </w:t>
      </w:r>
      <w:r w:rsidR="00436635">
        <w:t>involv</w:t>
      </w:r>
      <w:r w:rsidR="00725978">
        <w:t>ing</w:t>
      </w:r>
      <w:r w:rsidR="00436635">
        <w:t xml:space="preserve"> investment of more than</w:t>
      </w:r>
      <w:r w:rsidR="000620A5" w:rsidRPr="00E7543D">
        <w:rPr>
          <w:color w:val="auto"/>
        </w:rPr>
        <w:t xml:space="preserve"> $1 billion.</w:t>
      </w:r>
      <w:r w:rsidR="000620A5">
        <w:rPr>
          <w:color w:val="auto"/>
        </w:rPr>
        <w:t xml:space="preserve"> </w:t>
      </w:r>
    </w:p>
    <w:p w:rsidR="00F06B75" w:rsidRDefault="00F06B75" w:rsidP="003D79FF">
      <w:pPr>
        <w:pStyle w:val="Heading3"/>
      </w:pPr>
      <w:r>
        <w:t>R</w:t>
      </w:r>
      <w:r w:rsidRPr="00593E1D">
        <w:t>eal estate</w:t>
      </w:r>
    </w:p>
    <w:p w:rsidR="00617E9B" w:rsidRDefault="00617E9B" w:rsidP="008D106C">
      <w:pPr>
        <w:pStyle w:val="Heading4"/>
      </w:pPr>
      <w:r w:rsidRPr="00617E9B">
        <w:t>Changes to foreign investment policy</w:t>
      </w:r>
      <w:r w:rsidR="003D5419">
        <w:t xml:space="preserve"> — </w:t>
      </w:r>
      <w:r w:rsidRPr="00617E9B">
        <w:t>residential real estate</w:t>
      </w:r>
    </w:p>
    <w:p w:rsidR="00617E9B" w:rsidRPr="00617E9B" w:rsidRDefault="00617E9B" w:rsidP="00617E9B">
      <w:bookmarkStart w:id="30" w:name="OLE_LINK8"/>
      <w:r>
        <w:t xml:space="preserve">On 18 December 2008, the Assistant Treasurer released details of </w:t>
      </w:r>
      <w:r w:rsidRPr="00617E9B">
        <w:t>administrative changes to the Government’s foreign investment screening arrangements for acquisitions of residential real estate by foreign persons</w:t>
      </w:r>
      <w:r w:rsidR="00632E3A">
        <w:t>. These changes</w:t>
      </w:r>
      <w:r>
        <w:t xml:space="preserve"> generally maintain the restrictions </w:t>
      </w:r>
      <w:r w:rsidR="00632E3A">
        <w:t>imposed un</w:t>
      </w:r>
      <w:r w:rsidR="0099235A">
        <w:t>der the policy in place in 2007</w:t>
      </w:r>
      <w:r w:rsidR="007D00F8">
        <w:noBreakHyphen/>
      </w:r>
      <w:r w:rsidR="00632E3A">
        <w:t xml:space="preserve">08 </w:t>
      </w:r>
      <w:r>
        <w:t>but provide for streamlined notification and administrative arrangements. The changes w</w:t>
      </w:r>
      <w:r w:rsidR="00C4636D">
        <w:t>ere</w:t>
      </w:r>
      <w:r>
        <w:t xml:space="preserve"> implemented progressively</w:t>
      </w:r>
      <w:r w:rsidR="003D5419">
        <w:t xml:space="preserve"> — </w:t>
      </w:r>
      <w:r>
        <w:t xml:space="preserve">those that </w:t>
      </w:r>
      <w:r w:rsidR="00632E3A">
        <w:t>only</w:t>
      </w:r>
      <w:r>
        <w:t xml:space="preserve"> require</w:t>
      </w:r>
      <w:r w:rsidR="00632E3A">
        <w:t>d</w:t>
      </w:r>
      <w:r>
        <w:t xml:space="preserve"> changes to the policy c</w:t>
      </w:r>
      <w:r w:rsidR="00632E3A">
        <w:t>a</w:t>
      </w:r>
      <w:r>
        <w:t xml:space="preserve">me into </w:t>
      </w:r>
      <w:r>
        <w:lastRenderedPageBreak/>
        <w:t>effect immediately</w:t>
      </w:r>
      <w:r w:rsidR="005D1998">
        <w:t>,</w:t>
      </w:r>
      <w:r w:rsidR="00632E3A">
        <w:t xml:space="preserve"> while</w:t>
      </w:r>
      <w:r>
        <w:t xml:space="preserve"> those requiring changes to the Regulations c</w:t>
      </w:r>
      <w:r w:rsidR="00C4636D">
        <w:t>a</w:t>
      </w:r>
      <w:r>
        <w:t xml:space="preserve">me into effect </w:t>
      </w:r>
      <w:r w:rsidR="00C4636D">
        <w:t>on 31 March 2009</w:t>
      </w:r>
      <w:r>
        <w:t xml:space="preserve">. There </w:t>
      </w:r>
      <w:r w:rsidR="00C4636D">
        <w:t>were</w:t>
      </w:r>
      <w:r>
        <w:t xml:space="preserve"> no changes to the FATA.</w:t>
      </w:r>
    </w:p>
    <w:p w:rsidR="00617E9B" w:rsidRDefault="0099235A" w:rsidP="00617E9B">
      <w:pPr>
        <w:rPr>
          <w:rFonts w:cs="Arial"/>
        </w:rPr>
      </w:pPr>
      <w:r>
        <w:rPr>
          <w:rFonts w:cs="Arial"/>
        </w:rPr>
        <w:t>Prior to this announcement, foreign investment screening arrangements for residential real estate had not been updated since 1989 and thus no longer gave</w:t>
      </w:r>
      <w:r w:rsidR="00583E00">
        <w:rPr>
          <w:rFonts w:cs="Arial"/>
        </w:rPr>
        <w:t xml:space="preserve"> appropriate</w:t>
      </w:r>
      <w:r>
        <w:rPr>
          <w:rFonts w:cs="Arial"/>
        </w:rPr>
        <w:t xml:space="preserve"> effect to the intent of the Government’s foreign investment policy. </w:t>
      </w:r>
      <w:r w:rsidR="00632E3A" w:rsidRPr="00632E3A">
        <w:rPr>
          <w:rFonts w:cs="Arial"/>
        </w:rPr>
        <w:t xml:space="preserve">The changes </w:t>
      </w:r>
      <w:r w:rsidR="00632E3A">
        <w:rPr>
          <w:rFonts w:cs="Arial"/>
        </w:rPr>
        <w:t>are designed to</w:t>
      </w:r>
      <w:r w:rsidR="00632E3A" w:rsidRPr="00632E3A">
        <w:rPr>
          <w:rFonts w:cs="Arial"/>
        </w:rPr>
        <w:t xml:space="preserve"> streamline and update foreign investment screening for residential real estate acquisitions</w:t>
      </w:r>
      <w:r>
        <w:rPr>
          <w:rFonts w:cs="Arial"/>
        </w:rPr>
        <w:t>,</w:t>
      </w:r>
      <w:r w:rsidR="00632E3A" w:rsidRPr="00632E3A">
        <w:rPr>
          <w:rFonts w:cs="Arial"/>
        </w:rPr>
        <w:t xml:space="preserve"> enhancing flexibility in the market and reducing compliance costs for temporary residents and the construction industry.</w:t>
      </w:r>
      <w:r>
        <w:rPr>
          <w:rFonts w:cs="Arial"/>
        </w:rPr>
        <w:t xml:space="preserve"> The changes are</w:t>
      </w:r>
      <w:r w:rsidR="00583E00">
        <w:rPr>
          <w:rFonts w:cs="Arial"/>
        </w:rPr>
        <w:t xml:space="preserve"> now</w:t>
      </w:r>
      <w:r>
        <w:rPr>
          <w:rFonts w:cs="Arial"/>
        </w:rPr>
        <w:t xml:space="preserve"> fully implemented. </w:t>
      </w:r>
      <w:r w:rsidRPr="0099235A">
        <w:rPr>
          <w:rFonts w:cs="Arial"/>
        </w:rPr>
        <w:t>The Government will monitor the changes to ensure these continue to be in the national interest.</w:t>
      </w:r>
      <w:r w:rsidR="00B25686">
        <w:rPr>
          <w:rFonts w:cs="Arial"/>
        </w:rPr>
        <w:t xml:space="preserve"> </w:t>
      </w:r>
      <w:r w:rsidR="0046187A">
        <w:rPr>
          <w:rFonts w:cs="Arial"/>
        </w:rPr>
        <w:t>Further information relating to these changes can be found on the</w:t>
      </w:r>
      <w:r w:rsidR="003810BB">
        <w:rPr>
          <w:rFonts w:cs="Arial"/>
        </w:rPr>
        <w:t xml:space="preserve"> </w:t>
      </w:r>
      <w:r w:rsidR="003810BB" w:rsidRPr="003810BB">
        <w:rPr>
          <w:rFonts w:cs="Arial"/>
        </w:rPr>
        <w:t xml:space="preserve">Foreign Investment Review Board website at </w:t>
      </w:r>
      <w:hyperlink r:id="rId36" w:tgtFrame="_blank" w:history="1">
        <w:r w:rsidR="003810BB" w:rsidRPr="003810BB">
          <w:rPr>
            <w:rStyle w:val="Hyperlink"/>
            <w:rFonts w:cs="Arial"/>
          </w:rPr>
          <w:t>www.firb.gov.au</w:t>
        </w:r>
      </w:hyperlink>
      <w:r w:rsidR="003810BB">
        <w:rPr>
          <w:rFonts w:cs="Arial"/>
        </w:rPr>
        <w:t xml:space="preserve">. The policy </w:t>
      </w:r>
      <w:r w:rsidR="00C4636D">
        <w:rPr>
          <w:rFonts w:cs="Arial"/>
        </w:rPr>
        <w:t xml:space="preserve">and related </w:t>
      </w:r>
      <w:r w:rsidR="003810BB">
        <w:rPr>
          <w:rFonts w:cs="Arial"/>
        </w:rPr>
        <w:t xml:space="preserve">documents </w:t>
      </w:r>
      <w:r w:rsidR="00583E00">
        <w:rPr>
          <w:rFonts w:cs="Arial"/>
        </w:rPr>
        <w:t>have</w:t>
      </w:r>
      <w:r w:rsidR="003810BB">
        <w:rPr>
          <w:rFonts w:cs="Arial"/>
        </w:rPr>
        <w:t xml:space="preserve"> be</w:t>
      </w:r>
      <w:r w:rsidR="00583E00">
        <w:rPr>
          <w:rFonts w:cs="Arial"/>
        </w:rPr>
        <w:t>en</w:t>
      </w:r>
      <w:r w:rsidR="003810BB">
        <w:rPr>
          <w:rFonts w:cs="Arial"/>
        </w:rPr>
        <w:t xml:space="preserve"> updated</w:t>
      </w:r>
      <w:r w:rsidR="00583E00">
        <w:rPr>
          <w:rFonts w:cs="Arial"/>
        </w:rPr>
        <w:t xml:space="preserve"> to reflect the changes</w:t>
      </w:r>
      <w:r w:rsidR="003810BB">
        <w:rPr>
          <w:rFonts w:cs="Arial"/>
        </w:rPr>
        <w:t>.</w:t>
      </w:r>
      <w:bookmarkEnd w:id="30"/>
    </w:p>
    <w:p w:rsidR="0099235A" w:rsidRPr="0099235A" w:rsidRDefault="0099235A" w:rsidP="008D106C">
      <w:pPr>
        <w:pStyle w:val="Heading4"/>
      </w:pPr>
      <w:r>
        <w:t>Real estate under the 2007</w:t>
      </w:r>
      <w:r w:rsidR="007D00F8">
        <w:noBreakHyphen/>
      </w:r>
      <w:r>
        <w:t>08 policy</w:t>
      </w:r>
    </w:p>
    <w:p w:rsidR="00F06B75" w:rsidRPr="00906E0E" w:rsidRDefault="0099235A">
      <w:r>
        <w:t xml:space="preserve">The remainder of this section discusses the policy as it was prior to the amendments. </w:t>
      </w:r>
      <w:r w:rsidR="00717719">
        <w:t>T</w:t>
      </w:r>
      <w:r w:rsidR="00F06B75">
        <w:t xml:space="preserve">he policy </w:t>
      </w:r>
      <w:r w:rsidR="00717719">
        <w:t xml:space="preserve">in </w:t>
      </w:r>
      <w:r w:rsidR="00F06B75">
        <w:t xml:space="preserve">place </w:t>
      </w:r>
      <w:r w:rsidR="00717719">
        <w:t>in 2007</w:t>
      </w:r>
      <w:r w:rsidR="007D00F8">
        <w:noBreakHyphen/>
      </w:r>
      <w:r w:rsidR="00717719">
        <w:t xml:space="preserve">08 required </w:t>
      </w:r>
      <w:r w:rsidR="00F06B75">
        <w:t xml:space="preserve">all </w:t>
      </w:r>
      <w:r w:rsidR="00644A25">
        <w:t>propos</w:t>
      </w:r>
      <w:r w:rsidR="00631FC8">
        <w:t>ed</w:t>
      </w:r>
      <w:r w:rsidR="00644A25">
        <w:t xml:space="preserve"> acquisitions of</w:t>
      </w:r>
      <w:r w:rsidR="00F06B75">
        <w:t xml:space="preserve"> </w:t>
      </w:r>
      <w:r w:rsidR="00631F54">
        <w:t xml:space="preserve">Australian </w:t>
      </w:r>
      <w:r w:rsidR="00F06B75">
        <w:t>urban</w:t>
      </w:r>
      <w:r w:rsidR="00644A25">
        <w:t xml:space="preserve"> land</w:t>
      </w:r>
      <w:r w:rsidR="00631F54">
        <w:rPr>
          <w:rStyle w:val="FootnoteReference"/>
        </w:rPr>
        <w:footnoteReference w:id="8"/>
      </w:r>
      <w:r w:rsidR="00F06B75">
        <w:t xml:space="preserve"> </w:t>
      </w:r>
      <w:r w:rsidR="00717719">
        <w:t>to</w:t>
      </w:r>
      <w:r w:rsidR="00F06B75">
        <w:t xml:space="preserve"> be </w:t>
      </w:r>
      <w:r w:rsidR="00717719">
        <w:t>notified</w:t>
      </w:r>
      <w:r w:rsidR="00F06B75">
        <w:t xml:space="preserve"> for examination, unless </w:t>
      </w:r>
      <w:r w:rsidR="00717719">
        <w:t xml:space="preserve">subject to an </w:t>
      </w:r>
      <w:r w:rsidR="00F06B75">
        <w:t>exempt</w:t>
      </w:r>
      <w:r w:rsidR="00717719">
        <w:t>ion</w:t>
      </w:r>
      <w:r w:rsidR="00F06B75">
        <w:t xml:space="preserve"> </w:t>
      </w:r>
      <w:r w:rsidR="00717719">
        <w:t xml:space="preserve">under </w:t>
      </w:r>
      <w:r w:rsidR="00F06B75">
        <w:t xml:space="preserve">the </w:t>
      </w:r>
      <w:r w:rsidR="009A7BAF">
        <w:t>R</w:t>
      </w:r>
      <w:r w:rsidR="00150717">
        <w:t>egulations</w:t>
      </w:r>
      <w:r w:rsidR="00F06B75" w:rsidRPr="00906E0E">
        <w:t>.</w:t>
      </w:r>
      <w:r w:rsidR="00150717" w:rsidRPr="00906E0E">
        <w:t xml:space="preserve"> </w:t>
      </w:r>
    </w:p>
    <w:p w:rsidR="00C4409A" w:rsidRDefault="008A1F23">
      <w:r>
        <w:t xml:space="preserve">The </w:t>
      </w:r>
      <w:r w:rsidRPr="000620A5">
        <w:t>number of approvals</w:t>
      </w:r>
      <w:r>
        <w:t xml:space="preserve"> in the real estate sector</w:t>
      </w:r>
      <w:r w:rsidRPr="000620A5">
        <w:rPr>
          <w:color w:val="auto"/>
        </w:rPr>
        <w:t xml:space="preserve"> increased</w:t>
      </w:r>
      <w:r w:rsidRPr="000620A5">
        <w:t xml:space="preserve"> significantly from </w:t>
      </w:r>
      <w:r w:rsidR="0039198A">
        <w:t>5,612</w:t>
      </w:r>
      <w:r w:rsidR="0039198A" w:rsidRPr="000620A5">
        <w:t xml:space="preserve"> in </w:t>
      </w:r>
      <w:r w:rsidR="0039198A" w:rsidRPr="000620A5">
        <w:rPr>
          <w:color w:val="auto"/>
        </w:rPr>
        <w:t>200</w:t>
      </w:r>
      <w:r w:rsidR="0039198A">
        <w:rPr>
          <w:color w:val="auto"/>
        </w:rPr>
        <w:t>6</w:t>
      </w:r>
      <w:r w:rsidR="007D00F8">
        <w:rPr>
          <w:color w:val="auto"/>
        </w:rPr>
        <w:noBreakHyphen/>
      </w:r>
      <w:r w:rsidR="0039198A" w:rsidRPr="000620A5">
        <w:rPr>
          <w:color w:val="auto"/>
        </w:rPr>
        <w:t>0</w:t>
      </w:r>
      <w:r w:rsidR="0039198A">
        <w:rPr>
          <w:color w:val="auto"/>
        </w:rPr>
        <w:t>7</w:t>
      </w:r>
      <w:r w:rsidRPr="000620A5">
        <w:t xml:space="preserve"> to </w:t>
      </w:r>
      <w:r w:rsidR="00DD7B34">
        <w:t>7,354</w:t>
      </w:r>
      <w:r w:rsidRPr="000620A5">
        <w:t xml:space="preserve"> in </w:t>
      </w:r>
      <w:r w:rsidRPr="000620A5">
        <w:rPr>
          <w:color w:val="auto"/>
        </w:rPr>
        <w:t>200</w:t>
      </w:r>
      <w:r w:rsidR="0039198A">
        <w:rPr>
          <w:color w:val="auto"/>
        </w:rPr>
        <w:t>7</w:t>
      </w:r>
      <w:r w:rsidR="007D00F8">
        <w:rPr>
          <w:color w:val="auto"/>
        </w:rPr>
        <w:noBreakHyphen/>
      </w:r>
      <w:r w:rsidRPr="000620A5">
        <w:rPr>
          <w:color w:val="auto"/>
        </w:rPr>
        <w:t>0</w:t>
      </w:r>
      <w:r w:rsidR="0039198A">
        <w:rPr>
          <w:color w:val="auto"/>
        </w:rPr>
        <w:t>8</w:t>
      </w:r>
      <w:r w:rsidR="00DB46B7">
        <w:rPr>
          <w:color w:val="auto"/>
        </w:rPr>
        <w:t xml:space="preserve">, </w:t>
      </w:r>
      <w:r w:rsidR="008D1F4E">
        <w:rPr>
          <w:color w:val="auto"/>
        </w:rPr>
        <w:t>or</w:t>
      </w:r>
      <w:r w:rsidR="00660C18">
        <w:rPr>
          <w:color w:val="auto"/>
        </w:rPr>
        <w:t xml:space="preserve"> </w:t>
      </w:r>
      <w:r w:rsidR="001B07FE">
        <w:rPr>
          <w:color w:val="auto"/>
        </w:rPr>
        <w:t xml:space="preserve">by </w:t>
      </w:r>
      <w:r w:rsidR="00E90312">
        <w:rPr>
          <w:color w:val="auto"/>
        </w:rPr>
        <w:t>31 </w:t>
      </w:r>
      <w:r w:rsidR="00660C18">
        <w:rPr>
          <w:color w:val="auto"/>
        </w:rPr>
        <w:t>per cent</w:t>
      </w:r>
      <w:r w:rsidR="005D1998">
        <w:rPr>
          <w:color w:val="auto"/>
        </w:rPr>
        <w:t xml:space="preserve">, </w:t>
      </w:r>
      <w:r w:rsidR="00DB46B7">
        <w:t>and</w:t>
      </w:r>
      <w:r w:rsidR="00717719">
        <w:t xml:space="preserve"> followed a</w:t>
      </w:r>
      <w:r w:rsidR="008D1F4E">
        <w:t>n</w:t>
      </w:r>
      <w:r w:rsidR="00717719">
        <w:t xml:space="preserve"> 18 per cent increase </w:t>
      </w:r>
      <w:r w:rsidR="005D1998">
        <w:t xml:space="preserve">in </w:t>
      </w:r>
      <w:r w:rsidR="001B07FE">
        <w:t>the previous</w:t>
      </w:r>
      <w:r w:rsidR="00DB46B7">
        <w:t xml:space="preserve"> ye</w:t>
      </w:r>
      <w:r w:rsidR="00717719">
        <w:t xml:space="preserve">ar. </w:t>
      </w:r>
      <w:r w:rsidR="001B07FE">
        <w:t>O</w:t>
      </w:r>
      <w:r w:rsidR="00C4409A">
        <w:t xml:space="preserve">f the </w:t>
      </w:r>
      <w:r w:rsidR="001B07FE">
        <w:t>additional 1</w:t>
      </w:r>
      <w:r w:rsidR="006E00E1">
        <w:t>,</w:t>
      </w:r>
      <w:r w:rsidR="001B07FE">
        <w:t xml:space="preserve">657 </w:t>
      </w:r>
      <w:r w:rsidR="00C4409A">
        <w:t>approval</w:t>
      </w:r>
      <w:r w:rsidR="001B07FE">
        <w:t>s, the majority were</w:t>
      </w:r>
      <w:r w:rsidR="00C4409A">
        <w:t xml:space="preserve"> </w:t>
      </w:r>
      <w:r w:rsidR="00C75598">
        <w:t>for existing residential dwellings which increased by 1,029 from 2,986 in 2006</w:t>
      </w:r>
      <w:r w:rsidR="007D00F8">
        <w:noBreakHyphen/>
      </w:r>
      <w:r w:rsidR="00C75598">
        <w:t>07 to 4,015 in 2007</w:t>
      </w:r>
      <w:r w:rsidR="007D00F8">
        <w:noBreakHyphen/>
      </w:r>
      <w:r w:rsidR="00C75598">
        <w:t xml:space="preserve">08. </w:t>
      </w:r>
      <w:r w:rsidR="001B07FE">
        <w:t xml:space="preserve">There were an additional </w:t>
      </w:r>
      <w:r w:rsidR="00C75598" w:rsidRPr="000C419F">
        <w:t xml:space="preserve">289 </w:t>
      </w:r>
      <w:r w:rsidR="001B07FE" w:rsidRPr="000C419F">
        <w:t xml:space="preserve">approvals involving acquisitions of </w:t>
      </w:r>
      <w:r w:rsidR="00C75598" w:rsidRPr="000C419F">
        <w:t>vacant land</w:t>
      </w:r>
      <w:r w:rsidR="000C419F" w:rsidRPr="000C419F">
        <w:t>, with a total of 1,667 approvals in this category (1,378 in 2006</w:t>
      </w:r>
      <w:r w:rsidR="007D00F8">
        <w:noBreakHyphen/>
      </w:r>
      <w:r w:rsidR="000C419F" w:rsidRPr="000C419F">
        <w:t>07).</w:t>
      </w:r>
      <w:r w:rsidR="00C75598" w:rsidRPr="000C419F">
        <w:t xml:space="preserve"> The number of commercial real estate approvals increased </w:t>
      </w:r>
      <w:r w:rsidR="008D0311" w:rsidRPr="000C419F">
        <w:t xml:space="preserve">from 98 </w:t>
      </w:r>
      <w:r w:rsidR="00C75598" w:rsidRPr="000C419F">
        <w:t>to 183 in 200</w:t>
      </w:r>
      <w:r w:rsidR="008D0311" w:rsidRPr="000C419F">
        <w:t>7</w:t>
      </w:r>
      <w:r w:rsidR="007D00F8">
        <w:noBreakHyphen/>
      </w:r>
      <w:r w:rsidR="00C75598" w:rsidRPr="000C419F">
        <w:t>0</w:t>
      </w:r>
      <w:r w:rsidR="008D0311" w:rsidRPr="000C419F">
        <w:t>8</w:t>
      </w:r>
      <w:r w:rsidR="003D5419">
        <w:t xml:space="preserve">. </w:t>
      </w:r>
    </w:p>
    <w:p w:rsidR="00A371F5" w:rsidRDefault="00DE78C4" w:rsidP="006E00E1">
      <w:r>
        <w:t>Proposed investment</w:t>
      </w:r>
      <w:r w:rsidR="008A1F23" w:rsidRPr="000620A5">
        <w:t xml:space="preserve"> </w:t>
      </w:r>
      <w:r w:rsidR="008D1F4E">
        <w:t>more than doubled</w:t>
      </w:r>
      <w:r w:rsidR="000B4686">
        <w:t>,</w:t>
      </w:r>
      <w:r w:rsidR="008D1F4E">
        <w:t xml:space="preserve"> increasing by $24.1 billion </w:t>
      </w:r>
      <w:r w:rsidR="008A1F23" w:rsidRPr="000620A5">
        <w:t xml:space="preserve">from </w:t>
      </w:r>
      <w:r w:rsidR="00E90312" w:rsidRPr="00660C18">
        <w:t>$21.4 billion</w:t>
      </w:r>
      <w:r w:rsidR="000B4686">
        <w:t xml:space="preserve"> in 2006</w:t>
      </w:r>
      <w:r w:rsidR="007D00F8">
        <w:noBreakHyphen/>
      </w:r>
      <w:r w:rsidR="000B4686">
        <w:t>07</w:t>
      </w:r>
      <w:r w:rsidR="008A1F23" w:rsidRPr="000620A5">
        <w:t xml:space="preserve"> to </w:t>
      </w:r>
      <w:r w:rsidR="008A1F23" w:rsidRPr="00660C18">
        <w:t>$</w:t>
      </w:r>
      <w:r w:rsidR="00E90312">
        <w:t>45.5</w:t>
      </w:r>
      <w:r w:rsidR="00B80F94" w:rsidRPr="00660C18">
        <w:t> </w:t>
      </w:r>
      <w:r w:rsidR="008A1F23" w:rsidRPr="00660C18">
        <w:t>billion</w:t>
      </w:r>
      <w:r w:rsidR="00357ED1">
        <w:t xml:space="preserve"> in 2007</w:t>
      </w:r>
      <w:r w:rsidR="007D00F8">
        <w:noBreakHyphen/>
      </w:r>
      <w:r w:rsidR="00357ED1">
        <w:t>08</w:t>
      </w:r>
      <w:r w:rsidR="008A1F23" w:rsidRPr="00660C18">
        <w:t>.</w:t>
      </w:r>
      <w:r w:rsidR="00A94AC0" w:rsidRPr="00660C18">
        <w:t xml:space="preserve"> </w:t>
      </w:r>
      <w:r w:rsidR="008D0311">
        <w:t xml:space="preserve">Most of the increase was in commercial property acquisitions which increased by $17.2 billion from $7.9 billion to $25.1 billion. </w:t>
      </w:r>
      <w:r w:rsidR="00403A2C">
        <w:t>Residential property approvals increased by $6.9 billion from $13.5 billion</w:t>
      </w:r>
      <w:r w:rsidR="00583E00">
        <w:t xml:space="preserve"> to</w:t>
      </w:r>
      <w:r w:rsidR="00403A2C">
        <w:t xml:space="preserve"> $20.4 billion.</w:t>
      </w:r>
    </w:p>
    <w:p w:rsidR="00B671C6" w:rsidRDefault="00B671C6">
      <w:r w:rsidRPr="00991840">
        <w:t>Of the increase in residential real estate approvals, $1.1 billion was for existing dwellings which increased from $2.3 billion in 2006</w:t>
      </w:r>
      <w:r w:rsidR="007D00F8">
        <w:noBreakHyphen/>
      </w:r>
      <w:r w:rsidRPr="00991840">
        <w:t>07 to $3.4 billion in 2007</w:t>
      </w:r>
      <w:r w:rsidR="007D00F8">
        <w:noBreakHyphen/>
      </w:r>
      <w:r w:rsidRPr="00991840">
        <w:t xml:space="preserve">08. </w:t>
      </w:r>
      <w:r w:rsidR="00923697" w:rsidRPr="00991840">
        <w:t>Of t</w:t>
      </w:r>
      <w:r w:rsidRPr="00991840">
        <w:t>he remaining $</w:t>
      </w:r>
      <w:r w:rsidR="00923697" w:rsidRPr="00991840">
        <w:t>5.8</w:t>
      </w:r>
      <w:r w:rsidRPr="00991840">
        <w:t> billion increase</w:t>
      </w:r>
      <w:r w:rsidR="00923697" w:rsidRPr="00991840">
        <w:t>, $3.9 billion</w:t>
      </w:r>
      <w:r w:rsidRPr="00991840">
        <w:t xml:space="preserve"> was for newly constructed dwellings, comprising increased individual approvals of $0.2 billion and developers</w:t>
      </w:r>
      <w:r w:rsidR="005D1998">
        <w:t>’</w:t>
      </w:r>
      <w:r w:rsidRPr="00991840">
        <w:t xml:space="preserve"> approvals of </w:t>
      </w:r>
      <w:r w:rsidR="00923697" w:rsidRPr="00991840">
        <w:t>$3.7</w:t>
      </w:r>
      <w:r w:rsidRPr="00991840">
        <w:t xml:space="preserve"> billion. The former are single dwelling sales to foreigners while the latter represent approvals provided to developers to sell up to 50 per cent of the dwellings in a </w:t>
      </w:r>
      <w:r w:rsidRPr="00991840">
        <w:lastRenderedPageBreak/>
        <w:t>multi</w:t>
      </w:r>
      <w:r w:rsidR="007D00F8">
        <w:noBreakHyphen/>
      </w:r>
      <w:r w:rsidRPr="00991840">
        <w:t>unit development</w:t>
      </w:r>
      <w:r w:rsidR="003D5419" w:rsidRPr="00991840">
        <w:t xml:space="preserve">. </w:t>
      </w:r>
      <w:r w:rsidRPr="00991840">
        <w:t>The value attributed to this category substantially overstates actual acquisition expenditure because it represents the value of all dwellings constructed in the development</w:t>
      </w:r>
      <w:r w:rsidR="005D1998">
        <w:t xml:space="preserve">, </w:t>
      </w:r>
      <w:r w:rsidRPr="00991840">
        <w:t>not the generally</w:t>
      </w:r>
      <w:r w:rsidR="005D1998">
        <w:t xml:space="preserve"> </w:t>
      </w:r>
      <w:r w:rsidRPr="00991840">
        <w:t>small proportion (generally less than 10 per cent) later bought by foreign persons.</w:t>
      </w:r>
    </w:p>
    <w:p w:rsidR="00403A2C" w:rsidRDefault="00403A2C" w:rsidP="00403A2C">
      <w:bookmarkStart w:id="31" w:name="OLE_LINK56"/>
      <w:r>
        <w:t>Of the increase</w:t>
      </w:r>
      <w:r w:rsidRPr="006F6CEE">
        <w:t xml:space="preserve"> </w:t>
      </w:r>
      <w:r>
        <w:t xml:space="preserve">in acquisitions of commercial real estate, $14.5 billion was for </w:t>
      </w:r>
      <w:bookmarkEnd w:id="31"/>
      <w:r>
        <w:t>existing property (</w:t>
      </w:r>
      <w:r w:rsidR="00D054E8">
        <w:t xml:space="preserve">an increase of </w:t>
      </w:r>
      <w:r>
        <w:t>$10.4 billion) and vacant land (</w:t>
      </w:r>
      <w:r w:rsidR="00D054E8">
        <w:t xml:space="preserve">an increase of </w:t>
      </w:r>
      <w:r>
        <w:t xml:space="preserve">$4.1 billion). The former included several large acquisitions of beneficial interests in managed investment funds with real estate property as assets. The remaining </w:t>
      </w:r>
      <w:r w:rsidRPr="00717469">
        <w:t>$2.6 billion</w:t>
      </w:r>
      <w:r>
        <w:t xml:space="preserve"> of the increase was approvals for annual programme acquisitions which increased from $2.0 billion to $4.6 billion</w:t>
      </w:r>
      <w:r w:rsidR="003D5419">
        <w:t xml:space="preserve">. </w:t>
      </w:r>
    </w:p>
    <w:p w:rsidR="00717719" w:rsidRDefault="008A42F9">
      <w:r w:rsidRPr="00BD67DD">
        <w:t>Table 2.8 on page 3</w:t>
      </w:r>
      <w:r w:rsidR="00567983">
        <w:t>7</w:t>
      </w:r>
      <w:r w:rsidRPr="00660C18">
        <w:t xml:space="preserve"> </w:t>
      </w:r>
      <w:r w:rsidR="008A1CDD">
        <w:t>gives</w:t>
      </w:r>
      <w:r w:rsidRPr="00660C18">
        <w:t xml:space="preserve"> a breakdown of approved</w:t>
      </w:r>
      <w:r>
        <w:t xml:space="preserve"> </w:t>
      </w:r>
      <w:r w:rsidR="008A1CDD">
        <w:t xml:space="preserve">real estate </w:t>
      </w:r>
      <w:r>
        <w:t xml:space="preserve">investment </w:t>
      </w:r>
      <w:r w:rsidR="008A1CDD">
        <w:t>for</w:t>
      </w:r>
      <w:r>
        <w:t xml:space="preserve"> 2007</w:t>
      </w:r>
      <w:r w:rsidR="007D00F8">
        <w:noBreakHyphen/>
      </w:r>
      <w:r>
        <w:t>08.</w:t>
      </w:r>
      <w:r w:rsidR="008A1CDD">
        <w:t xml:space="preserve"> </w:t>
      </w:r>
    </w:p>
    <w:p w:rsidR="002D67CD" w:rsidRPr="00AE5644" w:rsidRDefault="002D67CD" w:rsidP="0051438D">
      <w:pPr>
        <w:pStyle w:val="Heading4"/>
      </w:pPr>
      <w:r w:rsidRPr="00AE5644">
        <w:t>Residential real estate</w:t>
      </w:r>
    </w:p>
    <w:p w:rsidR="002D67CD" w:rsidRPr="00D962CE" w:rsidRDefault="002D67CD" w:rsidP="00D962CE">
      <w:pPr>
        <w:pStyle w:val="Heading5"/>
      </w:pPr>
      <w:r w:rsidRPr="00D962CE">
        <w:t>Developed</w:t>
      </w:r>
    </w:p>
    <w:p w:rsidR="002D67CD" w:rsidRDefault="002D67CD" w:rsidP="002D67CD">
      <w:pPr>
        <w:rPr>
          <w:color w:val="auto"/>
        </w:rPr>
      </w:pPr>
      <w:r w:rsidRPr="00CE7A8C">
        <w:t xml:space="preserve">During </w:t>
      </w:r>
      <w:r w:rsidRPr="00CE7A8C">
        <w:rPr>
          <w:color w:val="auto"/>
        </w:rPr>
        <w:t>200</w:t>
      </w:r>
      <w:r w:rsidR="00E90312">
        <w:rPr>
          <w:color w:val="auto"/>
        </w:rPr>
        <w:t>7</w:t>
      </w:r>
      <w:r w:rsidR="007D00F8">
        <w:rPr>
          <w:color w:val="auto"/>
        </w:rPr>
        <w:noBreakHyphen/>
      </w:r>
      <w:r w:rsidRPr="00CE7A8C">
        <w:rPr>
          <w:color w:val="auto"/>
        </w:rPr>
        <w:t>0</w:t>
      </w:r>
      <w:r w:rsidR="00E90312">
        <w:rPr>
          <w:color w:val="auto"/>
        </w:rPr>
        <w:t>8</w:t>
      </w:r>
      <w:r w:rsidRPr="00CE7A8C">
        <w:t xml:space="preserve">, </w:t>
      </w:r>
      <w:r w:rsidR="00E3502D">
        <w:t>4,0</w:t>
      </w:r>
      <w:r w:rsidR="00633F81">
        <w:t>28</w:t>
      </w:r>
      <w:r w:rsidR="00A72A9F">
        <w:t xml:space="preserve"> </w:t>
      </w:r>
      <w:r w:rsidRPr="00CE7A8C">
        <w:t xml:space="preserve">proposals were approved for the acquisition of </w:t>
      </w:r>
      <w:r w:rsidRPr="00A128A7">
        <w:rPr>
          <w:b/>
          <w:color w:val="auto"/>
        </w:rPr>
        <w:t>developed</w:t>
      </w:r>
      <w:r w:rsidRPr="00CE7A8C">
        <w:rPr>
          <w:color w:val="auto"/>
        </w:rPr>
        <w:t xml:space="preserve"> </w:t>
      </w:r>
      <w:r w:rsidRPr="00E0562F">
        <w:rPr>
          <w:b/>
          <w:color w:val="auto"/>
        </w:rPr>
        <w:t>residential</w:t>
      </w:r>
      <w:r w:rsidRPr="00CE7A8C">
        <w:rPr>
          <w:color w:val="auto"/>
        </w:rPr>
        <w:t xml:space="preserve"> real estate</w:t>
      </w:r>
      <w:r w:rsidRPr="00CE7A8C">
        <w:t xml:space="preserve">, a </w:t>
      </w:r>
      <w:r w:rsidR="00633F81">
        <w:t>35 </w:t>
      </w:r>
      <w:r w:rsidR="00873718">
        <w:t>per cent</w:t>
      </w:r>
      <w:r w:rsidR="00873718" w:rsidRPr="00CE7A8C">
        <w:t xml:space="preserve"> </w:t>
      </w:r>
      <w:r w:rsidRPr="00CE7A8C">
        <w:t xml:space="preserve">increase from the </w:t>
      </w:r>
      <w:r w:rsidR="00A72A9F" w:rsidRPr="00CE7A8C">
        <w:t>2,</w:t>
      </w:r>
      <w:r w:rsidR="00E3502D">
        <w:t>991</w:t>
      </w:r>
      <w:r w:rsidRPr="00CE7A8C">
        <w:t xml:space="preserve"> that were approved in </w:t>
      </w:r>
      <w:r w:rsidRPr="00CE7A8C">
        <w:rPr>
          <w:color w:val="auto"/>
        </w:rPr>
        <w:t>200</w:t>
      </w:r>
      <w:r w:rsidR="00E3502D">
        <w:rPr>
          <w:color w:val="auto"/>
        </w:rPr>
        <w:t>6</w:t>
      </w:r>
      <w:r w:rsidR="007D00F8">
        <w:rPr>
          <w:color w:val="auto"/>
        </w:rPr>
        <w:noBreakHyphen/>
      </w:r>
      <w:r w:rsidRPr="00CE7A8C">
        <w:rPr>
          <w:color w:val="auto"/>
        </w:rPr>
        <w:t>0</w:t>
      </w:r>
      <w:r w:rsidR="00E3502D">
        <w:rPr>
          <w:color w:val="auto"/>
        </w:rPr>
        <w:t>7</w:t>
      </w:r>
      <w:r w:rsidRPr="00CE7A8C">
        <w:rPr>
          <w:color w:val="auto"/>
        </w:rPr>
        <w:t xml:space="preserve">. </w:t>
      </w:r>
      <w:r w:rsidR="00AB3269">
        <w:rPr>
          <w:color w:val="auto"/>
        </w:rPr>
        <w:t>This</w:t>
      </w:r>
      <w:r w:rsidR="00AB3269" w:rsidRPr="003D33F1">
        <w:rPr>
          <w:color w:val="auto"/>
        </w:rPr>
        <w:t xml:space="preserve"> </w:t>
      </w:r>
      <w:r w:rsidR="00AB3269">
        <w:rPr>
          <w:color w:val="auto"/>
        </w:rPr>
        <w:t xml:space="preserve">category </w:t>
      </w:r>
      <w:r w:rsidR="00AB3269" w:rsidRPr="003D33F1">
        <w:rPr>
          <w:color w:val="auto"/>
        </w:rPr>
        <w:t xml:space="preserve">consists primarily of temporary residents </w:t>
      </w:r>
      <w:r w:rsidR="00AB3269">
        <w:rPr>
          <w:color w:val="auto"/>
        </w:rPr>
        <w:t xml:space="preserve">in Australia </w:t>
      </w:r>
      <w:r w:rsidR="00AB3269" w:rsidRPr="003D33F1">
        <w:rPr>
          <w:color w:val="auto"/>
        </w:rPr>
        <w:t xml:space="preserve">acquiring </w:t>
      </w:r>
      <w:r w:rsidR="00AB3269">
        <w:rPr>
          <w:color w:val="auto"/>
        </w:rPr>
        <w:t xml:space="preserve">an established dwelling </w:t>
      </w:r>
      <w:r w:rsidR="00AB3269" w:rsidRPr="003D33F1">
        <w:rPr>
          <w:color w:val="auto"/>
        </w:rPr>
        <w:t xml:space="preserve">as </w:t>
      </w:r>
      <w:r w:rsidR="00AB3269">
        <w:rPr>
          <w:color w:val="auto"/>
        </w:rPr>
        <w:t>their</w:t>
      </w:r>
      <w:r w:rsidR="00AB3269" w:rsidRPr="003D33F1">
        <w:rPr>
          <w:color w:val="auto"/>
        </w:rPr>
        <w:t xml:space="preserve"> principal place of residence.</w:t>
      </w:r>
      <w:r w:rsidR="00AB3269" w:rsidRPr="003D33F1">
        <w:rPr>
          <w:rStyle w:val="FootnoteReference"/>
          <w:color w:val="auto"/>
        </w:rPr>
        <w:footnoteReference w:id="9"/>
      </w:r>
      <w:r w:rsidR="00AB3269">
        <w:rPr>
          <w:color w:val="auto"/>
        </w:rPr>
        <w:t xml:space="preserve"> </w:t>
      </w:r>
      <w:r w:rsidR="00DE78C4">
        <w:rPr>
          <w:color w:val="auto"/>
        </w:rPr>
        <w:t>Proposed investment</w:t>
      </w:r>
      <w:r w:rsidRPr="00CE7A8C">
        <w:rPr>
          <w:color w:val="auto"/>
        </w:rPr>
        <w:t xml:space="preserve"> approved </w:t>
      </w:r>
      <w:r w:rsidR="00717719">
        <w:rPr>
          <w:color w:val="auto"/>
        </w:rPr>
        <w:t>totalled</w:t>
      </w:r>
      <w:r w:rsidRPr="00CE7A8C">
        <w:rPr>
          <w:color w:val="auto"/>
        </w:rPr>
        <w:t xml:space="preserve"> $</w:t>
      </w:r>
      <w:r w:rsidR="00E3502D">
        <w:rPr>
          <w:color w:val="auto"/>
        </w:rPr>
        <w:t>3.</w:t>
      </w:r>
      <w:r w:rsidR="008958E8">
        <w:rPr>
          <w:color w:val="auto"/>
        </w:rPr>
        <w:t>4</w:t>
      </w:r>
      <w:r w:rsidRPr="00CE7A8C">
        <w:rPr>
          <w:color w:val="auto"/>
        </w:rPr>
        <w:t> billion</w:t>
      </w:r>
      <w:r w:rsidR="00873718">
        <w:rPr>
          <w:color w:val="auto"/>
        </w:rPr>
        <w:t xml:space="preserve">, an increase of </w:t>
      </w:r>
      <w:r w:rsidR="00A4457C">
        <w:rPr>
          <w:color w:val="auto"/>
        </w:rPr>
        <w:t>4</w:t>
      </w:r>
      <w:r w:rsidR="00A128A7">
        <w:rPr>
          <w:color w:val="auto"/>
        </w:rPr>
        <w:t>6</w:t>
      </w:r>
      <w:r w:rsidR="00E3502D">
        <w:rPr>
          <w:color w:val="auto"/>
        </w:rPr>
        <w:t> </w:t>
      </w:r>
      <w:r w:rsidR="00873718">
        <w:rPr>
          <w:color w:val="auto"/>
        </w:rPr>
        <w:t>per cent</w:t>
      </w:r>
      <w:r w:rsidRPr="00CE7A8C">
        <w:rPr>
          <w:color w:val="auto"/>
        </w:rPr>
        <w:t xml:space="preserve"> </w:t>
      </w:r>
      <w:r w:rsidR="00DE3A3D">
        <w:rPr>
          <w:color w:val="auto"/>
        </w:rPr>
        <w:t>on the</w:t>
      </w:r>
      <w:r w:rsidRPr="006F5F51">
        <w:rPr>
          <w:color w:val="auto"/>
        </w:rPr>
        <w:t xml:space="preserve"> </w:t>
      </w:r>
      <w:r w:rsidRPr="003D33F1">
        <w:rPr>
          <w:color w:val="auto"/>
        </w:rPr>
        <w:t>$</w:t>
      </w:r>
      <w:r w:rsidR="00E3502D" w:rsidRPr="00E3502D">
        <w:rPr>
          <w:color w:val="auto"/>
        </w:rPr>
        <w:t>2.3</w:t>
      </w:r>
      <w:r w:rsidRPr="003D33F1">
        <w:rPr>
          <w:color w:val="auto"/>
        </w:rPr>
        <w:t> billion in 200</w:t>
      </w:r>
      <w:r w:rsidR="00E3502D">
        <w:rPr>
          <w:color w:val="auto"/>
        </w:rPr>
        <w:t>6</w:t>
      </w:r>
      <w:r w:rsidR="007D00F8">
        <w:rPr>
          <w:color w:val="auto"/>
        </w:rPr>
        <w:noBreakHyphen/>
      </w:r>
      <w:r w:rsidRPr="003D33F1">
        <w:rPr>
          <w:color w:val="auto"/>
        </w:rPr>
        <w:t>0</w:t>
      </w:r>
      <w:r w:rsidR="00E3502D">
        <w:rPr>
          <w:color w:val="auto"/>
        </w:rPr>
        <w:t>7</w:t>
      </w:r>
      <w:r w:rsidRPr="003D33F1">
        <w:rPr>
          <w:color w:val="auto"/>
        </w:rPr>
        <w:t xml:space="preserve">. </w:t>
      </w:r>
      <w:r w:rsidR="00063529" w:rsidRPr="00A128A7">
        <w:rPr>
          <w:color w:val="auto"/>
        </w:rPr>
        <w:t>Developed</w:t>
      </w:r>
      <w:r w:rsidR="00AC7132" w:rsidRPr="00A128A7">
        <w:rPr>
          <w:color w:val="auto"/>
        </w:rPr>
        <w:t xml:space="preserve"> residential property</w:t>
      </w:r>
      <w:r w:rsidR="00AC7132" w:rsidRPr="003D33F1">
        <w:rPr>
          <w:color w:val="auto"/>
        </w:rPr>
        <w:t xml:space="preserve"> </w:t>
      </w:r>
      <w:r w:rsidR="00AC7132" w:rsidRPr="007B4769">
        <w:rPr>
          <w:color w:val="auto"/>
        </w:rPr>
        <w:t xml:space="preserve">accounts for </w:t>
      </w:r>
      <w:r w:rsidR="00A4457C">
        <w:rPr>
          <w:color w:val="auto"/>
        </w:rPr>
        <w:t>87</w:t>
      </w:r>
      <w:r w:rsidR="00A4457C" w:rsidRPr="007B4769">
        <w:rPr>
          <w:color w:val="auto"/>
        </w:rPr>
        <w:t> </w:t>
      </w:r>
      <w:r w:rsidR="00AC7132" w:rsidRPr="007B4769">
        <w:rPr>
          <w:color w:val="auto"/>
        </w:rPr>
        <w:t xml:space="preserve">per cent of the </w:t>
      </w:r>
      <w:r w:rsidR="00A128A7">
        <w:rPr>
          <w:color w:val="auto"/>
        </w:rPr>
        <w:t>total</w:t>
      </w:r>
      <w:r w:rsidR="00873718">
        <w:rPr>
          <w:color w:val="auto"/>
        </w:rPr>
        <w:t xml:space="preserve"> with $</w:t>
      </w:r>
      <w:r w:rsidR="00A4457C">
        <w:rPr>
          <w:color w:val="auto"/>
        </w:rPr>
        <w:t>3.0</w:t>
      </w:r>
      <w:r w:rsidR="00873718">
        <w:rPr>
          <w:color w:val="auto"/>
        </w:rPr>
        <w:t> billion</w:t>
      </w:r>
      <w:r w:rsidR="005D1998">
        <w:rPr>
          <w:color w:val="auto"/>
        </w:rPr>
        <w:t>,</w:t>
      </w:r>
      <w:r w:rsidR="00AB3269">
        <w:rPr>
          <w:color w:val="auto"/>
        </w:rPr>
        <w:t xml:space="preserve"> with the remainder being approvals for </w:t>
      </w:r>
      <w:r w:rsidR="00DE3A3D">
        <w:rPr>
          <w:color w:val="auto"/>
        </w:rPr>
        <w:t>acquisitions under an ‘</w:t>
      </w:r>
      <w:r w:rsidR="00AB3269">
        <w:rPr>
          <w:color w:val="auto"/>
        </w:rPr>
        <w:t>annual programme</w:t>
      </w:r>
      <w:r w:rsidR="00DE3A3D">
        <w:rPr>
          <w:color w:val="auto"/>
        </w:rPr>
        <w:t>’</w:t>
      </w:r>
      <w:r w:rsidR="00AC7132" w:rsidRPr="007B4769">
        <w:rPr>
          <w:color w:val="auto"/>
        </w:rPr>
        <w:t>.</w:t>
      </w:r>
      <w:r w:rsidR="00AC7132">
        <w:rPr>
          <w:color w:val="auto"/>
        </w:rPr>
        <w:t xml:space="preserve"> </w:t>
      </w:r>
    </w:p>
    <w:p w:rsidR="002D67CD" w:rsidRDefault="002D67CD" w:rsidP="002D67CD">
      <w:pPr>
        <w:rPr>
          <w:color w:val="auto"/>
        </w:rPr>
      </w:pPr>
      <w:r w:rsidRPr="006E775B">
        <w:rPr>
          <w:color w:val="auto"/>
        </w:rPr>
        <w:t xml:space="preserve">There were </w:t>
      </w:r>
      <w:r w:rsidR="005D1998">
        <w:rPr>
          <w:color w:val="auto"/>
        </w:rPr>
        <w:t>two</w:t>
      </w:r>
      <w:r w:rsidR="00A4457C" w:rsidRPr="006E775B">
        <w:rPr>
          <w:color w:val="auto"/>
        </w:rPr>
        <w:t> </w:t>
      </w:r>
      <w:r w:rsidRPr="00A128A7">
        <w:rPr>
          <w:bCs/>
          <w:color w:val="auto"/>
        </w:rPr>
        <w:t>rejections</w:t>
      </w:r>
      <w:r w:rsidRPr="006E775B">
        <w:rPr>
          <w:color w:val="auto"/>
        </w:rPr>
        <w:t xml:space="preserve"> of proposed acquisitions of </w:t>
      </w:r>
      <w:r w:rsidRPr="00A128A7">
        <w:rPr>
          <w:color w:val="auto"/>
        </w:rPr>
        <w:t>developed residential property</w:t>
      </w:r>
      <w:r w:rsidRPr="006E775B">
        <w:rPr>
          <w:color w:val="auto"/>
        </w:rPr>
        <w:t xml:space="preserve"> by </w:t>
      </w:r>
      <w:r w:rsidR="00B03CA0" w:rsidRPr="006E775B">
        <w:rPr>
          <w:color w:val="auto"/>
        </w:rPr>
        <w:t>foreign persons</w:t>
      </w:r>
      <w:r w:rsidRPr="006E775B">
        <w:rPr>
          <w:color w:val="auto"/>
        </w:rPr>
        <w:t xml:space="preserve"> (</w:t>
      </w:r>
      <w:r w:rsidR="00B03CA0" w:rsidRPr="006E775B">
        <w:rPr>
          <w:color w:val="auto"/>
        </w:rPr>
        <w:t>2</w:t>
      </w:r>
      <w:r w:rsidR="00A20C9C">
        <w:rPr>
          <w:color w:val="auto"/>
        </w:rPr>
        <w:t>4</w:t>
      </w:r>
      <w:r w:rsidR="00B03CA0" w:rsidRPr="006E775B">
        <w:rPr>
          <w:color w:val="auto"/>
        </w:rPr>
        <w:t xml:space="preserve"> </w:t>
      </w:r>
      <w:r w:rsidRPr="006E775B">
        <w:rPr>
          <w:color w:val="auto"/>
        </w:rPr>
        <w:t>in 200</w:t>
      </w:r>
      <w:r w:rsidR="00A20C9C">
        <w:rPr>
          <w:color w:val="auto"/>
        </w:rPr>
        <w:t>6</w:t>
      </w:r>
      <w:r w:rsidR="007D00F8">
        <w:rPr>
          <w:color w:val="auto"/>
        </w:rPr>
        <w:noBreakHyphen/>
      </w:r>
      <w:r w:rsidRPr="006E775B">
        <w:rPr>
          <w:color w:val="auto"/>
        </w:rPr>
        <w:t>0</w:t>
      </w:r>
      <w:r w:rsidR="00A20C9C">
        <w:rPr>
          <w:color w:val="auto"/>
        </w:rPr>
        <w:t>7</w:t>
      </w:r>
      <w:r w:rsidRPr="006E775B">
        <w:rPr>
          <w:color w:val="auto"/>
        </w:rPr>
        <w:t>)</w:t>
      </w:r>
      <w:r w:rsidR="000B0346" w:rsidRPr="006E775B">
        <w:rPr>
          <w:color w:val="auto"/>
        </w:rPr>
        <w:t>.</w:t>
      </w:r>
      <w:r w:rsidR="002D33A3" w:rsidRPr="006E775B">
        <w:rPr>
          <w:color w:val="auto"/>
        </w:rPr>
        <w:t xml:space="preserve"> </w:t>
      </w:r>
      <w:r w:rsidR="007D6335">
        <w:rPr>
          <w:color w:val="auto"/>
        </w:rPr>
        <w:t>O</w:t>
      </w:r>
      <w:r w:rsidR="00A20C9C">
        <w:rPr>
          <w:color w:val="auto"/>
        </w:rPr>
        <w:t xml:space="preserve">ne </w:t>
      </w:r>
      <w:r w:rsidR="00AB3269">
        <w:rPr>
          <w:color w:val="auto"/>
        </w:rPr>
        <w:t>involved the issue of</w:t>
      </w:r>
      <w:r w:rsidR="002D33A3" w:rsidRPr="006E775B">
        <w:rPr>
          <w:color w:val="auto"/>
        </w:rPr>
        <w:t xml:space="preserve"> a Final Order</w:t>
      </w:r>
      <w:r w:rsidR="00AB3269">
        <w:rPr>
          <w:color w:val="auto"/>
        </w:rPr>
        <w:t xml:space="preserve"> prohibiting the acquisition</w:t>
      </w:r>
      <w:r w:rsidR="005D1998">
        <w:rPr>
          <w:color w:val="auto"/>
        </w:rPr>
        <w:t>,</w:t>
      </w:r>
      <w:r w:rsidR="00AB3269">
        <w:rPr>
          <w:color w:val="auto"/>
        </w:rPr>
        <w:t xml:space="preserve"> while </w:t>
      </w:r>
      <w:r w:rsidR="00DE3A3D">
        <w:rPr>
          <w:color w:val="auto"/>
        </w:rPr>
        <w:t xml:space="preserve">for </w:t>
      </w:r>
      <w:r w:rsidR="00AB3269">
        <w:rPr>
          <w:color w:val="auto"/>
        </w:rPr>
        <w:t xml:space="preserve">the other </w:t>
      </w:r>
      <w:r w:rsidR="00DE3A3D">
        <w:rPr>
          <w:color w:val="auto"/>
        </w:rPr>
        <w:t xml:space="preserve">the </w:t>
      </w:r>
      <w:r w:rsidR="00AB3269">
        <w:rPr>
          <w:color w:val="auto"/>
        </w:rPr>
        <w:t xml:space="preserve">applicant </w:t>
      </w:r>
      <w:r w:rsidR="00371A00">
        <w:rPr>
          <w:color w:val="auto"/>
        </w:rPr>
        <w:t>had already acquired the propert</w:t>
      </w:r>
      <w:r w:rsidR="007D6335">
        <w:rPr>
          <w:color w:val="auto"/>
        </w:rPr>
        <w:t>y</w:t>
      </w:r>
      <w:r w:rsidR="00371A00">
        <w:rPr>
          <w:color w:val="auto"/>
        </w:rPr>
        <w:t xml:space="preserve"> in breach of the </w:t>
      </w:r>
      <w:r w:rsidR="00B31F80">
        <w:rPr>
          <w:color w:val="auto"/>
        </w:rPr>
        <w:t xml:space="preserve">FATA </w:t>
      </w:r>
      <w:r w:rsidR="00AB3269">
        <w:rPr>
          <w:color w:val="auto"/>
        </w:rPr>
        <w:t>prior notification requirements</w:t>
      </w:r>
      <w:r w:rsidR="004563D8">
        <w:rPr>
          <w:color w:val="auto"/>
        </w:rPr>
        <w:t xml:space="preserve">. </w:t>
      </w:r>
      <w:r w:rsidR="00AB3269">
        <w:rPr>
          <w:color w:val="auto"/>
        </w:rPr>
        <w:t>As</w:t>
      </w:r>
      <w:r w:rsidR="00AB3269">
        <w:t xml:space="preserve"> </w:t>
      </w:r>
      <w:r w:rsidR="006E775B" w:rsidRPr="006E775B">
        <w:t xml:space="preserve">the </w:t>
      </w:r>
      <w:r w:rsidR="00371A00">
        <w:t>acquisition</w:t>
      </w:r>
      <w:r w:rsidR="006E775B" w:rsidRPr="006E775B">
        <w:t xml:space="preserve"> did not comply with the </w:t>
      </w:r>
      <w:r w:rsidR="00AB3269">
        <w:t xml:space="preserve">requirements of the </w:t>
      </w:r>
      <w:r w:rsidR="006E775B" w:rsidRPr="006E775B">
        <w:t>policy,</w:t>
      </w:r>
      <w:r w:rsidR="006E775B" w:rsidRPr="006E775B">
        <w:rPr>
          <w:color w:val="auto"/>
        </w:rPr>
        <w:t xml:space="preserve"> t</w:t>
      </w:r>
      <w:r w:rsidR="007F212D" w:rsidRPr="006E775B">
        <w:rPr>
          <w:color w:val="auto"/>
        </w:rPr>
        <w:t xml:space="preserve">he </w:t>
      </w:r>
      <w:r w:rsidR="00371A00">
        <w:rPr>
          <w:color w:val="auto"/>
        </w:rPr>
        <w:t>applicant</w:t>
      </w:r>
      <w:r w:rsidR="007F212D" w:rsidRPr="006E775B">
        <w:rPr>
          <w:color w:val="auto"/>
        </w:rPr>
        <w:t xml:space="preserve"> </w:t>
      </w:r>
      <w:r w:rsidR="00AB3269">
        <w:rPr>
          <w:color w:val="auto"/>
        </w:rPr>
        <w:t>sold</w:t>
      </w:r>
      <w:r w:rsidR="007F212D" w:rsidRPr="006E775B">
        <w:rPr>
          <w:color w:val="auto"/>
        </w:rPr>
        <w:t xml:space="preserve"> </w:t>
      </w:r>
      <w:r w:rsidR="00371A00">
        <w:rPr>
          <w:color w:val="auto"/>
        </w:rPr>
        <w:t xml:space="preserve">the </w:t>
      </w:r>
      <w:r w:rsidR="00AB3269">
        <w:rPr>
          <w:color w:val="auto"/>
        </w:rPr>
        <w:t>property</w:t>
      </w:r>
      <w:r w:rsidR="00371A00">
        <w:rPr>
          <w:color w:val="auto"/>
        </w:rPr>
        <w:t xml:space="preserve"> </w:t>
      </w:r>
      <w:r w:rsidR="00063529">
        <w:rPr>
          <w:color w:val="auto"/>
        </w:rPr>
        <w:t>and</w:t>
      </w:r>
      <w:r w:rsidR="006E775B" w:rsidRPr="006E775B">
        <w:rPr>
          <w:color w:val="auto"/>
        </w:rPr>
        <w:t xml:space="preserve"> </w:t>
      </w:r>
      <w:r w:rsidR="00AB3269">
        <w:rPr>
          <w:color w:val="auto"/>
        </w:rPr>
        <w:t xml:space="preserve">a </w:t>
      </w:r>
      <w:r w:rsidR="006E775B" w:rsidRPr="006E775B">
        <w:rPr>
          <w:color w:val="auto"/>
        </w:rPr>
        <w:t xml:space="preserve">Divestiture Order </w:t>
      </w:r>
      <w:r w:rsidR="00063529">
        <w:rPr>
          <w:color w:val="auto"/>
        </w:rPr>
        <w:t>w</w:t>
      </w:r>
      <w:r w:rsidR="007D6335">
        <w:rPr>
          <w:color w:val="auto"/>
        </w:rPr>
        <w:t>as</w:t>
      </w:r>
      <w:r w:rsidR="00063529">
        <w:rPr>
          <w:color w:val="auto"/>
        </w:rPr>
        <w:t xml:space="preserve"> not made</w:t>
      </w:r>
      <w:r w:rsidR="006E775B" w:rsidRPr="006E775B">
        <w:rPr>
          <w:color w:val="auto"/>
        </w:rPr>
        <w:t>.</w:t>
      </w:r>
      <w:r w:rsidR="00DE3A3D">
        <w:rPr>
          <w:color w:val="auto"/>
        </w:rPr>
        <w:t xml:space="preserve"> </w:t>
      </w:r>
    </w:p>
    <w:p w:rsidR="002D67CD" w:rsidRPr="002677B7" w:rsidRDefault="00D107DC" w:rsidP="002D67CD">
      <w:pPr>
        <w:keepNext/>
        <w:rPr>
          <w:color w:val="auto"/>
        </w:rPr>
      </w:pPr>
      <w:r>
        <w:rPr>
          <w:color w:val="auto"/>
        </w:rPr>
        <w:t>R</w:t>
      </w:r>
      <w:r w:rsidR="002D67CD" w:rsidRPr="002677B7">
        <w:rPr>
          <w:color w:val="auto"/>
        </w:rPr>
        <w:t>ejections</w:t>
      </w:r>
      <w:r w:rsidR="00AB3269">
        <w:rPr>
          <w:color w:val="auto"/>
        </w:rPr>
        <w:t xml:space="preserve"> would arise</w:t>
      </w:r>
      <w:r w:rsidRPr="002677B7">
        <w:rPr>
          <w:color w:val="auto"/>
        </w:rPr>
        <w:t xml:space="preserve"> </w:t>
      </w:r>
      <w:r w:rsidR="00AB3269">
        <w:rPr>
          <w:color w:val="auto"/>
        </w:rPr>
        <w:t xml:space="preserve">where </w:t>
      </w:r>
      <w:r w:rsidR="0099557B">
        <w:rPr>
          <w:color w:val="auto"/>
        </w:rPr>
        <w:t xml:space="preserve">the </w:t>
      </w:r>
      <w:r w:rsidR="00AB3269">
        <w:rPr>
          <w:color w:val="auto"/>
        </w:rPr>
        <w:t>acquisition was inconsistent with the policy, for example</w:t>
      </w:r>
      <w:r w:rsidR="00992B3D">
        <w:rPr>
          <w:color w:val="auto"/>
        </w:rPr>
        <w:t>,</w:t>
      </w:r>
      <w:r w:rsidR="00AB3269">
        <w:rPr>
          <w:color w:val="auto"/>
        </w:rPr>
        <w:t xml:space="preserve"> where the </w:t>
      </w:r>
      <w:r w:rsidR="0099557B" w:rsidRPr="002677B7">
        <w:rPr>
          <w:color w:val="auto"/>
        </w:rPr>
        <w:t>prospective foreign purchaser</w:t>
      </w:r>
      <w:r w:rsidR="002D67CD" w:rsidRPr="002677B7">
        <w:rPr>
          <w:color w:val="auto"/>
        </w:rPr>
        <w:t>:</w:t>
      </w:r>
    </w:p>
    <w:p w:rsidR="002D67CD" w:rsidRPr="002677B7" w:rsidRDefault="00D107DC" w:rsidP="002D67CD">
      <w:pPr>
        <w:pStyle w:val="Bullet"/>
        <w:keepNext/>
      </w:pPr>
      <w:r>
        <w:rPr>
          <w:color w:val="auto"/>
        </w:rPr>
        <w:t>d</w:t>
      </w:r>
      <w:r w:rsidR="00AB3269">
        <w:rPr>
          <w:color w:val="auto"/>
        </w:rPr>
        <w:t>id</w:t>
      </w:r>
      <w:r w:rsidRPr="002677B7">
        <w:rPr>
          <w:color w:val="auto"/>
        </w:rPr>
        <w:t xml:space="preserve"> </w:t>
      </w:r>
      <w:r w:rsidR="002D67CD" w:rsidRPr="002677B7">
        <w:rPr>
          <w:color w:val="auto"/>
        </w:rPr>
        <w:t>not hold a temporary resident</w:t>
      </w:r>
      <w:r w:rsidR="00C22DBB">
        <w:rPr>
          <w:color w:val="auto"/>
        </w:rPr>
        <w:t xml:space="preserve"> </w:t>
      </w:r>
      <w:r w:rsidR="002D67CD" w:rsidRPr="002677B7">
        <w:rPr>
          <w:color w:val="auto"/>
        </w:rPr>
        <w:t xml:space="preserve">visa </w:t>
      </w:r>
      <w:r>
        <w:rPr>
          <w:color w:val="auto"/>
        </w:rPr>
        <w:t>permitting</w:t>
      </w:r>
      <w:r w:rsidR="002D67CD" w:rsidRPr="002677B7">
        <w:rPr>
          <w:color w:val="auto"/>
        </w:rPr>
        <w:t xml:space="preserve"> continuous residence in Australia </w:t>
      </w:r>
      <w:r w:rsidR="0053339E">
        <w:rPr>
          <w:color w:val="auto"/>
        </w:rPr>
        <w:t>which during 2007</w:t>
      </w:r>
      <w:r w:rsidR="007D00F8">
        <w:rPr>
          <w:color w:val="auto"/>
        </w:rPr>
        <w:noBreakHyphen/>
      </w:r>
      <w:r w:rsidR="0053339E">
        <w:rPr>
          <w:color w:val="auto"/>
        </w:rPr>
        <w:t xml:space="preserve">08 was required to be </w:t>
      </w:r>
      <w:r w:rsidR="002D67CD" w:rsidRPr="002677B7">
        <w:rPr>
          <w:color w:val="auto"/>
        </w:rPr>
        <w:t xml:space="preserve">for a period of </w:t>
      </w:r>
      <w:r>
        <w:rPr>
          <w:color w:val="auto"/>
        </w:rPr>
        <w:t xml:space="preserve">at least </w:t>
      </w:r>
      <w:r w:rsidR="002D67CD" w:rsidRPr="002677B7">
        <w:rPr>
          <w:color w:val="auto"/>
        </w:rPr>
        <w:t>12 months;</w:t>
      </w:r>
    </w:p>
    <w:p w:rsidR="002D67CD" w:rsidRPr="002677B7" w:rsidRDefault="00D107DC" w:rsidP="002D67CD">
      <w:pPr>
        <w:pStyle w:val="Bullet"/>
      </w:pPr>
      <w:r>
        <w:rPr>
          <w:color w:val="auto"/>
        </w:rPr>
        <w:t>d</w:t>
      </w:r>
      <w:r w:rsidR="00AB3269">
        <w:rPr>
          <w:color w:val="auto"/>
        </w:rPr>
        <w:t>id</w:t>
      </w:r>
      <w:r>
        <w:rPr>
          <w:color w:val="auto"/>
        </w:rPr>
        <w:t xml:space="preserve"> </w:t>
      </w:r>
      <w:r w:rsidRPr="002677B7">
        <w:rPr>
          <w:color w:val="auto"/>
        </w:rPr>
        <w:t xml:space="preserve"> </w:t>
      </w:r>
      <w:r w:rsidR="002D67CD" w:rsidRPr="002677B7">
        <w:rPr>
          <w:color w:val="auto"/>
        </w:rPr>
        <w:t xml:space="preserve">not </w:t>
      </w:r>
      <w:r>
        <w:rPr>
          <w:color w:val="auto"/>
        </w:rPr>
        <w:t>intend</w:t>
      </w:r>
      <w:r w:rsidRPr="002677B7">
        <w:rPr>
          <w:color w:val="auto"/>
        </w:rPr>
        <w:t xml:space="preserve"> </w:t>
      </w:r>
      <w:r w:rsidR="002D67CD" w:rsidRPr="002677B7">
        <w:rPr>
          <w:color w:val="auto"/>
        </w:rPr>
        <w:t xml:space="preserve">to use the property </w:t>
      </w:r>
      <w:r w:rsidR="002D67CD" w:rsidRPr="002677B7">
        <w:t>as their principal place of residence; and/or</w:t>
      </w:r>
    </w:p>
    <w:p w:rsidR="002D67CD" w:rsidRPr="002677B7" w:rsidRDefault="00D107DC" w:rsidP="002D67CD">
      <w:pPr>
        <w:pStyle w:val="Bullet"/>
      </w:pPr>
      <w:r>
        <w:lastRenderedPageBreak/>
        <w:t>h</w:t>
      </w:r>
      <w:r w:rsidR="00AB3269">
        <w:t>eld</w:t>
      </w:r>
      <w:r w:rsidRPr="002677B7">
        <w:t xml:space="preserve"> </w:t>
      </w:r>
      <w:r w:rsidR="002D67CD" w:rsidRPr="002677B7">
        <w:t>a student visa and the value of the property they propose</w:t>
      </w:r>
      <w:r w:rsidR="0053339E">
        <w:t>d</w:t>
      </w:r>
      <w:r w:rsidR="002D67CD" w:rsidRPr="002677B7">
        <w:t xml:space="preserve"> to purchase exceed</w:t>
      </w:r>
      <w:r>
        <w:t>s</w:t>
      </w:r>
      <w:r w:rsidR="002D67CD" w:rsidRPr="002677B7">
        <w:t xml:space="preserve"> the $300,000 general limit applicable </w:t>
      </w:r>
      <w:r w:rsidR="0053339E">
        <w:t>in 2007</w:t>
      </w:r>
      <w:r w:rsidR="007D00F8">
        <w:noBreakHyphen/>
      </w:r>
      <w:r w:rsidR="0053339E">
        <w:t xml:space="preserve">08 </w:t>
      </w:r>
      <w:r w:rsidR="002D67CD" w:rsidRPr="002677B7">
        <w:t>to student visa holders.</w:t>
      </w:r>
      <w:r w:rsidR="0053339E">
        <w:t xml:space="preserve"> </w:t>
      </w:r>
    </w:p>
    <w:p w:rsidR="002D67CD" w:rsidRPr="00C403AC" w:rsidRDefault="002D67CD" w:rsidP="00D962CE">
      <w:pPr>
        <w:pStyle w:val="Heading5"/>
      </w:pPr>
      <w:r w:rsidRPr="00C403AC">
        <w:t>For development</w:t>
      </w:r>
    </w:p>
    <w:p w:rsidR="002D67CD" w:rsidRDefault="002D67CD" w:rsidP="002D67CD">
      <w:r w:rsidRPr="00CE7A8C">
        <w:rPr>
          <w:color w:val="auto"/>
        </w:rPr>
        <w:t>In 200</w:t>
      </w:r>
      <w:r w:rsidR="004B3E58">
        <w:rPr>
          <w:color w:val="auto"/>
        </w:rPr>
        <w:t>7</w:t>
      </w:r>
      <w:r w:rsidR="007D00F8">
        <w:rPr>
          <w:color w:val="auto"/>
        </w:rPr>
        <w:noBreakHyphen/>
      </w:r>
      <w:r w:rsidRPr="00CE7A8C">
        <w:rPr>
          <w:color w:val="auto"/>
        </w:rPr>
        <w:t>0</w:t>
      </w:r>
      <w:r w:rsidR="004B3E58">
        <w:rPr>
          <w:color w:val="auto"/>
        </w:rPr>
        <w:t>8</w:t>
      </w:r>
      <w:r w:rsidRPr="00CE7A8C">
        <w:rPr>
          <w:color w:val="auto"/>
        </w:rPr>
        <w:t>,</w:t>
      </w:r>
      <w:r w:rsidR="007B4769">
        <w:rPr>
          <w:color w:val="auto"/>
        </w:rPr>
        <w:t xml:space="preserve"> </w:t>
      </w:r>
      <w:r w:rsidR="004B3E58">
        <w:rPr>
          <w:color w:val="auto"/>
        </w:rPr>
        <w:t>3,156</w:t>
      </w:r>
      <w:r w:rsidR="00B80F94" w:rsidRPr="00CE7A8C">
        <w:rPr>
          <w:color w:val="auto"/>
        </w:rPr>
        <w:t> </w:t>
      </w:r>
      <w:r w:rsidRPr="00CE7A8C">
        <w:rPr>
          <w:color w:val="auto"/>
        </w:rPr>
        <w:t xml:space="preserve">proposals were approved for acquisitions of </w:t>
      </w:r>
      <w:r w:rsidRPr="00E0562F">
        <w:rPr>
          <w:b/>
        </w:rPr>
        <w:t>residential real</w:t>
      </w:r>
      <w:r w:rsidR="00DE3A3D" w:rsidRPr="00E0562F">
        <w:rPr>
          <w:b/>
        </w:rPr>
        <w:t xml:space="preserve"> </w:t>
      </w:r>
      <w:r w:rsidRPr="00E0562F">
        <w:rPr>
          <w:b/>
        </w:rPr>
        <w:t xml:space="preserve">estate </w:t>
      </w:r>
      <w:r w:rsidRPr="00DE3A3D">
        <w:rPr>
          <w:b/>
        </w:rPr>
        <w:t>for development</w:t>
      </w:r>
      <w:r w:rsidR="00DE3A3D">
        <w:t xml:space="preserve"> </w:t>
      </w:r>
      <w:r w:rsidRPr="00CE7A8C">
        <w:t>(including eligible redevelopment)</w:t>
      </w:r>
      <w:r w:rsidR="004B3E58">
        <w:t>, a 25 per cent increase on the</w:t>
      </w:r>
      <w:r w:rsidRPr="00CE7A8C">
        <w:rPr>
          <w:color w:val="auto"/>
        </w:rPr>
        <w:t xml:space="preserve"> </w:t>
      </w:r>
      <w:r w:rsidR="004B3E58">
        <w:rPr>
          <w:color w:val="auto"/>
        </w:rPr>
        <w:t>2,523</w:t>
      </w:r>
      <w:r w:rsidR="00C22DBB">
        <w:rPr>
          <w:color w:val="auto"/>
        </w:rPr>
        <w:t xml:space="preserve"> </w:t>
      </w:r>
      <w:r w:rsidRPr="00CE7A8C">
        <w:rPr>
          <w:color w:val="auto"/>
        </w:rPr>
        <w:t>in 200</w:t>
      </w:r>
      <w:r w:rsidR="004B3E58">
        <w:rPr>
          <w:color w:val="auto"/>
        </w:rPr>
        <w:t>6</w:t>
      </w:r>
      <w:r w:rsidR="007D00F8">
        <w:rPr>
          <w:color w:val="auto"/>
        </w:rPr>
        <w:noBreakHyphen/>
      </w:r>
      <w:r w:rsidRPr="00CE7A8C">
        <w:rPr>
          <w:color w:val="auto"/>
        </w:rPr>
        <w:t>0</w:t>
      </w:r>
      <w:r w:rsidR="004B3E58">
        <w:rPr>
          <w:color w:val="auto"/>
        </w:rPr>
        <w:t>7</w:t>
      </w:r>
      <w:r w:rsidRPr="00CE7A8C">
        <w:t>.</w:t>
      </w:r>
      <w:r w:rsidRPr="000F434C">
        <w:rPr>
          <w:rStyle w:val="FootnoteReference"/>
          <w:rFonts w:cs="Palatino"/>
        </w:rPr>
        <w:footnoteReference w:id="10"/>
      </w:r>
      <w:r>
        <w:t xml:space="preserve"> </w:t>
      </w:r>
      <w:r w:rsidR="004B3E58">
        <w:rPr>
          <w:color w:val="auto"/>
        </w:rPr>
        <w:t>P</w:t>
      </w:r>
      <w:r w:rsidR="00DE78C4">
        <w:rPr>
          <w:color w:val="auto"/>
        </w:rPr>
        <w:t>roposed investment</w:t>
      </w:r>
      <w:r>
        <w:rPr>
          <w:color w:val="auto"/>
        </w:rPr>
        <w:t xml:space="preserve"> </w:t>
      </w:r>
      <w:r w:rsidR="004B3E58">
        <w:rPr>
          <w:color w:val="auto"/>
        </w:rPr>
        <w:t>increased by 5</w:t>
      </w:r>
      <w:r w:rsidR="00265134">
        <w:rPr>
          <w:color w:val="auto"/>
        </w:rPr>
        <w:t>2</w:t>
      </w:r>
      <w:r w:rsidR="004B3E58">
        <w:rPr>
          <w:color w:val="auto"/>
        </w:rPr>
        <w:t xml:space="preserve"> per cent to </w:t>
      </w:r>
      <w:r w:rsidRPr="001F68CF">
        <w:rPr>
          <w:color w:val="auto"/>
        </w:rPr>
        <w:t>$</w:t>
      </w:r>
      <w:r w:rsidR="007B4769">
        <w:rPr>
          <w:color w:val="auto"/>
        </w:rPr>
        <w:t>1</w:t>
      </w:r>
      <w:r w:rsidR="004B3E58">
        <w:rPr>
          <w:color w:val="auto"/>
        </w:rPr>
        <w:t>7</w:t>
      </w:r>
      <w:r w:rsidR="007B4769">
        <w:rPr>
          <w:color w:val="auto"/>
        </w:rPr>
        <w:t>.</w:t>
      </w:r>
      <w:r w:rsidR="004B3E58">
        <w:rPr>
          <w:color w:val="auto"/>
        </w:rPr>
        <w:t>0</w:t>
      </w:r>
      <w:r w:rsidRPr="001F68CF">
        <w:rPr>
          <w:color w:val="auto"/>
        </w:rPr>
        <w:t xml:space="preserve"> billion </w:t>
      </w:r>
      <w:r w:rsidR="004B3E58">
        <w:rPr>
          <w:color w:val="auto"/>
        </w:rPr>
        <w:t>(</w:t>
      </w:r>
      <w:r w:rsidRPr="001F68CF">
        <w:rPr>
          <w:color w:val="auto"/>
        </w:rPr>
        <w:t>$</w:t>
      </w:r>
      <w:r w:rsidR="00C22DBB" w:rsidRPr="001F68CF">
        <w:rPr>
          <w:color w:val="auto"/>
        </w:rPr>
        <w:t>1</w:t>
      </w:r>
      <w:r w:rsidR="004B3E58">
        <w:rPr>
          <w:color w:val="auto"/>
        </w:rPr>
        <w:t>1</w:t>
      </w:r>
      <w:r w:rsidR="00C22DBB" w:rsidRPr="001F68CF">
        <w:rPr>
          <w:color w:val="auto"/>
        </w:rPr>
        <w:t>.</w:t>
      </w:r>
      <w:r w:rsidR="00AD651F">
        <w:rPr>
          <w:color w:val="auto"/>
        </w:rPr>
        <w:t>2</w:t>
      </w:r>
      <w:r w:rsidRPr="001F68CF">
        <w:rPr>
          <w:color w:val="auto"/>
        </w:rPr>
        <w:t> billion in 200</w:t>
      </w:r>
      <w:r w:rsidR="004B3E58">
        <w:rPr>
          <w:color w:val="auto"/>
        </w:rPr>
        <w:t>6</w:t>
      </w:r>
      <w:r w:rsidR="007D00F8">
        <w:rPr>
          <w:color w:val="auto"/>
        </w:rPr>
        <w:noBreakHyphen/>
      </w:r>
      <w:r w:rsidRPr="001F68CF">
        <w:rPr>
          <w:color w:val="auto"/>
        </w:rPr>
        <w:t>0</w:t>
      </w:r>
      <w:r w:rsidR="004B3E58">
        <w:rPr>
          <w:color w:val="auto"/>
        </w:rPr>
        <w:t>7)</w:t>
      </w:r>
      <w:r w:rsidRPr="001F68CF">
        <w:rPr>
          <w:color w:val="auto"/>
        </w:rPr>
        <w:t xml:space="preserve">. </w:t>
      </w:r>
      <w:r w:rsidRPr="001F68CF">
        <w:t>Proposed development</w:t>
      </w:r>
      <w:r>
        <w:t xml:space="preserve"> </w:t>
      </w:r>
      <w:r w:rsidRPr="001F68CF">
        <w:t xml:space="preserve">expenditure </w:t>
      </w:r>
      <w:r w:rsidR="00C22DBB">
        <w:t>increased</w:t>
      </w:r>
      <w:r w:rsidR="00C22DBB" w:rsidRPr="001F68CF">
        <w:t xml:space="preserve"> </w:t>
      </w:r>
      <w:r w:rsidRPr="001F68CF">
        <w:t>from $</w:t>
      </w:r>
      <w:r w:rsidR="004B3E58">
        <w:t>2.0 </w:t>
      </w:r>
      <w:r w:rsidR="004B3E58" w:rsidRPr="001F68CF">
        <w:t xml:space="preserve">billion in </w:t>
      </w:r>
      <w:r w:rsidR="004B3E58" w:rsidRPr="001F68CF">
        <w:rPr>
          <w:color w:val="auto"/>
        </w:rPr>
        <w:t>200</w:t>
      </w:r>
      <w:r w:rsidR="004B3E58">
        <w:rPr>
          <w:color w:val="auto"/>
        </w:rPr>
        <w:t>6</w:t>
      </w:r>
      <w:r w:rsidR="007D00F8">
        <w:rPr>
          <w:color w:val="auto"/>
        </w:rPr>
        <w:noBreakHyphen/>
      </w:r>
      <w:r w:rsidR="004B3E58" w:rsidRPr="001F68CF">
        <w:rPr>
          <w:color w:val="auto"/>
        </w:rPr>
        <w:t>0</w:t>
      </w:r>
      <w:r w:rsidR="004B3E58">
        <w:rPr>
          <w:color w:val="auto"/>
        </w:rPr>
        <w:t xml:space="preserve">7 </w:t>
      </w:r>
      <w:r w:rsidRPr="001F68CF">
        <w:t>to $</w:t>
      </w:r>
      <w:bookmarkStart w:id="32" w:name="OLE_LINK40"/>
      <w:bookmarkStart w:id="33" w:name="OLE_LINK41"/>
      <w:r w:rsidR="004B3E58">
        <w:t>3.7</w:t>
      </w:r>
      <w:r w:rsidR="00C22DBB">
        <w:t> </w:t>
      </w:r>
      <w:r w:rsidRPr="001F68CF">
        <w:t xml:space="preserve">billion in </w:t>
      </w:r>
      <w:r w:rsidRPr="001F68CF">
        <w:rPr>
          <w:color w:val="auto"/>
        </w:rPr>
        <w:t>200</w:t>
      </w:r>
      <w:r w:rsidR="004B3E58">
        <w:rPr>
          <w:color w:val="auto"/>
        </w:rPr>
        <w:t>7</w:t>
      </w:r>
      <w:r w:rsidR="007D00F8">
        <w:rPr>
          <w:color w:val="auto"/>
        </w:rPr>
        <w:noBreakHyphen/>
      </w:r>
      <w:r w:rsidRPr="001F68CF">
        <w:rPr>
          <w:color w:val="auto"/>
        </w:rPr>
        <w:t>0</w:t>
      </w:r>
      <w:r w:rsidR="004B3E58">
        <w:rPr>
          <w:color w:val="auto"/>
        </w:rPr>
        <w:t>8</w:t>
      </w:r>
      <w:bookmarkEnd w:id="32"/>
      <w:bookmarkEnd w:id="33"/>
      <w:r w:rsidRPr="001F68CF">
        <w:t>.</w:t>
      </w:r>
    </w:p>
    <w:p w:rsidR="002D67CD" w:rsidRPr="00B41D44" w:rsidRDefault="005E6279" w:rsidP="002D67CD">
      <w:pPr>
        <w:rPr>
          <w:color w:val="auto"/>
        </w:rPr>
      </w:pPr>
      <w:r w:rsidRPr="005E6279">
        <w:rPr>
          <w:bCs/>
          <w:color w:val="auto"/>
        </w:rPr>
        <w:t>Th</w:t>
      </w:r>
      <w:r w:rsidR="00DE3A3D">
        <w:rPr>
          <w:bCs/>
          <w:color w:val="auto"/>
        </w:rPr>
        <w:t xml:space="preserve">e </w:t>
      </w:r>
      <w:r w:rsidR="00DE3A3D" w:rsidRPr="00207350">
        <w:rPr>
          <w:bCs/>
          <w:i/>
          <w:color w:val="auto"/>
        </w:rPr>
        <w:t>vacant land</w:t>
      </w:r>
      <w:r w:rsidR="002D67CD" w:rsidRPr="003D33F1">
        <w:rPr>
          <w:color w:val="auto"/>
        </w:rPr>
        <w:t xml:space="preserve"> </w:t>
      </w:r>
      <w:r>
        <w:rPr>
          <w:color w:val="auto"/>
        </w:rPr>
        <w:t xml:space="preserve">category consists primarily </w:t>
      </w:r>
      <w:r w:rsidR="002D67CD" w:rsidRPr="003D33F1">
        <w:rPr>
          <w:color w:val="auto"/>
        </w:rPr>
        <w:t xml:space="preserve">of individual blocks of land </w:t>
      </w:r>
      <w:r>
        <w:rPr>
          <w:color w:val="auto"/>
        </w:rPr>
        <w:t xml:space="preserve">purchased </w:t>
      </w:r>
      <w:r w:rsidR="007411AF">
        <w:rPr>
          <w:color w:val="auto"/>
        </w:rPr>
        <w:t>for</w:t>
      </w:r>
      <w:r>
        <w:rPr>
          <w:color w:val="auto"/>
        </w:rPr>
        <w:t xml:space="preserve"> </w:t>
      </w:r>
      <w:r w:rsidRPr="003D33F1">
        <w:rPr>
          <w:color w:val="auto"/>
        </w:rPr>
        <w:t>single dwelling construction</w:t>
      </w:r>
      <w:r w:rsidR="00DE3A3D">
        <w:rPr>
          <w:color w:val="auto"/>
        </w:rPr>
        <w:t>. It</w:t>
      </w:r>
      <w:r>
        <w:rPr>
          <w:color w:val="auto"/>
        </w:rPr>
        <w:t xml:space="preserve"> also includes</w:t>
      </w:r>
      <w:r w:rsidR="002D67CD" w:rsidRPr="003D33F1">
        <w:rPr>
          <w:color w:val="auto"/>
        </w:rPr>
        <w:t xml:space="preserve"> broadacre land for residential subdivision and </w:t>
      </w:r>
      <w:r>
        <w:rPr>
          <w:color w:val="auto"/>
        </w:rPr>
        <w:t>multiple</w:t>
      </w:r>
      <w:r w:rsidR="007D00F8">
        <w:rPr>
          <w:color w:val="auto"/>
        </w:rPr>
        <w:noBreakHyphen/>
      </w:r>
      <w:r>
        <w:rPr>
          <w:color w:val="auto"/>
        </w:rPr>
        <w:t>dwelling</w:t>
      </w:r>
      <w:r w:rsidR="002D67CD" w:rsidRPr="003D33F1">
        <w:rPr>
          <w:color w:val="auto"/>
        </w:rPr>
        <w:t xml:space="preserve"> residential developments (such as townhouses and units). In 200</w:t>
      </w:r>
      <w:r w:rsidR="00D74705">
        <w:rPr>
          <w:color w:val="auto"/>
        </w:rPr>
        <w:t>7</w:t>
      </w:r>
      <w:r w:rsidR="007D00F8">
        <w:rPr>
          <w:color w:val="auto"/>
        </w:rPr>
        <w:noBreakHyphen/>
      </w:r>
      <w:r w:rsidR="002D67CD" w:rsidRPr="003D33F1">
        <w:rPr>
          <w:color w:val="auto"/>
        </w:rPr>
        <w:t>0</w:t>
      </w:r>
      <w:r w:rsidR="00D74705">
        <w:rPr>
          <w:color w:val="auto"/>
        </w:rPr>
        <w:t>8</w:t>
      </w:r>
      <w:r w:rsidR="002D67CD" w:rsidRPr="003D33F1">
        <w:rPr>
          <w:color w:val="auto"/>
        </w:rPr>
        <w:t xml:space="preserve">, </w:t>
      </w:r>
      <w:r w:rsidR="00C22DBB">
        <w:rPr>
          <w:color w:val="auto"/>
        </w:rPr>
        <w:t>1,</w:t>
      </w:r>
      <w:r w:rsidR="00D74705">
        <w:rPr>
          <w:color w:val="auto"/>
        </w:rPr>
        <w:t>667</w:t>
      </w:r>
      <w:r>
        <w:rPr>
          <w:color w:val="auto"/>
        </w:rPr>
        <w:t xml:space="preserve"> </w:t>
      </w:r>
      <w:r w:rsidR="007411AF">
        <w:rPr>
          <w:color w:val="auto"/>
        </w:rPr>
        <w:t>vacant land</w:t>
      </w:r>
      <w:r w:rsidR="007411AF" w:rsidRPr="003D33F1">
        <w:rPr>
          <w:color w:val="auto"/>
        </w:rPr>
        <w:t xml:space="preserve"> </w:t>
      </w:r>
      <w:r w:rsidR="002D67CD" w:rsidRPr="003D33F1">
        <w:rPr>
          <w:color w:val="auto"/>
        </w:rPr>
        <w:t xml:space="preserve">proposals </w:t>
      </w:r>
      <w:r w:rsidR="002D67CD" w:rsidRPr="000C18E8">
        <w:rPr>
          <w:color w:val="auto"/>
        </w:rPr>
        <w:t>were approved</w:t>
      </w:r>
      <w:r w:rsidR="007411AF">
        <w:rPr>
          <w:color w:val="auto"/>
        </w:rPr>
        <w:t xml:space="preserve"> </w:t>
      </w:r>
      <w:r w:rsidR="007411AF" w:rsidRPr="003D33F1">
        <w:rPr>
          <w:color w:val="auto"/>
        </w:rPr>
        <w:t>(</w:t>
      </w:r>
      <w:r w:rsidR="007411AF">
        <w:rPr>
          <w:color w:val="auto"/>
        </w:rPr>
        <w:t>a 2</w:t>
      </w:r>
      <w:r w:rsidR="00D74705">
        <w:rPr>
          <w:color w:val="auto"/>
        </w:rPr>
        <w:t>1</w:t>
      </w:r>
      <w:r w:rsidR="007411AF">
        <w:rPr>
          <w:color w:val="auto"/>
        </w:rPr>
        <w:t xml:space="preserve"> per cent increase on the </w:t>
      </w:r>
      <w:r w:rsidR="00D74705">
        <w:rPr>
          <w:color w:val="auto"/>
        </w:rPr>
        <w:t>1,378</w:t>
      </w:r>
      <w:r w:rsidR="007411AF" w:rsidRPr="003D33F1">
        <w:rPr>
          <w:color w:val="auto"/>
        </w:rPr>
        <w:t xml:space="preserve"> in</w:t>
      </w:r>
      <w:r w:rsidR="007411AF" w:rsidRPr="000C18E8">
        <w:rPr>
          <w:color w:val="auto"/>
        </w:rPr>
        <w:t xml:space="preserve"> </w:t>
      </w:r>
      <w:r w:rsidR="007411AF" w:rsidRPr="003D33F1">
        <w:rPr>
          <w:color w:val="auto"/>
        </w:rPr>
        <w:t>200</w:t>
      </w:r>
      <w:r w:rsidR="00D74705">
        <w:rPr>
          <w:color w:val="auto"/>
        </w:rPr>
        <w:t>6</w:t>
      </w:r>
      <w:r w:rsidR="007D00F8">
        <w:rPr>
          <w:color w:val="auto"/>
        </w:rPr>
        <w:noBreakHyphen/>
      </w:r>
      <w:r w:rsidR="007411AF" w:rsidRPr="003D33F1">
        <w:rPr>
          <w:color w:val="auto"/>
        </w:rPr>
        <w:t>0</w:t>
      </w:r>
      <w:r w:rsidR="00D74705">
        <w:rPr>
          <w:color w:val="auto"/>
        </w:rPr>
        <w:t>7</w:t>
      </w:r>
      <w:r w:rsidR="007411AF" w:rsidRPr="000C18E8">
        <w:rPr>
          <w:color w:val="auto"/>
        </w:rPr>
        <w:t>)</w:t>
      </w:r>
      <w:r w:rsidR="002D67CD" w:rsidRPr="000C18E8">
        <w:rPr>
          <w:color w:val="auto"/>
        </w:rPr>
        <w:t xml:space="preserve">, with </w:t>
      </w:r>
      <w:r w:rsidR="00DE78C4">
        <w:rPr>
          <w:color w:val="auto"/>
        </w:rPr>
        <w:t>proposed investment</w:t>
      </w:r>
      <w:r w:rsidR="002D67CD" w:rsidRPr="000C18E8">
        <w:rPr>
          <w:color w:val="auto"/>
        </w:rPr>
        <w:t xml:space="preserve"> of $</w:t>
      </w:r>
      <w:r w:rsidR="00681D58">
        <w:rPr>
          <w:color w:val="auto"/>
        </w:rPr>
        <w:t>3</w:t>
      </w:r>
      <w:r w:rsidR="007B4769">
        <w:rPr>
          <w:color w:val="auto"/>
        </w:rPr>
        <w:t>.9</w:t>
      </w:r>
      <w:r w:rsidR="002D67CD" w:rsidRPr="000C18E8">
        <w:rPr>
          <w:color w:val="auto"/>
        </w:rPr>
        <w:t> billion ($</w:t>
      </w:r>
      <w:r w:rsidR="00681D58">
        <w:rPr>
          <w:color w:val="auto"/>
        </w:rPr>
        <w:t>2.9</w:t>
      </w:r>
      <w:r w:rsidR="002D67CD" w:rsidRPr="000C18E8">
        <w:rPr>
          <w:color w:val="auto"/>
        </w:rPr>
        <w:t> billion</w:t>
      </w:r>
      <w:r w:rsidR="005145F4">
        <w:rPr>
          <w:color w:val="auto"/>
        </w:rPr>
        <w:t xml:space="preserve"> in</w:t>
      </w:r>
      <w:r w:rsidR="002D67CD" w:rsidRPr="000C18E8">
        <w:rPr>
          <w:color w:val="auto"/>
        </w:rPr>
        <w:t xml:space="preserve"> 200</w:t>
      </w:r>
      <w:r w:rsidR="00681D58">
        <w:rPr>
          <w:color w:val="auto"/>
        </w:rPr>
        <w:t>6</w:t>
      </w:r>
      <w:r w:rsidR="007D00F8">
        <w:rPr>
          <w:color w:val="auto"/>
        </w:rPr>
        <w:noBreakHyphen/>
      </w:r>
      <w:r w:rsidR="002D67CD" w:rsidRPr="000C18E8">
        <w:rPr>
          <w:color w:val="auto"/>
        </w:rPr>
        <w:t>0</w:t>
      </w:r>
      <w:r w:rsidR="00681D58">
        <w:rPr>
          <w:color w:val="auto"/>
        </w:rPr>
        <w:t>7</w:t>
      </w:r>
      <w:r w:rsidR="002D67CD" w:rsidRPr="000C18E8">
        <w:rPr>
          <w:color w:val="auto"/>
        </w:rPr>
        <w:t>).</w:t>
      </w:r>
      <w:r w:rsidR="007B4769">
        <w:rPr>
          <w:color w:val="auto"/>
        </w:rPr>
        <w:t xml:space="preserve"> </w:t>
      </w:r>
      <w:r w:rsidR="002D67CD" w:rsidRPr="000C18E8">
        <w:rPr>
          <w:color w:val="auto"/>
        </w:rPr>
        <w:t xml:space="preserve">Approvals </w:t>
      </w:r>
      <w:r w:rsidR="00DE3A3D">
        <w:rPr>
          <w:color w:val="auto"/>
        </w:rPr>
        <w:t>during 2007</w:t>
      </w:r>
      <w:r w:rsidR="007D00F8">
        <w:rPr>
          <w:color w:val="auto"/>
        </w:rPr>
        <w:noBreakHyphen/>
      </w:r>
      <w:r w:rsidR="00DE3A3D">
        <w:rPr>
          <w:color w:val="auto"/>
        </w:rPr>
        <w:t>08 were</w:t>
      </w:r>
      <w:r w:rsidR="002D67CD" w:rsidRPr="000C18E8">
        <w:rPr>
          <w:color w:val="auto"/>
        </w:rPr>
        <w:t xml:space="preserve"> subject to a condition that continuous development commence</w:t>
      </w:r>
      <w:r w:rsidR="00A82C3F">
        <w:rPr>
          <w:color w:val="auto"/>
        </w:rPr>
        <w:t>d</w:t>
      </w:r>
      <w:r w:rsidR="002D67CD" w:rsidRPr="000C18E8">
        <w:rPr>
          <w:color w:val="auto"/>
        </w:rPr>
        <w:t xml:space="preserve"> within 12 months</w:t>
      </w:r>
      <w:r w:rsidR="003707FF">
        <w:rPr>
          <w:color w:val="auto"/>
        </w:rPr>
        <w:t xml:space="preserve">, </w:t>
      </w:r>
      <w:r w:rsidR="00A16D0F">
        <w:rPr>
          <w:color w:val="auto"/>
        </w:rPr>
        <w:t>involving expenditure of at least 50 per cent of the acquisition cost of the land</w:t>
      </w:r>
      <w:r w:rsidR="002D67CD" w:rsidRPr="000C18E8">
        <w:rPr>
          <w:color w:val="auto"/>
        </w:rPr>
        <w:t xml:space="preserve">. </w:t>
      </w:r>
      <w:r w:rsidR="00A16D0F">
        <w:rPr>
          <w:color w:val="auto"/>
        </w:rPr>
        <w:t xml:space="preserve">The </w:t>
      </w:r>
      <w:r w:rsidR="00E77AF7">
        <w:rPr>
          <w:color w:val="auto"/>
        </w:rPr>
        <w:t>applicant</w:t>
      </w:r>
      <w:r w:rsidR="00E77AF7" w:rsidRPr="000C18E8">
        <w:rPr>
          <w:color w:val="auto"/>
        </w:rPr>
        <w:t xml:space="preserve"> </w:t>
      </w:r>
      <w:r w:rsidR="00E77AF7">
        <w:rPr>
          <w:color w:val="auto"/>
        </w:rPr>
        <w:t>is</w:t>
      </w:r>
      <w:r w:rsidR="002D67CD" w:rsidRPr="000C18E8">
        <w:rPr>
          <w:color w:val="auto"/>
        </w:rPr>
        <w:t xml:space="preserve"> required to report on the completion of development to demonstrate compliance with the development condition</w:t>
      </w:r>
      <w:r w:rsidR="00E77AF7">
        <w:rPr>
          <w:color w:val="auto"/>
        </w:rPr>
        <w:t>s</w:t>
      </w:r>
      <w:r w:rsidR="002D67CD" w:rsidRPr="000C18E8">
        <w:rPr>
          <w:color w:val="auto"/>
        </w:rPr>
        <w:t xml:space="preserve">. </w:t>
      </w:r>
    </w:p>
    <w:p w:rsidR="00A414BF" w:rsidRDefault="00207350" w:rsidP="002D67CD">
      <w:pPr>
        <w:rPr>
          <w:color w:val="auto"/>
        </w:rPr>
      </w:pPr>
      <w:r>
        <w:rPr>
          <w:color w:val="auto"/>
        </w:rPr>
        <w:t xml:space="preserve">The </w:t>
      </w:r>
      <w:bookmarkStart w:id="34" w:name="OLE_LINK54"/>
      <w:bookmarkStart w:id="35" w:name="OLE_LINK55"/>
      <w:r w:rsidR="0032356D" w:rsidRPr="00EF70C4">
        <w:rPr>
          <w:i/>
          <w:color w:val="auto"/>
        </w:rPr>
        <w:t>new</w:t>
      </w:r>
      <w:r w:rsidR="00EF70C4">
        <w:rPr>
          <w:i/>
          <w:color w:val="auto"/>
        </w:rPr>
        <w:t xml:space="preserve"> </w:t>
      </w:r>
      <w:r w:rsidR="0032356D" w:rsidRPr="00EF70C4">
        <w:rPr>
          <w:i/>
          <w:color w:val="auto"/>
        </w:rPr>
        <w:t>dwellings</w:t>
      </w:r>
      <w:bookmarkEnd w:id="34"/>
      <w:bookmarkEnd w:id="35"/>
      <w:r w:rsidR="00153033" w:rsidRPr="00153033">
        <w:rPr>
          <w:rStyle w:val="FootnoteReference"/>
          <w:bCs/>
          <w:color w:val="auto"/>
        </w:rPr>
        <w:footnoteReference w:id="11"/>
      </w:r>
      <w:r w:rsidRPr="00153033">
        <w:rPr>
          <w:bCs/>
          <w:color w:val="auto"/>
        </w:rPr>
        <w:t xml:space="preserve"> </w:t>
      </w:r>
      <w:r w:rsidR="00EF70C4">
        <w:rPr>
          <w:bCs/>
          <w:color w:val="auto"/>
        </w:rPr>
        <w:t>category</w:t>
      </w:r>
      <w:r w:rsidR="00DA2AB0">
        <w:rPr>
          <w:bCs/>
          <w:color w:val="auto"/>
        </w:rPr>
        <w:t xml:space="preserve"> </w:t>
      </w:r>
      <w:r w:rsidR="00EF70C4">
        <w:rPr>
          <w:bCs/>
          <w:color w:val="auto"/>
        </w:rPr>
        <w:t xml:space="preserve">consists of </w:t>
      </w:r>
      <w:r w:rsidR="00420EE7">
        <w:rPr>
          <w:color w:val="auto"/>
        </w:rPr>
        <w:t xml:space="preserve">applications by </w:t>
      </w:r>
      <w:r w:rsidRPr="006E00E1">
        <w:rPr>
          <w:color w:val="auto"/>
        </w:rPr>
        <w:t xml:space="preserve">individuals </w:t>
      </w:r>
      <w:r w:rsidR="00420EE7">
        <w:rPr>
          <w:color w:val="auto"/>
        </w:rPr>
        <w:t xml:space="preserve">to </w:t>
      </w:r>
      <w:r w:rsidR="00DA2AB0">
        <w:rPr>
          <w:color w:val="auto"/>
        </w:rPr>
        <w:t xml:space="preserve">acquire </w:t>
      </w:r>
      <w:r w:rsidR="00420EE7">
        <w:rPr>
          <w:color w:val="auto"/>
        </w:rPr>
        <w:t>new</w:t>
      </w:r>
      <w:r w:rsidR="00DA2AB0">
        <w:rPr>
          <w:color w:val="auto"/>
        </w:rPr>
        <w:t>ly</w:t>
      </w:r>
      <w:r w:rsidR="005B37DA">
        <w:rPr>
          <w:color w:val="auto"/>
        </w:rPr>
        <w:t xml:space="preserve"> </w:t>
      </w:r>
      <w:r w:rsidR="00DA2AB0">
        <w:rPr>
          <w:color w:val="auto"/>
        </w:rPr>
        <w:t xml:space="preserve">constructed </w:t>
      </w:r>
      <w:r w:rsidR="00420EE7">
        <w:rPr>
          <w:color w:val="auto"/>
        </w:rPr>
        <w:t xml:space="preserve">dwellings directly from </w:t>
      </w:r>
      <w:r w:rsidRPr="006E00E1">
        <w:rPr>
          <w:iCs/>
          <w:color w:val="auto"/>
        </w:rPr>
        <w:t>developers</w:t>
      </w:r>
      <w:r w:rsidR="00DA2AB0">
        <w:rPr>
          <w:iCs/>
          <w:color w:val="auto"/>
        </w:rPr>
        <w:t xml:space="preserve"> and applications by developers</w:t>
      </w:r>
      <w:r w:rsidR="00DA2AB0" w:rsidRPr="00DA2AB0">
        <w:t xml:space="preserve"> </w:t>
      </w:r>
      <w:r w:rsidR="00DA2AB0">
        <w:t>to sell up to 50 per cent of new residences to foreign interests</w:t>
      </w:r>
      <w:r w:rsidR="00E33900">
        <w:t>. I</w:t>
      </w:r>
      <w:r w:rsidR="009E4C74">
        <w:t>f a developer is given approval, individuals need not apply for approval</w:t>
      </w:r>
      <w:r w:rsidRPr="006E00E1">
        <w:rPr>
          <w:iCs/>
          <w:color w:val="auto"/>
        </w:rPr>
        <w:t>.</w:t>
      </w:r>
      <w:r w:rsidR="00F95CB2">
        <w:rPr>
          <w:iCs/>
          <w:color w:val="auto"/>
        </w:rPr>
        <w:t xml:space="preserve"> </w:t>
      </w:r>
      <w:r w:rsidR="00A414BF">
        <w:rPr>
          <w:color w:val="auto"/>
        </w:rPr>
        <w:t xml:space="preserve">The developer </w:t>
      </w:r>
      <w:r w:rsidR="00EE1DFA">
        <w:rPr>
          <w:color w:val="auto"/>
        </w:rPr>
        <w:t>must</w:t>
      </w:r>
      <w:r w:rsidR="00A414BF">
        <w:rPr>
          <w:color w:val="auto"/>
        </w:rPr>
        <w:t xml:space="preserve"> report on </w:t>
      </w:r>
      <w:r w:rsidR="00A414BF" w:rsidRPr="00BC7170">
        <w:rPr>
          <w:color w:val="auto"/>
        </w:rPr>
        <w:t>sales</w:t>
      </w:r>
      <w:r w:rsidR="00EE1DFA">
        <w:rPr>
          <w:color w:val="auto"/>
        </w:rPr>
        <w:t xml:space="preserve"> to ensure the 50 per cent limit is </w:t>
      </w:r>
      <w:r w:rsidR="00633F81">
        <w:rPr>
          <w:color w:val="auto"/>
        </w:rPr>
        <w:t>not exceeded</w:t>
      </w:r>
      <w:r w:rsidR="00A414BF" w:rsidRPr="00BC7170">
        <w:rPr>
          <w:color w:val="auto"/>
        </w:rPr>
        <w:t>.</w:t>
      </w:r>
      <w:r w:rsidR="00EE1DFA">
        <w:rPr>
          <w:color w:val="auto"/>
        </w:rPr>
        <w:t xml:space="preserve"> </w:t>
      </w:r>
    </w:p>
    <w:p w:rsidR="00EE1DFA" w:rsidRDefault="002D67CD" w:rsidP="002D67CD">
      <w:pPr>
        <w:rPr>
          <w:color w:val="auto"/>
        </w:rPr>
      </w:pPr>
      <w:r w:rsidRPr="00B41D44">
        <w:rPr>
          <w:color w:val="auto"/>
        </w:rPr>
        <w:t xml:space="preserve">In </w:t>
      </w:r>
      <w:r w:rsidRPr="00131690">
        <w:rPr>
          <w:color w:val="auto"/>
        </w:rPr>
        <w:t>200</w:t>
      </w:r>
      <w:r w:rsidR="00681D58">
        <w:rPr>
          <w:color w:val="auto"/>
        </w:rPr>
        <w:t>7</w:t>
      </w:r>
      <w:r w:rsidR="007D00F8">
        <w:rPr>
          <w:color w:val="auto"/>
        </w:rPr>
        <w:noBreakHyphen/>
      </w:r>
      <w:r w:rsidRPr="00131690">
        <w:rPr>
          <w:color w:val="auto"/>
        </w:rPr>
        <w:t>0</w:t>
      </w:r>
      <w:r w:rsidR="00681D58">
        <w:rPr>
          <w:color w:val="auto"/>
        </w:rPr>
        <w:t>8</w:t>
      </w:r>
      <w:r w:rsidRPr="00B41D44">
        <w:rPr>
          <w:color w:val="auto"/>
        </w:rPr>
        <w:t xml:space="preserve">, </w:t>
      </w:r>
      <w:r w:rsidR="00681D58">
        <w:rPr>
          <w:color w:val="auto"/>
        </w:rPr>
        <w:t>1,043 </w:t>
      </w:r>
      <w:r w:rsidRPr="00B41D44">
        <w:rPr>
          <w:color w:val="auto"/>
        </w:rPr>
        <w:t>proposals</w:t>
      </w:r>
      <w:r>
        <w:rPr>
          <w:color w:val="auto"/>
        </w:rPr>
        <w:t xml:space="preserve"> from</w:t>
      </w:r>
      <w:r w:rsidRPr="00B41D44">
        <w:rPr>
          <w:color w:val="auto"/>
        </w:rPr>
        <w:t xml:space="preserve"> </w:t>
      </w:r>
      <w:r w:rsidRPr="00207350">
        <w:rPr>
          <w:iCs/>
          <w:color w:val="auto"/>
        </w:rPr>
        <w:t>individuals</w:t>
      </w:r>
      <w:r>
        <w:rPr>
          <w:color w:val="auto"/>
        </w:rPr>
        <w:t xml:space="preserve"> were approved</w:t>
      </w:r>
      <w:r w:rsidRPr="00BC7170">
        <w:rPr>
          <w:color w:val="auto"/>
        </w:rPr>
        <w:t xml:space="preserve">, involving </w:t>
      </w:r>
      <w:r w:rsidR="00A45873">
        <w:rPr>
          <w:color w:val="auto"/>
        </w:rPr>
        <w:t>acquisition costs</w:t>
      </w:r>
      <w:r w:rsidR="00A45873" w:rsidRPr="00BC7170">
        <w:rPr>
          <w:color w:val="auto"/>
        </w:rPr>
        <w:t xml:space="preserve"> </w:t>
      </w:r>
      <w:r w:rsidRPr="00BC7170">
        <w:rPr>
          <w:color w:val="auto"/>
        </w:rPr>
        <w:t>of $</w:t>
      </w:r>
      <w:r w:rsidR="00681D58">
        <w:rPr>
          <w:color w:val="auto"/>
        </w:rPr>
        <w:t>661.9</w:t>
      </w:r>
      <w:r w:rsidR="0079024C" w:rsidRPr="00BC7170">
        <w:rPr>
          <w:color w:val="auto"/>
        </w:rPr>
        <w:t> </w:t>
      </w:r>
      <w:r w:rsidRPr="00BC7170">
        <w:rPr>
          <w:color w:val="auto"/>
        </w:rPr>
        <w:t xml:space="preserve">million (compared with </w:t>
      </w:r>
      <w:r w:rsidR="00681D58">
        <w:rPr>
          <w:color w:val="auto"/>
        </w:rPr>
        <w:t xml:space="preserve">838 </w:t>
      </w:r>
      <w:r w:rsidRPr="00BC7170">
        <w:rPr>
          <w:color w:val="auto"/>
        </w:rPr>
        <w:t>and</w:t>
      </w:r>
      <w:r w:rsidRPr="001B025C">
        <w:rPr>
          <w:color w:val="auto"/>
        </w:rPr>
        <w:t xml:space="preserve"> </w:t>
      </w:r>
      <w:r w:rsidR="00681D58" w:rsidRPr="00BC7170">
        <w:rPr>
          <w:color w:val="auto"/>
        </w:rPr>
        <w:t>$</w:t>
      </w:r>
      <w:r w:rsidR="00681D58">
        <w:rPr>
          <w:color w:val="auto"/>
        </w:rPr>
        <w:t>476.2</w:t>
      </w:r>
      <w:r w:rsidR="00681D58" w:rsidRPr="00BC7170">
        <w:rPr>
          <w:color w:val="auto"/>
        </w:rPr>
        <w:t> million</w:t>
      </w:r>
      <w:r w:rsidRPr="001B025C">
        <w:rPr>
          <w:color w:val="auto"/>
        </w:rPr>
        <w:t xml:space="preserve"> in 200</w:t>
      </w:r>
      <w:r w:rsidR="00681D58">
        <w:rPr>
          <w:color w:val="auto"/>
        </w:rPr>
        <w:t>6</w:t>
      </w:r>
      <w:r w:rsidR="007D00F8">
        <w:rPr>
          <w:color w:val="auto"/>
        </w:rPr>
        <w:noBreakHyphen/>
      </w:r>
      <w:r w:rsidRPr="001B025C">
        <w:rPr>
          <w:color w:val="auto"/>
        </w:rPr>
        <w:t>0</w:t>
      </w:r>
      <w:r w:rsidR="00681D58">
        <w:rPr>
          <w:color w:val="auto"/>
        </w:rPr>
        <w:t>7</w:t>
      </w:r>
      <w:r w:rsidRPr="001B025C">
        <w:rPr>
          <w:color w:val="auto"/>
        </w:rPr>
        <w:t xml:space="preserve">). </w:t>
      </w:r>
      <w:r w:rsidRPr="00BC7170">
        <w:rPr>
          <w:color w:val="auto"/>
        </w:rPr>
        <w:t xml:space="preserve">There were </w:t>
      </w:r>
      <w:r w:rsidR="00852B47">
        <w:rPr>
          <w:color w:val="auto"/>
        </w:rPr>
        <w:t xml:space="preserve">324 </w:t>
      </w:r>
      <w:r w:rsidR="00A16D0F">
        <w:rPr>
          <w:color w:val="auto"/>
        </w:rPr>
        <w:t xml:space="preserve">advance </w:t>
      </w:r>
      <w:r w:rsidR="00A16D0F" w:rsidRPr="00A16D0F">
        <w:rPr>
          <w:bCs/>
          <w:color w:val="auto"/>
        </w:rPr>
        <w:t>off</w:t>
      </w:r>
      <w:r w:rsidR="007D00F8">
        <w:rPr>
          <w:bCs/>
          <w:color w:val="auto"/>
        </w:rPr>
        <w:noBreakHyphen/>
      </w:r>
      <w:r w:rsidR="00A16D0F" w:rsidRPr="00A16D0F">
        <w:rPr>
          <w:bCs/>
          <w:color w:val="auto"/>
        </w:rPr>
        <w:t>the</w:t>
      </w:r>
      <w:r w:rsidR="007D00F8">
        <w:rPr>
          <w:bCs/>
          <w:color w:val="auto"/>
        </w:rPr>
        <w:noBreakHyphen/>
      </w:r>
      <w:r w:rsidR="00A16D0F" w:rsidRPr="00A16D0F">
        <w:rPr>
          <w:bCs/>
          <w:color w:val="auto"/>
        </w:rPr>
        <w:t>plan</w:t>
      </w:r>
      <w:r w:rsidR="00A16D0F">
        <w:rPr>
          <w:color w:val="auto"/>
        </w:rPr>
        <w:t xml:space="preserve"> </w:t>
      </w:r>
      <w:r w:rsidR="00A414BF">
        <w:rPr>
          <w:color w:val="auto"/>
        </w:rPr>
        <w:t xml:space="preserve">approvals to </w:t>
      </w:r>
      <w:r w:rsidRPr="00A414BF">
        <w:rPr>
          <w:iCs/>
          <w:color w:val="auto"/>
        </w:rPr>
        <w:t>developers</w:t>
      </w:r>
      <w:r>
        <w:rPr>
          <w:color w:val="auto"/>
        </w:rPr>
        <w:t xml:space="preserve"> </w:t>
      </w:r>
      <w:r w:rsidR="00A414BF">
        <w:rPr>
          <w:color w:val="auto"/>
        </w:rPr>
        <w:t>cover</w:t>
      </w:r>
      <w:r w:rsidR="00A16D0F">
        <w:rPr>
          <w:color w:val="auto"/>
        </w:rPr>
        <w:t>ing</w:t>
      </w:r>
      <w:r w:rsidR="00A414BF">
        <w:rPr>
          <w:color w:val="auto"/>
        </w:rPr>
        <w:t xml:space="preserve"> sales</w:t>
      </w:r>
      <w:r>
        <w:rPr>
          <w:color w:val="auto"/>
        </w:rPr>
        <w:t xml:space="preserve"> </w:t>
      </w:r>
      <w:r w:rsidR="00A414BF">
        <w:rPr>
          <w:color w:val="auto"/>
        </w:rPr>
        <w:t xml:space="preserve">in new </w:t>
      </w:r>
      <w:r w:rsidR="00A16D0F">
        <w:rPr>
          <w:color w:val="auto"/>
        </w:rPr>
        <w:t>multi</w:t>
      </w:r>
      <w:r w:rsidR="007D00F8">
        <w:rPr>
          <w:color w:val="auto"/>
        </w:rPr>
        <w:noBreakHyphen/>
      </w:r>
      <w:r w:rsidR="00A16D0F">
        <w:rPr>
          <w:color w:val="auto"/>
        </w:rPr>
        <w:t xml:space="preserve">unit </w:t>
      </w:r>
      <w:r w:rsidR="00A414BF">
        <w:rPr>
          <w:color w:val="auto"/>
        </w:rPr>
        <w:t xml:space="preserve">residential developments </w:t>
      </w:r>
      <w:r>
        <w:rPr>
          <w:color w:val="auto"/>
        </w:rPr>
        <w:t>(compared wit</w:t>
      </w:r>
      <w:r w:rsidRPr="001B025C">
        <w:rPr>
          <w:color w:val="auto"/>
        </w:rPr>
        <w:t xml:space="preserve">h </w:t>
      </w:r>
      <w:r w:rsidR="00852B47">
        <w:rPr>
          <w:color w:val="auto"/>
        </w:rPr>
        <w:t>238</w:t>
      </w:r>
      <w:r w:rsidR="00852B47" w:rsidRPr="001B025C">
        <w:rPr>
          <w:color w:val="auto"/>
        </w:rPr>
        <w:t xml:space="preserve"> </w:t>
      </w:r>
      <w:r w:rsidRPr="001B025C">
        <w:rPr>
          <w:color w:val="auto"/>
        </w:rPr>
        <w:t xml:space="preserve">in </w:t>
      </w:r>
      <w:r w:rsidR="000B0346" w:rsidRPr="001B025C">
        <w:rPr>
          <w:color w:val="auto"/>
        </w:rPr>
        <w:t>200</w:t>
      </w:r>
      <w:r w:rsidR="00852B47">
        <w:rPr>
          <w:color w:val="auto"/>
        </w:rPr>
        <w:t>6</w:t>
      </w:r>
      <w:r w:rsidR="007D00F8">
        <w:rPr>
          <w:color w:val="auto"/>
        </w:rPr>
        <w:noBreakHyphen/>
      </w:r>
      <w:r w:rsidR="000B0346" w:rsidRPr="001B025C">
        <w:rPr>
          <w:color w:val="auto"/>
        </w:rPr>
        <w:t>0</w:t>
      </w:r>
      <w:r w:rsidR="00852B47">
        <w:rPr>
          <w:color w:val="auto"/>
        </w:rPr>
        <w:t>7</w:t>
      </w:r>
      <w:r w:rsidRPr="001B025C">
        <w:rPr>
          <w:color w:val="auto"/>
        </w:rPr>
        <w:t xml:space="preserve">). </w:t>
      </w:r>
      <w:r w:rsidRPr="00BC7170">
        <w:rPr>
          <w:color w:val="auto"/>
        </w:rPr>
        <w:t>Th</w:t>
      </w:r>
      <w:r w:rsidR="00EE1DFA">
        <w:rPr>
          <w:color w:val="auto"/>
        </w:rPr>
        <w:t>is involved an increase</w:t>
      </w:r>
      <w:r w:rsidR="00A16D0F">
        <w:rPr>
          <w:color w:val="auto"/>
        </w:rPr>
        <w:t xml:space="preserve">d approval value of </w:t>
      </w:r>
      <w:r w:rsidR="00FC0F9D">
        <w:rPr>
          <w:color w:val="auto"/>
        </w:rPr>
        <w:t>64</w:t>
      </w:r>
      <w:r w:rsidR="00D83446">
        <w:rPr>
          <w:color w:val="auto"/>
        </w:rPr>
        <w:t xml:space="preserve"> per cent</w:t>
      </w:r>
      <w:r w:rsidR="00283C75">
        <w:rPr>
          <w:color w:val="auto"/>
        </w:rPr>
        <w:t>,</w:t>
      </w:r>
      <w:r w:rsidR="00D83446">
        <w:rPr>
          <w:color w:val="auto"/>
        </w:rPr>
        <w:t xml:space="preserve"> </w:t>
      </w:r>
      <w:r w:rsidR="00A16D0F">
        <w:rPr>
          <w:color w:val="auto"/>
        </w:rPr>
        <w:t xml:space="preserve">up </w:t>
      </w:r>
      <w:r w:rsidR="00EE1DFA">
        <w:rPr>
          <w:color w:val="auto"/>
        </w:rPr>
        <w:t xml:space="preserve">from </w:t>
      </w:r>
      <w:r w:rsidR="00EE1DFA" w:rsidRPr="00BC7170">
        <w:rPr>
          <w:color w:val="auto"/>
        </w:rPr>
        <w:t>$</w:t>
      </w:r>
      <w:r w:rsidR="00EE1DFA">
        <w:rPr>
          <w:color w:val="auto"/>
        </w:rPr>
        <w:t xml:space="preserve">5.8 </w:t>
      </w:r>
      <w:r w:rsidR="00EE1DFA" w:rsidRPr="00BC7170">
        <w:rPr>
          <w:color w:val="auto"/>
        </w:rPr>
        <w:t>billion in 200</w:t>
      </w:r>
      <w:r w:rsidR="00EE1DFA">
        <w:rPr>
          <w:color w:val="auto"/>
        </w:rPr>
        <w:t>6</w:t>
      </w:r>
      <w:r w:rsidR="007D00F8">
        <w:rPr>
          <w:color w:val="auto"/>
        </w:rPr>
        <w:noBreakHyphen/>
      </w:r>
      <w:r w:rsidR="00EE1DFA" w:rsidRPr="00BC7170">
        <w:rPr>
          <w:color w:val="auto"/>
        </w:rPr>
        <w:t>0</w:t>
      </w:r>
      <w:r w:rsidR="00EE1DFA">
        <w:rPr>
          <w:color w:val="auto"/>
        </w:rPr>
        <w:t xml:space="preserve">7 </w:t>
      </w:r>
      <w:r w:rsidR="00EE1DFA" w:rsidRPr="00BC7170">
        <w:rPr>
          <w:color w:val="auto"/>
        </w:rPr>
        <w:t>to $</w:t>
      </w:r>
      <w:r w:rsidR="00EE1DFA">
        <w:rPr>
          <w:color w:val="auto"/>
        </w:rPr>
        <w:t xml:space="preserve">9.5 </w:t>
      </w:r>
      <w:r w:rsidR="00EE1DFA" w:rsidRPr="00BC7170">
        <w:rPr>
          <w:color w:val="auto"/>
        </w:rPr>
        <w:t>billion in 200</w:t>
      </w:r>
      <w:r w:rsidR="00EE1DFA">
        <w:rPr>
          <w:color w:val="auto"/>
        </w:rPr>
        <w:t>7</w:t>
      </w:r>
      <w:r w:rsidR="007D00F8">
        <w:rPr>
          <w:color w:val="auto"/>
        </w:rPr>
        <w:noBreakHyphen/>
      </w:r>
      <w:r w:rsidR="00EE1DFA" w:rsidRPr="00BC7170">
        <w:rPr>
          <w:color w:val="auto"/>
        </w:rPr>
        <w:t>0</w:t>
      </w:r>
      <w:r w:rsidR="00EE1DFA">
        <w:rPr>
          <w:color w:val="auto"/>
        </w:rPr>
        <w:t>8.</w:t>
      </w:r>
    </w:p>
    <w:p w:rsidR="002D67CD" w:rsidRPr="008B333C" w:rsidRDefault="002D67CD" w:rsidP="002D67CD">
      <w:pPr>
        <w:rPr>
          <w:color w:val="auto"/>
        </w:rPr>
      </w:pPr>
      <w:r w:rsidRPr="008B333C">
        <w:rPr>
          <w:color w:val="auto"/>
        </w:rPr>
        <w:t>Certain points should be noted in relation to the</w:t>
      </w:r>
      <w:r w:rsidR="0056360D">
        <w:rPr>
          <w:color w:val="auto"/>
        </w:rPr>
        <w:t xml:space="preserve"> figures</w:t>
      </w:r>
      <w:r w:rsidRPr="008A109D">
        <w:rPr>
          <w:color w:val="auto"/>
        </w:rPr>
        <w:t xml:space="preserve"> for </w:t>
      </w:r>
      <w:r w:rsidR="00BB5B8E">
        <w:rPr>
          <w:color w:val="auto"/>
        </w:rPr>
        <w:t xml:space="preserve">advance </w:t>
      </w:r>
      <w:r w:rsidRPr="008A109D">
        <w:rPr>
          <w:color w:val="auto"/>
        </w:rPr>
        <w:t>off</w:t>
      </w:r>
      <w:r w:rsidR="007D00F8">
        <w:rPr>
          <w:color w:val="auto"/>
        </w:rPr>
        <w:noBreakHyphen/>
      </w:r>
      <w:r w:rsidRPr="008A109D">
        <w:rPr>
          <w:color w:val="auto"/>
        </w:rPr>
        <w:t>the</w:t>
      </w:r>
      <w:r w:rsidR="007D00F8">
        <w:rPr>
          <w:color w:val="auto"/>
        </w:rPr>
        <w:noBreakHyphen/>
      </w:r>
      <w:r w:rsidRPr="008A109D">
        <w:rPr>
          <w:color w:val="auto"/>
        </w:rPr>
        <w:t>plan app</w:t>
      </w:r>
      <w:r w:rsidR="00A16D0F">
        <w:rPr>
          <w:color w:val="auto"/>
        </w:rPr>
        <w:t>rovals</w:t>
      </w:r>
      <w:r w:rsidRPr="008A109D">
        <w:rPr>
          <w:color w:val="auto"/>
        </w:rPr>
        <w:t>. First</w:t>
      </w:r>
      <w:r>
        <w:rPr>
          <w:color w:val="auto"/>
        </w:rPr>
        <w:t>ly</w:t>
      </w:r>
      <w:r w:rsidRPr="008A109D">
        <w:rPr>
          <w:color w:val="auto"/>
        </w:rPr>
        <w:t>, the Board</w:t>
      </w:r>
      <w:r>
        <w:rPr>
          <w:color w:val="auto"/>
        </w:rPr>
        <w:t>’</w:t>
      </w:r>
      <w:r w:rsidRPr="008A109D">
        <w:rPr>
          <w:color w:val="auto"/>
        </w:rPr>
        <w:t xml:space="preserve">s figures overstate the likely </w:t>
      </w:r>
      <w:r w:rsidR="009E3F39">
        <w:rPr>
          <w:color w:val="auto"/>
        </w:rPr>
        <w:t>level</w:t>
      </w:r>
      <w:r w:rsidRPr="008B333C">
        <w:rPr>
          <w:color w:val="auto"/>
        </w:rPr>
        <w:t xml:space="preserve"> </w:t>
      </w:r>
      <w:r w:rsidR="00A810B0">
        <w:rPr>
          <w:color w:val="auto"/>
        </w:rPr>
        <w:t xml:space="preserve">and hence value </w:t>
      </w:r>
      <w:r w:rsidRPr="008B333C">
        <w:rPr>
          <w:color w:val="auto"/>
        </w:rPr>
        <w:t xml:space="preserve">of </w:t>
      </w:r>
      <w:r>
        <w:rPr>
          <w:color w:val="auto"/>
        </w:rPr>
        <w:t xml:space="preserve">actual </w:t>
      </w:r>
      <w:r w:rsidRPr="008B333C">
        <w:rPr>
          <w:color w:val="auto"/>
        </w:rPr>
        <w:t>foreign purchases</w:t>
      </w:r>
      <w:r w:rsidR="004563D8">
        <w:rPr>
          <w:color w:val="auto"/>
        </w:rPr>
        <w:t xml:space="preserve">. </w:t>
      </w:r>
      <w:r w:rsidR="000A7583">
        <w:rPr>
          <w:color w:val="auto"/>
        </w:rPr>
        <w:t>I</w:t>
      </w:r>
      <w:r w:rsidR="003B3CA1">
        <w:rPr>
          <w:color w:val="auto"/>
        </w:rPr>
        <w:t xml:space="preserve">n practice, </w:t>
      </w:r>
      <w:r w:rsidR="00C961F7" w:rsidRPr="00A40FFF">
        <w:rPr>
          <w:color w:val="auto"/>
        </w:rPr>
        <w:t>d</w:t>
      </w:r>
      <w:r w:rsidRPr="00A40FFF">
        <w:rPr>
          <w:color w:val="auto"/>
        </w:rPr>
        <w:t xml:space="preserve">evelopers with </w:t>
      </w:r>
      <w:r w:rsidR="005F765A" w:rsidRPr="00A40FFF">
        <w:rPr>
          <w:color w:val="auto"/>
        </w:rPr>
        <w:t xml:space="preserve">advance </w:t>
      </w:r>
      <w:r w:rsidRPr="00A40FFF">
        <w:rPr>
          <w:color w:val="auto"/>
        </w:rPr>
        <w:t>off</w:t>
      </w:r>
      <w:r w:rsidR="007D00F8">
        <w:rPr>
          <w:color w:val="auto"/>
        </w:rPr>
        <w:noBreakHyphen/>
      </w:r>
      <w:r w:rsidRPr="00A40FFF">
        <w:rPr>
          <w:color w:val="auto"/>
        </w:rPr>
        <w:t>the</w:t>
      </w:r>
      <w:r w:rsidR="007D00F8">
        <w:rPr>
          <w:color w:val="auto"/>
        </w:rPr>
        <w:noBreakHyphen/>
      </w:r>
      <w:r w:rsidRPr="00A40FFF">
        <w:rPr>
          <w:color w:val="auto"/>
        </w:rPr>
        <w:t>plan approval</w:t>
      </w:r>
      <w:r w:rsidR="00C961F7" w:rsidRPr="00A40FFF">
        <w:rPr>
          <w:color w:val="auto"/>
        </w:rPr>
        <w:t>s</w:t>
      </w:r>
      <w:r w:rsidR="003B3CA1" w:rsidRPr="00A40FFF">
        <w:rPr>
          <w:color w:val="auto"/>
        </w:rPr>
        <w:t xml:space="preserve"> </w:t>
      </w:r>
      <w:r w:rsidR="009E3F39" w:rsidRPr="00A40FFF">
        <w:rPr>
          <w:color w:val="auto"/>
        </w:rPr>
        <w:t>sell</w:t>
      </w:r>
      <w:r w:rsidRPr="00A40FFF">
        <w:rPr>
          <w:color w:val="auto"/>
        </w:rPr>
        <w:t xml:space="preserve"> </w:t>
      </w:r>
      <w:r w:rsidR="00C961F7" w:rsidRPr="00A40FFF">
        <w:rPr>
          <w:color w:val="auto"/>
        </w:rPr>
        <w:t xml:space="preserve">substantially less than </w:t>
      </w:r>
      <w:r w:rsidR="00F65ADB" w:rsidRPr="00A40FFF">
        <w:rPr>
          <w:color w:val="auto"/>
        </w:rPr>
        <w:t xml:space="preserve">the approved </w:t>
      </w:r>
      <w:r w:rsidR="00F65ADB" w:rsidRPr="00A40FFF">
        <w:t>50 per cent of new dwellings</w:t>
      </w:r>
      <w:r w:rsidR="000A7583">
        <w:t xml:space="preserve">, </w:t>
      </w:r>
      <w:r w:rsidR="003B3CA1" w:rsidRPr="00A40FFF">
        <w:t xml:space="preserve">and in </w:t>
      </w:r>
      <w:r w:rsidR="00A40FFF" w:rsidRPr="00A40FFF">
        <w:rPr>
          <w:color w:val="auto"/>
        </w:rPr>
        <w:t>m</w:t>
      </w:r>
      <w:r w:rsidRPr="00A40FFF">
        <w:rPr>
          <w:color w:val="auto"/>
        </w:rPr>
        <w:t>os</w:t>
      </w:r>
      <w:r>
        <w:rPr>
          <w:color w:val="auto"/>
        </w:rPr>
        <w:t>t cases</w:t>
      </w:r>
      <w:r w:rsidR="005145F4">
        <w:rPr>
          <w:color w:val="auto"/>
        </w:rPr>
        <w:t>,</w:t>
      </w:r>
      <w:r>
        <w:rPr>
          <w:color w:val="auto"/>
        </w:rPr>
        <w:t xml:space="preserve"> the </w:t>
      </w:r>
      <w:r w:rsidRPr="00F4310C">
        <w:rPr>
          <w:color w:val="auto"/>
        </w:rPr>
        <w:t xml:space="preserve">proportion </w:t>
      </w:r>
      <w:r w:rsidR="000F132E">
        <w:rPr>
          <w:color w:val="auto"/>
        </w:rPr>
        <w:t xml:space="preserve">sold </w:t>
      </w:r>
      <w:r w:rsidRPr="00F4310C">
        <w:rPr>
          <w:color w:val="auto"/>
        </w:rPr>
        <w:t>is under 10 per cent.</w:t>
      </w:r>
      <w:r w:rsidR="00A40FFF">
        <w:rPr>
          <w:color w:val="auto"/>
        </w:rPr>
        <w:t xml:space="preserve"> </w:t>
      </w:r>
      <w:r w:rsidR="00A13D6C">
        <w:rPr>
          <w:color w:val="auto"/>
        </w:rPr>
        <w:t>Secondly, t</w:t>
      </w:r>
      <w:r w:rsidRPr="00F4310C">
        <w:rPr>
          <w:color w:val="auto"/>
        </w:rPr>
        <w:t>he</w:t>
      </w:r>
      <w:r w:rsidR="00E77AF7">
        <w:rPr>
          <w:color w:val="auto"/>
        </w:rPr>
        <w:t xml:space="preserve"> figures </w:t>
      </w:r>
      <w:r w:rsidR="00A40FFF">
        <w:rPr>
          <w:color w:val="auto"/>
        </w:rPr>
        <w:t xml:space="preserve">reflect </w:t>
      </w:r>
      <w:r w:rsidR="009E3F39">
        <w:rPr>
          <w:color w:val="auto"/>
        </w:rPr>
        <w:t xml:space="preserve">the value </w:t>
      </w:r>
      <w:r w:rsidR="00A40FFF">
        <w:rPr>
          <w:color w:val="auto"/>
        </w:rPr>
        <w:t xml:space="preserve">of the dwellings </w:t>
      </w:r>
      <w:r w:rsidR="009E3F39">
        <w:rPr>
          <w:color w:val="auto"/>
        </w:rPr>
        <w:t>in the year of approval</w:t>
      </w:r>
      <w:r w:rsidR="00A40FFF">
        <w:rPr>
          <w:color w:val="auto"/>
        </w:rPr>
        <w:t xml:space="preserve"> (</w:t>
      </w:r>
      <w:r w:rsidR="00AC746C">
        <w:rPr>
          <w:color w:val="auto"/>
        </w:rPr>
        <w:t xml:space="preserve">approvals </w:t>
      </w:r>
      <w:r w:rsidR="009E3F39">
        <w:rPr>
          <w:color w:val="auto"/>
        </w:rPr>
        <w:t xml:space="preserve">usually </w:t>
      </w:r>
      <w:r w:rsidR="00AC746C">
        <w:rPr>
          <w:color w:val="auto"/>
        </w:rPr>
        <w:t xml:space="preserve">occur in </w:t>
      </w:r>
      <w:r w:rsidR="009E3F39">
        <w:rPr>
          <w:color w:val="auto"/>
        </w:rPr>
        <w:t>the construction</w:t>
      </w:r>
      <w:r w:rsidR="00AC746C">
        <w:rPr>
          <w:color w:val="auto"/>
        </w:rPr>
        <w:t xml:space="preserve"> phase</w:t>
      </w:r>
      <w:r w:rsidR="009E3F39">
        <w:rPr>
          <w:color w:val="auto"/>
        </w:rPr>
        <w:t xml:space="preserve"> rather than</w:t>
      </w:r>
      <w:r w:rsidR="00AC746C">
        <w:rPr>
          <w:color w:val="auto"/>
        </w:rPr>
        <w:t xml:space="preserve"> during the </w:t>
      </w:r>
      <w:r w:rsidR="00D50BE7">
        <w:rPr>
          <w:color w:val="auto"/>
        </w:rPr>
        <w:t>sale</w:t>
      </w:r>
      <w:r w:rsidR="00AC746C">
        <w:rPr>
          <w:color w:val="auto"/>
        </w:rPr>
        <w:t xml:space="preserve"> of the dwellings</w:t>
      </w:r>
      <w:r w:rsidR="00A40FFF">
        <w:rPr>
          <w:color w:val="auto"/>
        </w:rPr>
        <w:t>)</w:t>
      </w:r>
      <w:r w:rsidR="009E3F39">
        <w:rPr>
          <w:color w:val="auto"/>
        </w:rPr>
        <w:t>.</w:t>
      </w:r>
      <w:r w:rsidR="0056360D">
        <w:rPr>
          <w:color w:val="auto"/>
        </w:rPr>
        <w:t xml:space="preserve"> </w:t>
      </w:r>
      <w:r w:rsidR="00A40FFF">
        <w:rPr>
          <w:color w:val="auto"/>
        </w:rPr>
        <w:t xml:space="preserve">Further, </w:t>
      </w:r>
      <w:r>
        <w:rPr>
          <w:color w:val="auto"/>
        </w:rPr>
        <w:t xml:space="preserve">the approved value </w:t>
      </w:r>
      <w:r w:rsidR="0056360D">
        <w:rPr>
          <w:color w:val="auto"/>
        </w:rPr>
        <w:t xml:space="preserve">is </w:t>
      </w:r>
      <w:r>
        <w:rPr>
          <w:color w:val="auto"/>
        </w:rPr>
        <w:lastRenderedPageBreak/>
        <w:t xml:space="preserve">attributed entirely to acquisition cost and not to </w:t>
      </w:r>
      <w:r w:rsidRPr="008B333C">
        <w:rPr>
          <w:color w:val="auto"/>
        </w:rPr>
        <w:t>proposed development expenditure</w:t>
      </w:r>
      <w:r w:rsidR="00AC746C">
        <w:rPr>
          <w:color w:val="auto"/>
        </w:rPr>
        <w:t>,</w:t>
      </w:r>
      <w:r w:rsidR="00A810B0">
        <w:rPr>
          <w:color w:val="auto"/>
        </w:rPr>
        <w:t xml:space="preserve"> reflecting </w:t>
      </w:r>
      <w:r w:rsidR="009F23DC">
        <w:rPr>
          <w:color w:val="auto"/>
        </w:rPr>
        <w:t xml:space="preserve">the fact </w:t>
      </w:r>
      <w:r w:rsidR="00A810B0">
        <w:rPr>
          <w:color w:val="auto"/>
        </w:rPr>
        <w:t xml:space="preserve">that </w:t>
      </w:r>
      <w:r>
        <w:rPr>
          <w:color w:val="auto"/>
        </w:rPr>
        <w:t>approval</w:t>
      </w:r>
      <w:r w:rsidR="009F23DC">
        <w:rPr>
          <w:color w:val="auto"/>
        </w:rPr>
        <w:t>s</w:t>
      </w:r>
      <w:r>
        <w:rPr>
          <w:color w:val="auto"/>
        </w:rPr>
        <w:t xml:space="preserve"> relate to</w:t>
      </w:r>
      <w:r w:rsidR="00E660A7">
        <w:rPr>
          <w:color w:val="auto"/>
        </w:rPr>
        <w:t xml:space="preserve"> </w:t>
      </w:r>
      <w:r w:rsidR="00A810B0">
        <w:rPr>
          <w:color w:val="auto"/>
        </w:rPr>
        <w:t xml:space="preserve">ultimate </w:t>
      </w:r>
      <w:r>
        <w:rPr>
          <w:color w:val="auto"/>
        </w:rPr>
        <w:t>purchase</w:t>
      </w:r>
      <w:r w:rsidR="008D1D02">
        <w:rPr>
          <w:color w:val="auto"/>
        </w:rPr>
        <w:t>s</w:t>
      </w:r>
      <w:r w:rsidR="00E660A7">
        <w:rPr>
          <w:color w:val="auto"/>
        </w:rPr>
        <w:t xml:space="preserve"> of</w:t>
      </w:r>
      <w:r w:rsidR="00C15BE9">
        <w:rPr>
          <w:color w:val="auto"/>
        </w:rPr>
        <w:t xml:space="preserve"> </w:t>
      </w:r>
      <w:r w:rsidR="00A810B0">
        <w:rPr>
          <w:color w:val="auto"/>
        </w:rPr>
        <w:t xml:space="preserve">completed </w:t>
      </w:r>
      <w:r w:rsidR="00E660A7">
        <w:rPr>
          <w:color w:val="auto"/>
        </w:rPr>
        <w:t>dwelling</w:t>
      </w:r>
      <w:r w:rsidR="008D1D02">
        <w:rPr>
          <w:color w:val="auto"/>
        </w:rPr>
        <w:t>s</w:t>
      </w:r>
      <w:r w:rsidR="00E660A7">
        <w:rPr>
          <w:color w:val="auto"/>
        </w:rPr>
        <w:t xml:space="preserve"> by foreign persons (</w:t>
      </w:r>
      <w:r w:rsidR="00A810B0">
        <w:rPr>
          <w:color w:val="auto"/>
        </w:rPr>
        <w:t>and not</w:t>
      </w:r>
      <w:r w:rsidR="009F23DC">
        <w:rPr>
          <w:color w:val="auto"/>
        </w:rPr>
        <w:t xml:space="preserve"> to </w:t>
      </w:r>
      <w:r w:rsidR="00A810B0">
        <w:rPr>
          <w:color w:val="auto"/>
        </w:rPr>
        <w:t xml:space="preserve">the developer </w:t>
      </w:r>
      <w:r w:rsidR="00C15BE9">
        <w:rPr>
          <w:color w:val="auto"/>
        </w:rPr>
        <w:t xml:space="preserve">for </w:t>
      </w:r>
      <w:r w:rsidR="00A810B0">
        <w:rPr>
          <w:color w:val="auto"/>
        </w:rPr>
        <w:t xml:space="preserve">the </w:t>
      </w:r>
      <w:r w:rsidR="008D1D02">
        <w:rPr>
          <w:color w:val="auto"/>
        </w:rPr>
        <w:t>development</w:t>
      </w:r>
      <w:r w:rsidR="009F23DC">
        <w:rPr>
          <w:color w:val="auto"/>
        </w:rPr>
        <w:t xml:space="preserve"> of the dwellings</w:t>
      </w:r>
      <w:r w:rsidR="00E660A7">
        <w:rPr>
          <w:color w:val="auto"/>
        </w:rPr>
        <w:t>)</w:t>
      </w:r>
      <w:r>
        <w:rPr>
          <w:color w:val="auto"/>
        </w:rPr>
        <w:t xml:space="preserve">. </w:t>
      </w:r>
    </w:p>
    <w:p w:rsidR="002D67CD" w:rsidRPr="00C55301" w:rsidRDefault="002D67CD" w:rsidP="002D67CD">
      <w:pPr>
        <w:rPr>
          <w:color w:val="auto"/>
        </w:rPr>
      </w:pPr>
      <w:r w:rsidRPr="003D33F1">
        <w:rPr>
          <w:color w:val="auto"/>
        </w:rPr>
        <w:t xml:space="preserve">Developed property for </w:t>
      </w:r>
      <w:r w:rsidRPr="00EF70C4">
        <w:rPr>
          <w:i/>
          <w:color w:val="auto"/>
        </w:rPr>
        <w:t>redevelopment</w:t>
      </w:r>
      <w:r w:rsidRPr="003D33F1">
        <w:rPr>
          <w:color w:val="auto"/>
        </w:rPr>
        <w:t xml:space="preserve"> involves the acquisition of existing property for the purpose of demolition and construction of new residential dwellings. </w:t>
      </w:r>
      <w:r w:rsidR="005236EF">
        <w:rPr>
          <w:color w:val="auto"/>
        </w:rPr>
        <w:t xml:space="preserve">The number of redevelopment proposals </w:t>
      </w:r>
      <w:r w:rsidR="00FC0F9D">
        <w:rPr>
          <w:color w:val="auto"/>
        </w:rPr>
        <w:t xml:space="preserve">increased by 75 per cent </w:t>
      </w:r>
      <w:r w:rsidR="005236EF">
        <w:rPr>
          <w:color w:val="auto"/>
        </w:rPr>
        <w:t xml:space="preserve">with </w:t>
      </w:r>
      <w:r w:rsidR="00ED5B8F">
        <w:rPr>
          <w:color w:val="auto"/>
        </w:rPr>
        <w:t xml:space="preserve">103 </w:t>
      </w:r>
      <w:r w:rsidR="005236EF">
        <w:rPr>
          <w:color w:val="auto"/>
        </w:rPr>
        <w:t>approvals</w:t>
      </w:r>
      <w:r w:rsidR="005236EF" w:rsidRPr="003D33F1">
        <w:t xml:space="preserve"> </w:t>
      </w:r>
      <w:r w:rsidR="005236EF">
        <w:t xml:space="preserve">in </w:t>
      </w:r>
      <w:r w:rsidR="005236EF" w:rsidRPr="003D33F1">
        <w:rPr>
          <w:color w:val="auto"/>
        </w:rPr>
        <w:t>200</w:t>
      </w:r>
      <w:r w:rsidR="00FC0F9D">
        <w:rPr>
          <w:color w:val="auto"/>
        </w:rPr>
        <w:t>7</w:t>
      </w:r>
      <w:r w:rsidR="007D00F8">
        <w:rPr>
          <w:color w:val="auto"/>
        </w:rPr>
        <w:noBreakHyphen/>
      </w:r>
      <w:r w:rsidR="005236EF" w:rsidRPr="003D33F1">
        <w:rPr>
          <w:color w:val="auto"/>
        </w:rPr>
        <w:t>0</w:t>
      </w:r>
      <w:r w:rsidR="00FC0F9D">
        <w:rPr>
          <w:color w:val="auto"/>
        </w:rPr>
        <w:t>8</w:t>
      </w:r>
      <w:r w:rsidR="005236EF">
        <w:rPr>
          <w:color w:val="auto"/>
        </w:rPr>
        <w:t xml:space="preserve"> (</w:t>
      </w:r>
      <w:r w:rsidR="001B1301">
        <w:rPr>
          <w:color w:val="auto"/>
        </w:rPr>
        <w:t xml:space="preserve">compared with </w:t>
      </w:r>
      <w:r w:rsidR="00FC0F9D">
        <w:rPr>
          <w:color w:val="auto"/>
        </w:rPr>
        <w:t xml:space="preserve">59 </w:t>
      </w:r>
      <w:r w:rsidR="005236EF">
        <w:rPr>
          <w:color w:val="auto"/>
        </w:rPr>
        <w:t>the previous year)</w:t>
      </w:r>
      <w:r w:rsidR="002803DE">
        <w:rPr>
          <w:color w:val="auto"/>
        </w:rPr>
        <w:t>.</w:t>
      </w:r>
      <w:r w:rsidR="005236EF">
        <w:rPr>
          <w:color w:val="auto"/>
        </w:rPr>
        <w:t xml:space="preserve"> </w:t>
      </w:r>
      <w:r w:rsidR="002803DE">
        <w:rPr>
          <w:color w:val="auto"/>
        </w:rPr>
        <w:t>T</w:t>
      </w:r>
      <w:r w:rsidR="005236EF">
        <w:rPr>
          <w:color w:val="auto"/>
        </w:rPr>
        <w:t>he prop</w:t>
      </w:r>
      <w:r w:rsidR="001B1301">
        <w:rPr>
          <w:color w:val="auto"/>
        </w:rPr>
        <w:t>o</w:t>
      </w:r>
      <w:r w:rsidR="005236EF">
        <w:rPr>
          <w:color w:val="auto"/>
        </w:rPr>
        <w:t>sed investment associated with these approvals</w:t>
      </w:r>
      <w:r w:rsidR="002803DE">
        <w:rPr>
          <w:color w:val="auto"/>
        </w:rPr>
        <w:t xml:space="preserve"> was</w:t>
      </w:r>
      <w:r w:rsidR="005236EF">
        <w:rPr>
          <w:color w:val="auto"/>
        </w:rPr>
        <w:t xml:space="preserve"> </w:t>
      </w:r>
      <w:r w:rsidR="002803DE" w:rsidRPr="003D33F1">
        <w:rPr>
          <w:color w:val="auto"/>
        </w:rPr>
        <w:t>$</w:t>
      </w:r>
      <w:r w:rsidR="002803DE">
        <w:rPr>
          <w:color w:val="auto"/>
        </w:rPr>
        <w:t>1.6</w:t>
      </w:r>
      <w:r w:rsidR="002803DE" w:rsidRPr="003D33F1">
        <w:rPr>
          <w:color w:val="auto"/>
        </w:rPr>
        <w:t> </w:t>
      </w:r>
      <w:r w:rsidR="002803DE">
        <w:rPr>
          <w:color w:val="auto"/>
        </w:rPr>
        <w:t>b</w:t>
      </w:r>
      <w:r w:rsidR="002803DE" w:rsidRPr="003D33F1">
        <w:rPr>
          <w:color w:val="auto"/>
        </w:rPr>
        <w:t>illion</w:t>
      </w:r>
      <w:r w:rsidR="002803DE">
        <w:rPr>
          <w:color w:val="auto"/>
        </w:rPr>
        <w:t>, more than four times the</w:t>
      </w:r>
      <w:r w:rsidR="005236EF">
        <w:rPr>
          <w:color w:val="auto"/>
        </w:rPr>
        <w:t xml:space="preserve"> </w:t>
      </w:r>
      <w:r w:rsidR="00FC0F9D" w:rsidRPr="003D33F1">
        <w:rPr>
          <w:color w:val="auto"/>
        </w:rPr>
        <w:t>$</w:t>
      </w:r>
      <w:r w:rsidR="00FC0F9D">
        <w:rPr>
          <w:color w:val="auto"/>
        </w:rPr>
        <w:t>365.1</w:t>
      </w:r>
      <w:r w:rsidR="00FC0F9D" w:rsidRPr="003D33F1">
        <w:rPr>
          <w:color w:val="auto"/>
        </w:rPr>
        <w:t> million</w:t>
      </w:r>
      <w:r w:rsidR="00FC0F9D" w:rsidRPr="003D33F1">
        <w:t xml:space="preserve"> </w:t>
      </w:r>
      <w:r w:rsidR="00A810B0">
        <w:t>for</w:t>
      </w:r>
      <w:r w:rsidR="00FC0F9D" w:rsidRPr="003D33F1">
        <w:t xml:space="preserve"> </w:t>
      </w:r>
      <w:r w:rsidR="00FC0F9D" w:rsidRPr="003D33F1">
        <w:rPr>
          <w:color w:val="auto"/>
        </w:rPr>
        <w:t>200</w:t>
      </w:r>
      <w:r w:rsidR="00FC0F9D">
        <w:rPr>
          <w:color w:val="auto"/>
        </w:rPr>
        <w:t>6</w:t>
      </w:r>
      <w:r w:rsidR="007D00F8">
        <w:rPr>
          <w:color w:val="auto"/>
        </w:rPr>
        <w:noBreakHyphen/>
      </w:r>
      <w:r w:rsidR="00FC0F9D" w:rsidRPr="003D33F1">
        <w:rPr>
          <w:color w:val="auto"/>
        </w:rPr>
        <w:t>0</w:t>
      </w:r>
      <w:r w:rsidR="00FC0F9D">
        <w:rPr>
          <w:color w:val="auto"/>
        </w:rPr>
        <w:t>7</w:t>
      </w:r>
      <w:r w:rsidR="008B65D0">
        <w:rPr>
          <w:color w:val="auto"/>
        </w:rPr>
        <w:t>.</w:t>
      </w:r>
      <w:r w:rsidRPr="003D33F1">
        <w:rPr>
          <w:color w:val="auto"/>
        </w:rPr>
        <w:t xml:space="preserve"> Applications for redevelopment primarily involve construction of </w:t>
      </w:r>
      <w:r w:rsidR="008D1D02">
        <w:rPr>
          <w:color w:val="auto"/>
        </w:rPr>
        <w:t>multiple</w:t>
      </w:r>
      <w:r w:rsidR="007D00F8">
        <w:rPr>
          <w:color w:val="auto"/>
        </w:rPr>
        <w:noBreakHyphen/>
      </w:r>
      <w:r w:rsidR="008D1D02">
        <w:rPr>
          <w:color w:val="auto"/>
        </w:rPr>
        <w:t>dwelling</w:t>
      </w:r>
      <w:r w:rsidR="008D1D02" w:rsidRPr="003D33F1">
        <w:rPr>
          <w:color w:val="auto"/>
        </w:rPr>
        <w:t xml:space="preserve"> </w:t>
      </w:r>
      <w:r w:rsidRPr="003D33F1">
        <w:rPr>
          <w:color w:val="auto"/>
        </w:rPr>
        <w:t xml:space="preserve">residential developments (such as </w:t>
      </w:r>
      <w:r w:rsidR="00A810B0">
        <w:rPr>
          <w:color w:val="auto"/>
        </w:rPr>
        <w:t xml:space="preserve">dual occupancy, </w:t>
      </w:r>
      <w:r w:rsidRPr="003D33F1">
        <w:rPr>
          <w:color w:val="auto"/>
        </w:rPr>
        <w:t xml:space="preserve">townhouses and units), since the policy requires </w:t>
      </w:r>
      <w:r w:rsidR="002522C4">
        <w:rPr>
          <w:color w:val="auto"/>
        </w:rPr>
        <w:t>redevelopment</w:t>
      </w:r>
      <w:r w:rsidR="002522C4" w:rsidRPr="003D33F1">
        <w:rPr>
          <w:color w:val="auto"/>
        </w:rPr>
        <w:t xml:space="preserve"> </w:t>
      </w:r>
      <w:r w:rsidR="00A810B0">
        <w:rPr>
          <w:color w:val="auto"/>
        </w:rPr>
        <w:t>approvals</w:t>
      </w:r>
      <w:r w:rsidRPr="003D33F1">
        <w:rPr>
          <w:color w:val="auto"/>
        </w:rPr>
        <w:t xml:space="preserve"> to </w:t>
      </w:r>
      <w:r w:rsidR="00A810B0">
        <w:rPr>
          <w:color w:val="auto"/>
        </w:rPr>
        <w:t>result in</w:t>
      </w:r>
      <w:r w:rsidRPr="003D33F1">
        <w:rPr>
          <w:color w:val="auto"/>
        </w:rPr>
        <w:t xml:space="preserve"> an increase in the housing stock</w:t>
      </w:r>
      <w:r w:rsidR="005145F4">
        <w:rPr>
          <w:color w:val="auto"/>
        </w:rPr>
        <w:t>,</w:t>
      </w:r>
      <w:r w:rsidR="0001750B" w:rsidRPr="003D33F1">
        <w:rPr>
          <w:color w:val="auto"/>
        </w:rPr>
        <w:t xml:space="preserve"> </w:t>
      </w:r>
      <w:r w:rsidR="002522C4">
        <w:rPr>
          <w:color w:val="auto"/>
        </w:rPr>
        <w:t>except where</w:t>
      </w:r>
      <w:r w:rsidR="002522C4" w:rsidRPr="003D33F1">
        <w:rPr>
          <w:color w:val="auto"/>
        </w:rPr>
        <w:t xml:space="preserve"> </w:t>
      </w:r>
      <w:r w:rsidRPr="003D33F1">
        <w:rPr>
          <w:color w:val="auto"/>
        </w:rPr>
        <w:t>the existing dwelling is at the end of its economic life (</w:t>
      </w:r>
      <w:r w:rsidR="008D1D02">
        <w:rPr>
          <w:color w:val="auto"/>
        </w:rPr>
        <w:t xml:space="preserve">meaning it is </w:t>
      </w:r>
      <w:r w:rsidRPr="003D33F1">
        <w:rPr>
          <w:color w:val="auto"/>
        </w:rPr>
        <w:t xml:space="preserve">derelict </w:t>
      </w:r>
      <w:r w:rsidR="008D1D02">
        <w:rPr>
          <w:color w:val="auto"/>
        </w:rPr>
        <w:t>and</w:t>
      </w:r>
      <w:r w:rsidR="008D1D02" w:rsidRPr="003D33F1">
        <w:rPr>
          <w:color w:val="auto"/>
        </w:rPr>
        <w:t xml:space="preserve"> </w:t>
      </w:r>
      <w:r w:rsidRPr="003D33F1">
        <w:rPr>
          <w:color w:val="auto"/>
        </w:rPr>
        <w:t>uninhabitable).</w:t>
      </w:r>
      <w:r w:rsidR="002522C4">
        <w:rPr>
          <w:color w:val="auto"/>
        </w:rPr>
        <w:t xml:space="preserve"> Consequently, the development value will vary from year to year depending on the scale of the individual developments approved in each year.</w:t>
      </w:r>
    </w:p>
    <w:p w:rsidR="002D67CD" w:rsidRPr="008E6EAF" w:rsidRDefault="00BE4F4B" w:rsidP="002D67CD">
      <w:pPr>
        <w:rPr>
          <w:color w:val="auto"/>
        </w:rPr>
      </w:pPr>
      <w:r>
        <w:rPr>
          <w:color w:val="auto"/>
        </w:rPr>
        <w:t xml:space="preserve">In the land for development category, </w:t>
      </w:r>
      <w:r w:rsidR="00BF2420">
        <w:rPr>
          <w:color w:val="auto"/>
        </w:rPr>
        <w:t>1</w:t>
      </w:r>
      <w:r w:rsidR="00867908">
        <w:rPr>
          <w:color w:val="auto"/>
        </w:rPr>
        <w:t>2</w:t>
      </w:r>
      <w:r w:rsidR="005E48B5">
        <w:rPr>
          <w:color w:val="auto"/>
        </w:rPr>
        <w:t xml:space="preserve"> </w:t>
      </w:r>
      <w:r w:rsidR="00BF2420">
        <w:rPr>
          <w:color w:val="auto"/>
        </w:rPr>
        <w:t>applications seeking approval</w:t>
      </w:r>
      <w:r>
        <w:rPr>
          <w:color w:val="auto"/>
        </w:rPr>
        <w:t xml:space="preserve"> in </w:t>
      </w:r>
      <w:r w:rsidRPr="00A81256">
        <w:rPr>
          <w:color w:val="auto"/>
        </w:rPr>
        <w:t>200</w:t>
      </w:r>
      <w:r>
        <w:rPr>
          <w:color w:val="auto"/>
        </w:rPr>
        <w:t>7</w:t>
      </w:r>
      <w:r w:rsidR="007D00F8">
        <w:rPr>
          <w:color w:val="auto"/>
        </w:rPr>
        <w:noBreakHyphen/>
      </w:r>
      <w:r w:rsidRPr="00A81256">
        <w:rPr>
          <w:color w:val="auto"/>
        </w:rPr>
        <w:t>0</w:t>
      </w:r>
      <w:r>
        <w:rPr>
          <w:color w:val="auto"/>
        </w:rPr>
        <w:t>8 were</w:t>
      </w:r>
      <w:r w:rsidR="00BF2420">
        <w:rPr>
          <w:color w:val="auto"/>
        </w:rPr>
        <w:t xml:space="preserve"> </w:t>
      </w:r>
      <w:r w:rsidR="005E48B5">
        <w:rPr>
          <w:color w:val="auto"/>
        </w:rPr>
        <w:t>reject</w:t>
      </w:r>
      <w:r w:rsidR="00BF2420">
        <w:rPr>
          <w:color w:val="auto"/>
        </w:rPr>
        <w:t>ed</w:t>
      </w:r>
      <w:r>
        <w:rPr>
          <w:color w:val="auto"/>
        </w:rPr>
        <w:t xml:space="preserve">, </w:t>
      </w:r>
      <w:r w:rsidR="00BF2420">
        <w:rPr>
          <w:color w:val="auto"/>
        </w:rPr>
        <w:t>compared with</w:t>
      </w:r>
      <w:r w:rsidR="00BF2420" w:rsidRPr="00A81256">
        <w:rPr>
          <w:color w:val="auto"/>
        </w:rPr>
        <w:t xml:space="preserve"> </w:t>
      </w:r>
      <w:r w:rsidR="00BF2420">
        <w:rPr>
          <w:color w:val="auto"/>
        </w:rPr>
        <w:t>1</w:t>
      </w:r>
      <w:r w:rsidR="00867908">
        <w:rPr>
          <w:color w:val="auto"/>
        </w:rPr>
        <w:t>4</w:t>
      </w:r>
      <w:r w:rsidR="00BF2420">
        <w:rPr>
          <w:color w:val="auto"/>
        </w:rPr>
        <w:t xml:space="preserve"> </w:t>
      </w:r>
      <w:r w:rsidR="00BF2420" w:rsidRPr="00A81256">
        <w:rPr>
          <w:color w:val="auto"/>
        </w:rPr>
        <w:t>in 200</w:t>
      </w:r>
      <w:r w:rsidR="00BF2420">
        <w:rPr>
          <w:color w:val="auto"/>
        </w:rPr>
        <w:t>6</w:t>
      </w:r>
      <w:r w:rsidR="007D00F8">
        <w:rPr>
          <w:color w:val="auto"/>
        </w:rPr>
        <w:noBreakHyphen/>
      </w:r>
      <w:r w:rsidR="00BF2420" w:rsidRPr="00A81256">
        <w:rPr>
          <w:color w:val="auto"/>
        </w:rPr>
        <w:t>0</w:t>
      </w:r>
      <w:r w:rsidR="00BF2420">
        <w:rPr>
          <w:color w:val="auto"/>
        </w:rPr>
        <w:t xml:space="preserve">7. </w:t>
      </w:r>
      <w:r w:rsidR="00A810B0">
        <w:rPr>
          <w:color w:val="auto"/>
        </w:rPr>
        <w:t xml:space="preserve">The majority of these </w:t>
      </w:r>
      <w:r w:rsidR="00865004">
        <w:rPr>
          <w:color w:val="auto"/>
        </w:rPr>
        <w:t xml:space="preserve">comprised </w:t>
      </w:r>
      <w:r w:rsidR="00A810B0">
        <w:rPr>
          <w:color w:val="auto"/>
        </w:rPr>
        <w:t>applications for advance off</w:t>
      </w:r>
      <w:r w:rsidR="007D00F8">
        <w:rPr>
          <w:color w:val="auto"/>
        </w:rPr>
        <w:noBreakHyphen/>
      </w:r>
      <w:r w:rsidR="00A810B0">
        <w:rPr>
          <w:color w:val="auto"/>
        </w:rPr>
        <w:t>the</w:t>
      </w:r>
      <w:r w:rsidR="007D00F8">
        <w:rPr>
          <w:color w:val="auto"/>
        </w:rPr>
        <w:noBreakHyphen/>
      </w:r>
      <w:r w:rsidR="00A810B0">
        <w:rPr>
          <w:color w:val="auto"/>
        </w:rPr>
        <w:t xml:space="preserve">plan approvals </w:t>
      </w:r>
      <w:r w:rsidR="00BF2420">
        <w:rPr>
          <w:color w:val="auto"/>
        </w:rPr>
        <w:t xml:space="preserve">for developments with </w:t>
      </w:r>
      <w:r w:rsidR="00A810B0">
        <w:rPr>
          <w:color w:val="auto"/>
        </w:rPr>
        <w:t>less tha</w:t>
      </w:r>
      <w:r>
        <w:rPr>
          <w:color w:val="auto"/>
        </w:rPr>
        <w:t>n</w:t>
      </w:r>
      <w:r w:rsidR="00A810B0">
        <w:rPr>
          <w:color w:val="auto"/>
        </w:rPr>
        <w:t xml:space="preserve"> the 10 dwellings </w:t>
      </w:r>
      <w:r w:rsidR="00BF2420">
        <w:rPr>
          <w:color w:val="auto"/>
        </w:rPr>
        <w:t>required by the policy for a</w:t>
      </w:r>
      <w:r w:rsidR="00A810B0">
        <w:rPr>
          <w:color w:val="auto"/>
        </w:rPr>
        <w:t>n approval</w:t>
      </w:r>
      <w:r w:rsidR="00865004">
        <w:rPr>
          <w:color w:val="auto"/>
        </w:rPr>
        <w:t xml:space="preserve">. </w:t>
      </w:r>
      <w:r w:rsidR="00BF2420">
        <w:rPr>
          <w:color w:val="auto"/>
        </w:rPr>
        <w:t>Apart from this</w:t>
      </w:r>
      <w:r w:rsidR="006E00E1">
        <w:rPr>
          <w:color w:val="auto"/>
        </w:rPr>
        <w:t>,</w:t>
      </w:r>
      <w:r w:rsidR="00BF2420">
        <w:rPr>
          <w:color w:val="auto"/>
        </w:rPr>
        <w:t xml:space="preserve"> rejections </w:t>
      </w:r>
      <w:r w:rsidR="000A7583">
        <w:rPr>
          <w:color w:val="auto"/>
        </w:rPr>
        <w:t>a</w:t>
      </w:r>
      <w:r w:rsidR="00BF2420">
        <w:rPr>
          <w:color w:val="auto"/>
        </w:rPr>
        <w:t xml:space="preserve">re generally </w:t>
      </w:r>
      <w:r w:rsidR="002D67CD" w:rsidRPr="00A81256">
        <w:rPr>
          <w:color w:val="auto"/>
        </w:rPr>
        <w:t>for one or more of the following reasons:</w:t>
      </w:r>
      <w:r w:rsidR="002D67CD">
        <w:rPr>
          <w:color w:val="auto"/>
        </w:rPr>
        <w:t xml:space="preserve"> </w:t>
      </w:r>
    </w:p>
    <w:p w:rsidR="002D67CD" w:rsidRPr="00A81256" w:rsidRDefault="000A7583" w:rsidP="002D67CD">
      <w:pPr>
        <w:pStyle w:val="Bullet"/>
      </w:pPr>
      <w:r>
        <w:t>T</w:t>
      </w:r>
      <w:r w:rsidR="002D67CD" w:rsidRPr="00A81256">
        <w:t xml:space="preserve">he planned development expenditure </w:t>
      </w:r>
      <w:r>
        <w:t>i</w:t>
      </w:r>
      <w:r w:rsidR="00552DA4">
        <w:t>s</w:t>
      </w:r>
      <w:r w:rsidR="00552DA4" w:rsidRPr="00A81256">
        <w:t xml:space="preserve"> </w:t>
      </w:r>
      <w:r w:rsidR="002D67CD" w:rsidRPr="00A81256">
        <w:t>not sufficient</w:t>
      </w:r>
      <w:r w:rsidR="002D67CD" w:rsidRPr="00A81256">
        <w:rPr>
          <w:color w:val="0000FF"/>
        </w:rPr>
        <w:t xml:space="preserve"> </w:t>
      </w:r>
      <w:r w:rsidR="002D67CD" w:rsidRPr="00A81256">
        <w:t xml:space="preserve">in relation to the acquisition </w:t>
      </w:r>
      <w:r w:rsidR="00BF2420">
        <w:t>cost</w:t>
      </w:r>
      <w:r w:rsidR="002D67CD" w:rsidRPr="00A81256">
        <w:t xml:space="preserve"> </w:t>
      </w:r>
      <w:r w:rsidR="00BF2420">
        <w:t>of</w:t>
      </w:r>
      <w:r w:rsidR="002D67CD" w:rsidRPr="00A81256">
        <w:t xml:space="preserve"> the property (the policy </w:t>
      </w:r>
      <w:r w:rsidR="00BF2420">
        <w:t>in place during 2007</w:t>
      </w:r>
      <w:r w:rsidR="007D00F8">
        <w:noBreakHyphen/>
      </w:r>
      <w:r w:rsidR="00BF2420">
        <w:t xml:space="preserve">08 </w:t>
      </w:r>
      <w:r w:rsidR="002D67CD" w:rsidRPr="00A81256">
        <w:t>require</w:t>
      </w:r>
      <w:r w:rsidR="00BF2420">
        <w:t>d</w:t>
      </w:r>
      <w:r w:rsidR="002D67CD" w:rsidRPr="00A81256">
        <w:t xml:space="preserve"> development expenditure </w:t>
      </w:r>
      <w:r w:rsidR="00BF2420">
        <w:t xml:space="preserve">of </w:t>
      </w:r>
      <w:r w:rsidR="002D67CD" w:rsidRPr="00A81256">
        <w:t>at least 50 per cent of the acquisition cost</w:t>
      </w:r>
      <w:r w:rsidR="00867908">
        <w:t>)</w:t>
      </w:r>
      <w:r w:rsidR="005B13D9">
        <w:t>.</w:t>
      </w:r>
    </w:p>
    <w:p w:rsidR="002D67CD" w:rsidRPr="00A81256" w:rsidRDefault="000A7583" w:rsidP="002D67CD">
      <w:pPr>
        <w:pStyle w:val="Bullet"/>
      </w:pPr>
      <w:r>
        <w:t>T</w:t>
      </w:r>
      <w:r w:rsidR="002D67CD" w:rsidRPr="00A81256">
        <w:t xml:space="preserve">he proposed </w:t>
      </w:r>
      <w:r w:rsidR="00BF2420">
        <w:t xml:space="preserve">development </w:t>
      </w:r>
      <w:r w:rsidR="002D67CD" w:rsidRPr="00A81256">
        <w:t xml:space="preserve">timetable </w:t>
      </w:r>
      <w:r>
        <w:t>i</w:t>
      </w:r>
      <w:r w:rsidR="00552DA4">
        <w:t>s</w:t>
      </w:r>
      <w:r w:rsidR="00552DA4" w:rsidRPr="00A81256">
        <w:t xml:space="preserve"> </w:t>
      </w:r>
      <w:r w:rsidR="002D67CD" w:rsidRPr="00A81256">
        <w:t xml:space="preserve">unsatisfactory given the </w:t>
      </w:r>
      <w:r w:rsidR="00BF2420">
        <w:t>then</w:t>
      </w:r>
      <w:r w:rsidR="002D67CD" w:rsidRPr="00A81256">
        <w:t xml:space="preserve"> </w:t>
      </w:r>
      <w:r w:rsidR="00BF2420">
        <w:t xml:space="preserve">applicable </w:t>
      </w:r>
      <w:r w:rsidR="002D67CD" w:rsidRPr="00A81256">
        <w:t xml:space="preserve">requirement that it </w:t>
      </w:r>
      <w:r w:rsidR="006552D6">
        <w:t>commence</w:t>
      </w:r>
      <w:r w:rsidR="002D67CD" w:rsidRPr="00A81256">
        <w:t xml:space="preserve"> within 12 months</w:t>
      </w:r>
      <w:r w:rsidR="005B13D9">
        <w:t>.</w:t>
      </w:r>
    </w:p>
    <w:p w:rsidR="002D67CD" w:rsidRPr="00A81256" w:rsidRDefault="000A7583" w:rsidP="002D67CD">
      <w:pPr>
        <w:pStyle w:val="Bullet"/>
      </w:pPr>
      <w:r>
        <w:t>T</w:t>
      </w:r>
      <w:r w:rsidR="002D67CD" w:rsidRPr="00A81256">
        <w:t>he property to be acquired for redevelopment</w:t>
      </w:r>
      <w:r w:rsidR="0042373B">
        <w:t xml:space="preserve"> purposes</w:t>
      </w:r>
      <w:r w:rsidR="007D36D8">
        <w:t xml:space="preserve"> </w:t>
      </w:r>
      <w:r w:rsidR="0042373B" w:rsidRPr="00A81256">
        <w:t xml:space="preserve">would not result in an </w:t>
      </w:r>
      <w:r w:rsidR="0042373B">
        <w:t>increase</w:t>
      </w:r>
      <w:r w:rsidR="0042373B" w:rsidRPr="00A81256">
        <w:t xml:space="preserve"> </w:t>
      </w:r>
      <w:r w:rsidR="0042373B">
        <w:t>in</w:t>
      </w:r>
      <w:r w:rsidR="0042373B" w:rsidRPr="00A81256">
        <w:t xml:space="preserve"> the housing stock</w:t>
      </w:r>
      <w:r w:rsidR="0042373B">
        <w:t xml:space="preserve"> (that is, the existing dwelling is</w:t>
      </w:r>
      <w:r w:rsidR="0042373B" w:rsidRPr="00A81256">
        <w:t xml:space="preserve"> not uninhabitable or at the end of its economic life,</w:t>
      </w:r>
      <w:r w:rsidR="0042373B">
        <w:t xml:space="preserve"> and the prospective foreign purchaser does not intend to construct multiple dwellings)</w:t>
      </w:r>
      <w:r w:rsidR="005B13D9">
        <w:t>.</w:t>
      </w:r>
    </w:p>
    <w:p w:rsidR="002D67CD" w:rsidRPr="00A81256" w:rsidRDefault="000A7583" w:rsidP="002D67CD">
      <w:pPr>
        <w:pStyle w:val="Bullet"/>
      </w:pPr>
      <w:r>
        <w:t>T</w:t>
      </w:r>
      <w:r w:rsidR="002D67CD" w:rsidRPr="00A81256">
        <w:t xml:space="preserve">he prospective foreign purchaser </w:t>
      </w:r>
      <w:r w:rsidR="00552DA4">
        <w:t>ha</w:t>
      </w:r>
      <w:r>
        <w:t>s</w:t>
      </w:r>
      <w:r w:rsidR="00552DA4" w:rsidRPr="00A81256">
        <w:t xml:space="preserve"> </w:t>
      </w:r>
      <w:r w:rsidR="002D67CD" w:rsidRPr="00A81256">
        <w:t xml:space="preserve">not established that they </w:t>
      </w:r>
      <w:r w:rsidR="00552DA4">
        <w:t>ha</w:t>
      </w:r>
      <w:r>
        <w:t>ve</w:t>
      </w:r>
      <w:r w:rsidR="00552DA4" w:rsidRPr="00A81256">
        <w:t xml:space="preserve"> </w:t>
      </w:r>
      <w:r w:rsidR="002D67CD" w:rsidRPr="00A81256">
        <w:t xml:space="preserve">the </w:t>
      </w:r>
      <w:r w:rsidR="008D1D02" w:rsidRPr="00A81256">
        <w:t>capacity</w:t>
      </w:r>
      <w:r w:rsidR="008D1D02">
        <w:t>, for example</w:t>
      </w:r>
      <w:r w:rsidR="00A47F35">
        <w:t>,</w:t>
      </w:r>
      <w:r w:rsidR="008D1D02">
        <w:t xml:space="preserve"> the</w:t>
      </w:r>
      <w:r w:rsidR="008D1D02" w:rsidRPr="00A81256">
        <w:t xml:space="preserve"> </w:t>
      </w:r>
      <w:r w:rsidR="002D67CD" w:rsidRPr="00A81256">
        <w:t>technical and financial</w:t>
      </w:r>
      <w:r w:rsidR="008D1D02">
        <w:t xml:space="preserve"> means</w:t>
      </w:r>
      <w:r w:rsidR="002D67CD" w:rsidRPr="00A81256">
        <w:t xml:space="preserve"> or the necessary planning approvals, to undertake the proposed development within </w:t>
      </w:r>
      <w:r w:rsidR="0031218A">
        <w:t xml:space="preserve">the </w:t>
      </w:r>
      <w:r w:rsidR="002D67CD" w:rsidRPr="00A81256">
        <w:t>timeframe</w:t>
      </w:r>
      <w:r w:rsidR="0031218A">
        <w:t xml:space="preserve"> set in the policy</w:t>
      </w:r>
      <w:r>
        <w:t>.</w:t>
      </w:r>
      <w:r w:rsidR="002D67CD" w:rsidRPr="00A81256">
        <w:t xml:space="preserve"> </w:t>
      </w:r>
    </w:p>
    <w:p w:rsidR="002D67CD" w:rsidRPr="00A81256" w:rsidRDefault="00A47F35" w:rsidP="002D67CD">
      <w:pPr>
        <w:pStyle w:val="Bullet"/>
      </w:pPr>
      <w:r>
        <w:t>T</w:t>
      </w:r>
      <w:r w:rsidR="0031218A">
        <w:t xml:space="preserve">he vendor of </w:t>
      </w:r>
      <w:r w:rsidR="002D67CD" w:rsidRPr="00A81256">
        <w:t xml:space="preserve">a new dwelling </w:t>
      </w:r>
      <w:r w:rsidR="0031218A">
        <w:t xml:space="preserve">has not concurrently constructed a </w:t>
      </w:r>
      <w:r w:rsidR="002D67CD" w:rsidRPr="00A81256">
        <w:t>similar dwelling</w:t>
      </w:r>
      <w:r w:rsidR="0031218A">
        <w:t xml:space="preserve"> as was required under the policy during 2007</w:t>
      </w:r>
      <w:r w:rsidR="007D00F8">
        <w:noBreakHyphen/>
      </w:r>
      <w:r w:rsidR="0031218A">
        <w:t>08</w:t>
      </w:r>
      <w:r>
        <w:t>.</w:t>
      </w:r>
    </w:p>
    <w:p w:rsidR="00347C6A" w:rsidRPr="00A81256" w:rsidRDefault="00A47F35" w:rsidP="002D67CD">
      <w:pPr>
        <w:pStyle w:val="Bullet"/>
      </w:pPr>
      <w:bookmarkStart w:id="38" w:name="OLE_LINK24"/>
      <w:bookmarkStart w:id="39" w:name="OLE_LINK25"/>
      <w:r>
        <w:t>T</w:t>
      </w:r>
      <w:r w:rsidR="002D67CD" w:rsidRPr="00A81256">
        <w:t>he applicant ha</w:t>
      </w:r>
      <w:r>
        <w:t>s</w:t>
      </w:r>
      <w:r w:rsidR="002D67CD" w:rsidRPr="00A81256">
        <w:t xml:space="preserve"> breached conditions </w:t>
      </w:r>
      <w:r w:rsidR="0031218A">
        <w:t xml:space="preserve">imposed on </w:t>
      </w:r>
      <w:r w:rsidR="002D67CD" w:rsidRPr="00A81256">
        <w:t>a previous approv</w:t>
      </w:r>
      <w:r w:rsidR="0031218A">
        <w:t>al</w:t>
      </w:r>
      <w:bookmarkEnd w:id="38"/>
      <w:bookmarkEnd w:id="39"/>
      <w:r>
        <w:t>.</w:t>
      </w:r>
      <w:r w:rsidR="0031218A">
        <w:t xml:space="preserve"> </w:t>
      </w:r>
    </w:p>
    <w:p w:rsidR="002D67CD" w:rsidRPr="00AE5644" w:rsidRDefault="002D67CD" w:rsidP="0051438D">
      <w:pPr>
        <w:pStyle w:val="Heading4"/>
      </w:pPr>
      <w:r w:rsidRPr="00AE5644">
        <w:lastRenderedPageBreak/>
        <w:t>Commercial real estate</w:t>
      </w:r>
    </w:p>
    <w:p w:rsidR="002D67CD" w:rsidRPr="00C403AC" w:rsidRDefault="002D67CD" w:rsidP="00D962CE">
      <w:pPr>
        <w:pStyle w:val="Heading5"/>
      </w:pPr>
      <w:r w:rsidRPr="00C403AC">
        <w:t>Developed</w:t>
      </w:r>
    </w:p>
    <w:p w:rsidR="002D67CD" w:rsidRDefault="002D67CD" w:rsidP="002D67CD">
      <w:pPr>
        <w:rPr>
          <w:color w:val="auto"/>
        </w:rPr>
      </w:pPr>
      <w:r w:rsidRPr="000A5FFC">
        <w:rPr>
          <w:color w:val="auto"/>
        </w:rPr>
        <w:t>In 200</w:t>
      </w:r>
      <w:r w:rsidR="00460CDB">
        <w:rPr>
          <w:color w:val="auto"/>
        </w:rPr>
        <w:t>7</w:t>
      </w:r>
      <w:r w:rsidR="007D00F8">
        <w:rPr>
          <w:color w:val="auto"/>
        </w:rPr>
        <w:noBreakHyphen/>
      </w:r>
      <w:r w:rsidRPr="000A5FFC">
        <w:rPr>
          <w:color w:val="auto"/>
        </w:rPr>
        <w:t>0</w:t>
      </w:r>
      <w:r w:rsidR="00460CDB">
        <w:rPr>
          <w:color w:val="auto"/>
        </w:rPr>
        <w:t>8</w:t>
      </w:r>
      <w:r w:rsidRPr="000A5FFC">
        <w:rPr>
          <w:color w:val="auto"/>
        </w:rPr>
        <w:t xml:space="preserve">, there were </w:t>
      </w:r>
      <w:r w:rsidR="00733536">
        <w:rPr>
          <w:color w:val="auto"/>
        </w:rPr>
        <w:t>90</w:t>
      </w:r>
      <w:r w:rsidR="00B1349B" w:rsidRPr="000A5FFC">
        <w:rPr>
          <w:color w:val="auto"/>
        </w:rPr>
        <w:t> </w:t>
      </w:r>
      <w:r w:rsidRPr="000A5FFC">
        <w:rPr>
          <w:color w:val="auto"/>
        </w:rPr>
        <w:t xml:space="preserve">approvals to purchase </w:t>
      </w:r>
      <w:r w:rsidRPr="00063529">
        <w:rPr>
          <w:b/>
          <w:color w:val="auto"/>
        </w:rPr>
        <w:t>developed</w:t>
      </w:r>
      <w:r w:rsidRPr="00E0562F">
        <w:rPr>
          <w:b/>
          <w:color w:val="auto"/>
        </w:rPr>
        <w:t xml:space="preserve"> commercial</w:t>
      </w:r>
      <w:r w:rsidRPr="00E0562F">
        <w:rPr>
          <w:bCs/>
          <w:color w:val="auto"/>
        </w:rPr>
        <w:t xml:space="preserve"> </w:t>
      </w:r>
      <w:r w:rsidRPr="00E0562F">
        <w:rPr>
          <w:color w:val="auto"/>
        </w:rPr>
        <w:t xml:space="preserve">real estate </w:t>
      </w:r>
      <w:r w:rsidRPr="000A5FFC">
        <w:rPr>
          <w:color w:val="auto"/>
        </w:rPr>
        <w:t>(for example, shopping centres, office buildings</w:t>
      </w:r>
      <w:r w:rsidR="00C310BB">
        <w:rPr>
          <w:color w:val="auto"/>
        </w:rPr>
        <w:t xml:space="preserve"> and</w:t>
      </w:r>
      <w:r w:rsidRPr="000A5FFC">
        <w:rPr>
          <w:color w:val="auto"/>
        </w:rPr>
        <w:t xml:space="preserve"> warehouses)</w:t>
      </w:r>
      <w:r w:rsidR="003402D5">
        <w:rPr>
          <w:color w:val="auto"/>
        </w:rPr>
        <w:t>, a</w:t>
      </w:r>
      <w:r w:rsidR="00733536">
        <w:rPr>
          <w:color w:val="auto"/>
        </w:rPr>
        <w:t>n</w:t>
      </w:r>
      <w:r w:rsidR="003402D5">
        <w:rPr>
          <w:color w:val="auto"/>
        </w:rPr>
        <w:t xml:space="preserve"> </w:t>
      </w:r>
      <w:r w:rsidR="00733536">
        <w:rPr>
          <w:color w:val="auto"/>
        </w:rPr>
        <w:t>8</w:t>
      </w:r>
      <w:r w:rsidR="00460CDB">
        <w:rPr>
          <w:color w:val="auto"/>
        </w:rPr>
        <w:t>0 </w:t>
      </w:r>
      <w:r w:rsidR="003402D5">
        <w:rPr>
          <w:color w:val="auto"/>
        </w:rPr>
        <w:t xml:space="preserve">per cent </w:t>
      </w:r>
      <w:r w:rsidR="00460CDB">
        <w:rPr>
          <w:color w:val="auto"/>
        </w:rPr>
        <w:t>in</w:t>
      </w:r>
      <w:r w:rsidR="003402D5">
        <w:rPr>
          <w:color w:val="auto"/>
        </w:rPr>
        <w:t>crease from</w:t>
      </w:r>
      <w:r w:rsidRPr="000A5FFC">
        <w:rPr>
          <w:color w:val="auto"/>
        </w:rPr>
        <w:t xml:space="preserve"> </w:t>
      </w:r>
      <w:r w:rsidR="00E0562F">
        <w:rPr>
          <w:color w:val="auto"/>
        </w:rPr>
        <w:t xml:space="preserve">the </w:t>
      </w:r>
      <w:r w:rsidR="00460CDB">
        <w:rPr>
          <w:color w:val="auto"/>
        </w:rPr>
        <w:t>50</w:t>
      </w:r>
      <w:r w:rsidR="003402D5" w:rsidRPr="001B025C">
        <w:rPr>
          <w:color w:val="auto"/>
        </w:rPr>
        <w:t xml:space="preserve"> in 200</w:t>
      </w:r>
      <w:r w:rsidR="00460CDB">
        <w:rPr>
          <w:color w:val="auto"/>
        </w:rPr>
        <w:t>6</w:t>
      </w:r>
      <w:r w:rsidR="007D00F8">
        <w:rPr>
          <w:color w:val="auto"/>
        </w:rPr>
        <w:noBreakHyphen/>
      </w:r>
      <w:r w:rsidR="003402D5" w:rsidRPr="001B025C">
        <w:rPr>
          <w:color w:val="auto"/>
        </w:rPr>
        <w:t>0</w:t>
      </w:r>
      <w:r w:rsidR="00460CDB">
        <w:rPr>
          <w:color w:val="auto"/>
        </w:rPr>
        <w:t>7</w:t>
      </w:r>
      <w:r w:rsidR="003402D5">
        <w:rPr>
          <w:color w:val="auto"/>
        </w:rPr>
        <w:t>.</w:t>
      </w:r>
      <w:r w:rsidR="003402D5" w:rsidRPr="001B025C">
        <w:rPr>
          <w:color w:val="auto"/>
        </w:rPr>
        <w:t xml:space="preserve"> </w:t>
      </w:r>
      <w:r w:rsidR="00E0562F">
        <w:rPr>
          <w:color w:val="auto"/>
        </w:rPr>
        <w:t xml:space="preserve">The associated </w:t>
      </w:r>
      <w:r w:rsidR="003402D5">
        <w:rPr>
          <w:color w:val="auto"/>
        </w:rPr>
        <w:t>p</w:t>
      </w:r>
      <w:r w:rsidR="00DE78C4">
        <w:rPr>
          <w:color w:val="auto"/>
        </w:rPr>
        <w:t>roposed investment</w:t>
      </w:r>
      <w:r w:rsidRPr="00CD158B">
        <w:rPr>
          <w:color w:val="auto"/>
        </w:rPr>
        <w:t xml:space="preserve"> </w:t>
      </w:r>
      <w:r w:rsidR="00460CDB">
        <w:rPr>
          <w:color w:val="auto"/>
        </w:rPr>
        <w:t>was</w:t>
      </w:r>
      <w:r w:rsidRPr="00CD158B">
        <w:rPr>
          <w:color w:val="auto"/>
        </w:rPr>
        <w:t xml:space="preserve"> $</w:t>
      </w:r>
      <w:r w:rsidR="00733536">
        <w:rPr>
          <w:color w:val="auto"/>
        </w:rPr>
        <w:t>16.5</w:t>
      </w:r>
      <w:r w:rsidR="006F2BAC">
        <w:rPr>
          <w:color w:val="auto"/>
        </w:rPr>
        <w:t> </w:t>
      </w:r>
      <w:r w:rsidR="002920B3">
        <w:rPr>
          <w:color w:val="auto"/>
        </w:rPr>
        <w:t>b</w:t>
      </w:r>
      <w:r w:rsidR="00B1349B">
        <w:rPr>
          <w:color w:val="auto"/>
        </w:rPr>
        <w:t>illion</w:t>
      </w:r>
      <w:r w:rsidR="00460CDB">
        <w:rPr>
          <w:color w:val="auto"/>
        </w:rPr>
        <w:t xml:space="preserve">, </w:t>
      </w:r>
      <w:r w:rsidR="00733536">
        <w:rPr>
          <w:color w:val="auto"/>
        </w:rPr>
        <w:t xml:space="preserve">more than </w:t>
      </w:r>
      <w:r w:rsidR="00E51272">
        <w:rPr>
          <w:color w:val="auto"/>
        </w:rPr>
        <w:t>three</w:t>
      </w:r>
      <w:r w:rsidR="00733536">
        <w:rPr>
          <w:color w:val="auto"/>
        </w:rPr>
        <w:t xml:space="preserve"> and a half times</w:t>
      </w:r>
      <w:r w:rsidR="00460CDB">
        <w:rPr>
          <w:color w:val="auto"/>
        </w:rPr>
        <w:t xml:space="preserve"> the </w:t>
      </w:r>
      <w:r w:rsidR="00B1349B" w:rsidRPr="00CD158B">
        <w:rPr>
          <w:color w:val="auto"/>
        </w:rPr>
        <w:t>$</w:t>
      </w:r>
      <w:r w:rsidR="00460CDB">
        <w:rPr>
          <w:color w:val="auto"/>
        </w:rPr>
        <w:t>4</w:t>
      </w:r>
      <w:r w:rsidR="00B1349B">
        <w:rPr>
          <w:color w:val="auto"/>
        </w:rPr>
        <w:t>.6 </w:t>
      </w:r>
      <w:r w:rsidR="00B1349B" w:rsidRPr="00CD158B">
        <w:rPr>
          <w:color w:val="auto"/>
        </w:rPr>
        <w:t>billion</w:t>
      </w:r>
      <w:r w:rsidRPr="001B025C">
        <w:rPr>
          <w:color w:val="auto"/>
        </w:rPr>
        <w:t xml:space="preserve"> in 200</w:t>
      </w:r>
      <w:r w:rsidR="00460CDB">
        <w:rPr>
          <w:color w:val="auto"/>
        </w:rPr>
        <w:t>6</w:t>
      </w:r>
      <w:r w:rsidR="007D00F8">
        <w:rPr>
          <w:color w:val="auto"/>
        </w:rPr>
        <w:noBreakHyphen/>
      </w:r>
      <w:r w:rsidRPr="001B025C">
        <w:rPr>
          <w:color w:val="auto"/>
        </w:rPr>
        <w:t>0</w:t>
      </w:r>
      <w:r w:rsidR="00460CDB">
        <w:rPr>
          <w:color w:val="auto"/>
        </w:rPr>
        <w:t>7</w:t>
      </w:r>
      <w:r w:rsidRPr="001B025C">
        <w:rPr>
          <w:color w:val="auto"/>
        </w:rPr>
        <w:t>.</w:t>
      </w:r>
      <w:r w:rsidR="00B06634">
        <w:rPr>
          <w:color w:val="auto"/>
        </w:rPr>
        <w:t xml:space="preserve"> </w:t>
      </w:r>
      <w:r w:rsidR="008A0B5C">
        <w:rPr>
          <w:color w:val="auto"/>
        </w:rPr>
        <w:t xml:space="preserve">Of this, 70 per cent was attributed to the acquisition of </w:t>
      </w:r>
      <w:r w:rsidR="00A14C00">
        <w:rPr>
          <w:color w:val="auto"/>
        </w:rPr>
        <w:t xml:space="preserve">beneficial </w:t>
      </w:r>
      <w:r w:rsidR="008A0B5C">
        <w:rPr>
          <w:color w:val="auto"/>
        </w:rPr>
        <w:t xml:space="preserve">interests in </w:t>
      </w:r>
      <w:r w:rsidR="00E0562F">
        <w:rPr>
          <w:color w:val="auto"/>
        </w:rPr>
        <w:t xml:space="preserve">managed investment funds </w:t>
      </w:r>
      <w:r w:rsidR="00A14C00">
        <w:rPr>
          <w:color w:val="auto"/>
        </w:rPr>
        <w:t xml:space="preserve">holding </w:t>
      </w:r>
      <w:r w:rsidR="008A0B5C" w:rsidRPr="008A0B5C">
        <w:rPr>
          <w:rFonts w:cs="Arial"/>
        </w:rPr>
        <w:t>land assets that exceed</w:t>
      </w:r>
      <w:r w:rsidR="00EE69A5">
        <w:rPr>
          <w:rFonts w:cs="Arial"/>
        </w:rPr>
        <w:t>ed</w:t>
      </w:r>
      <w:r w:rsidR="008A0B5C" w:rsidRPr="008A0B5C">
        <w:rPr>
          <w:rFonts w:cs="Arial"/>
        </w:rPr>
        <w:t xml:space="preserve"> 50 per cent of its total assets</w:t>
      </w:r>
      <w:r w:rsidR="00EE69A5">
        <w:rPr>
          <w:rFonts w:cs="Arial"/>
        </w:rPr>
        <w:t xml:space="preserve">, rather than </w:t>
      </w:r>
      <w:r w:rsidR="00A14C00">
        <w:rPr>
          <w:rFonts w:cs="Arial"/>
        </w:rPr>
        <w:t>direct acquisitions of legal title to</w:t>
      </w:r>
      <w:r w:rsidR="00EE69A5">
        <w:rPr>
          <w:rFonts w:cs="Arial"/>
        </w:rPr>
        <w:t xml:space="preserve"> the land</w:t>
      </w:r>
      <w:r w:rsidR="008A0B5C" w:rsidRPr="008A0B5C">
        <w:rPr>
          <w:rFonts w:cs="Arial"/>
        </w:rPr>
        <w:t xml:space="preserve">. </w:t>
      </w:r>
      <w:r w:rsidR="00B06634">
        <w:rPr>
          <w:color w:val="auto"/>
        </w:rPr>
        <w:t xml:space="preserve">Two proposals involving proposed investment of </w:t>
      </w:r>
      <w:r w:rsidR="00A14C00">
        <w:rPr>
          <w:color w:val="auto"/>
        </w:rPr>
        <w:t xml:space="preserve">more than </w:t>
      </w:r>
      <w:r w:rsidR="00B06634" w:rsidRPr="007B686B">
        <w:t>$1 billion</w:t>
      </w:r>
      <w:r w:rsidR="00A14C00">
        <w:t xml:space="preserve"> a</w:t>
      </w:r>
      <w:r w:rsidR="00B06634">
        <w:t>ccount</w:t>
      </w:r>
      <w:r w:rsidR="00A14C00">
        <w:t>ed</w:t>
      </w:r>
      <w:r w:rsidR="00B06634">
        <w:t xml:space="preserve"> for $5.7 billion</w:t>
      </w:r>
      <w:r w:rsidR="00A14C00">
        <w:t xml:space="preserve">, </w:t>
      </w:r>
      <w:r w:rsidR="00B06634">
        <w:t xml:space="preserve">35 per cent of </w:t>
      </w:r>
      <w:r w:rsidR="00631FC5">
        <w:t xml:space="preserve">the </w:t>
      </w:r>
      <w:r w:rsidR="00B06634">
        <w:t>total.</w:t>
      </w:r>
      <w:r w:rsidRPr="001B025C">
        <w:rPr>
          <w:color w:val="auto"/>
        </w:rPr>
        <w:t xml:space="preserve"> This</w:t>
      </w:r>
      <w:r w:rsidRPr="00163324">
        <w:rPr>
          <w:color w:val="auto"/>
        </w:rPr>
        <w:t xml:space="preserve"> </w:t>
      </w:r>
      <w:r>
        <w:rPr>
          <w:color w:val="auto"/>
        </w:rPr>
        <w:t xml:space="preserve">data </w:t>
      </w:r>
      <w:r w:rsidR="00A14C00">
        <w:rPr>
          <w:color w:val="auto"/>
        </w:rPr>
        <w:t>reports</w:t>
      </w:r>
      <w:r w:rsidRPr="00163324">
        <w:rPr>
          <w:color w:val="auto"/>
        </w:rPr>
        <w:t xml:space="preserve"> only </w:t>
      </w:r>
      <w:r>
        <w:rPr>
          <w:color w:val="auto"/>
        </w:rPr>
        <w:t>part</w:t>
      </w:r>
      <w:r w:rsidRPr="00163324">
        <w:rPr>
          <w:color w:val="auto"/>
        </w:rPr>
        <w:t xml:space="preserve"> of the total foreign investment </w:t>
      </w:r>
      <w:r>
        <w:rPr>
          <w:color w:val="auto"/>
        </w:rPr>
        <w:t xml:space="preserve">that would have occurred </w:t>
      </w:r>
      <w:r w:rsidR="00583FFF">
        <w:rPr>
          <w:color w:val="auto"/>
        </w:rPr>
        <w:t xml:space="preserve">in commercial real estate </w:t>
      </w:r>
      <w:r>
        <w:rPr>
          <w:color w:val="auto"/>
        </w:rPr>
        <w:t xml:space="preserve">as </w:t>
      </w:r>
      <w:r w:rsidR="00C310BB">
        <w:rPr>
          <w:color w:val="auto"/>
        </w:rPr>
        <w:t xml:space="preserve">the </w:t>
      </w:r>
      <w:r>
        <w:rPr>
          <w:color w:val="auto"/>
        </w:rPr>
        <w:t>Regulations</w:t>
      </w:r>
      <w:r w:rsidR="00A14C00">
        <w:rPr>
          <w:color w:val="auto"/>
        </w:rPr>
        <w:t xml:space="preserve"> exempt from the Act some acquisitions</w:t>
      </w:r>
      <w:r w:rsidR="008D1D02">
        <w:rPr>
          <w:color w:val="auto"/>
        </w:rPr>
        <w:t xml:space="preserve">, including </w:t>
      </w:r>
      <w:r w:rsidR="00A14C00">
        <w:rPr>
          <w:color w:val="auto"/>
        </w:rPr>
        <w:t xml:space="preserve">of </w:t>
      </w:r>
      <w:r w:rsidR="008D1D02">
        <w:rPr>
          <w:color w:val="auto"/>
        </w:rPr>
        <w:t>non</w:t>
      </w:r>
      <w:r w:rsidR="007D00F8">
        <w:rPr>
          <w:color w:val="auto"/>
        </w:rPr>
        <w:noBreakHyphen/>
      </w:r>
      <w:r w:rsidR="008D1D02">
        <w:rPr>
          <w:color w:val="auto"/>
        </w:rPr>
        <w:t>vacant, non</w:t>
      </w:r>
      <w:r w:rsidR="007D00F8">
        <w:rPr>
          <w:color w:val="auto"/>
        </w:rPr>
        <w:noBreakHyphen/>
      </w:r>
      <w:r w:rsidR="008D1D02">
        <w:rPr>
          <w:color w:val="auto"/>
        </w:rPr>
        <w:t>heritage listed commercial property</w:t>
      </w:r>
      <w:r w:rsidR="00752396">
        <w:rPr>
          <w:color w:val="auto"/>
        </w:rPr>
        <w:t xml:space="preserve"> valued below $50 million</w:t>
      </w:r>
      <w:r w:rsidRPr="00984335">
        <w:rPr>
          <w:color w:val="auto"/>
        </w:rPr>
        <w:t>.</w:t>
      </w:r>
      <w:r>
        <w:rPr>
          <w:color w:val="auto"/>
        </w:rPr>
        <w:t xml:space="preserve"> </w:t>
      </w:r>
    </w:p>
    <w:p w:rsidR="002D67CD" w:rsidRPr="00C403AC" w:rsidRDefault="002D67CD" w:rsidP="00D962CE">
      <w:pPr>
        <w:pStyle w:val="Heading5"/>
      </w:pPr>
      <w:r w:rsidRPr="00C403AC">
        <w:t>For development</w:t>
      </w:r>
    </w:p>
    <w:p w:rsidR="00592EC1" w:rsidRDefault="002D67CD" w:rsidP="002D67CD">
      <w:pPr>
        <w:rPr>
          <w:color w:val="auto"/>
        </w:rPr>
      </w:pPr>
      <w:r w:rsidRPr="00CE7A8C">
        <w:t xml:space="preserve">During </w:t>
      </w:r>
      <w:r w:rsidRPr="00CE7A8C">
        <w:rPr>
          <w:color w:val="auto"/>
        </w:rPr>
        <w:t>200</w:t>
      </w:r>
      <w:r w:rsidR="00B06634">
        <w:rPr>
          <w:color w:val="auto"/>
        </w:rPr>
        <w:t>7</w:t>
      </w:r>
      <w:r w:rsidR="007D00F8">
        <w:rPr>
          <w:color w:val="auto"/>
        </w:rPr>
        <w:noBreakHyphen/>
      </w:r>
      <w:r w:rsidRPr="00CE7A8C">
        <w:rPr>
          <w:color w:val="auto"/>
        </w:rPr>
        <w:t>0</w:t>
      </w:r>
      <w:r w:rsidR="00B06634">
        <w:rPr>
          <w:color w:val="auto"/>
        </w:rPr>
        <w:t>8</w:t>
      </w:r>
      <w:r w:rsidRPr="00CE7A8C">
        <w:t xml:space="preserve">, </w:t>
      </w:r>
      <w:r>
        <w:rPr>
          <w:color w:val="auto"/>
        </w:rPr>
        <w:t>t</w:t>
      </w:r>
      <w:r w:rsidRPr="00924D63">
        <w:rPr>
          <w:color w:val="auto"/>
        </w:rPr>
        <w:t xml:space="preserve">here were </w:t>
      </w:r>
      <w:r w:rsidR="00344278">
        <w:rPr>
          <w:color w:val="auto"/>
        </w:rPr>
        <w:t>93</w:t>
      </w:r>
      <w:r w:rsidR="00344278" w:rsidRPr="00924D63">
        <w:rPr>
          <w:color w:val="auto"/>
        </w:rPr>
        <w:t> </w:t>
      </w:r>
      <w:r w:rsidRPr="00924D63">
        <w:rPr>
          <w:color w:val="auto"/>
        </w:rPr>
        <w:t xml:space="preserve">approvals to purchase </w:t>
      </w:r>
      <w:bookmarkStart w:id="40" w:name="OLE_LINK50"/>
      <w:bookmarkStart w:id="41" w:name="OLE_LINK51"/>
      <w:r w:rsidR="00A14C00" w:rsidRPr="00063529">
        <w:rPr>
          <w:b/>
          <w:color w:val="auto"/>
        </w:rPr>
        <w:t xml:space="preserve">commercial </w:t>
      </w:r>
      <w:r w:rsidRPr="00A14C00">
        <w:rPr>
          <w:b/>
          <w:color w:val="auto"/>
        </w:rPr>
        <w:t xml:space="preserve">land for </w:t>
      </w:r>
      <w:r w:rsidRPr="00063529">
        <w:rPr>
          <w:b/>
          <w:color w:val="auto"/>
        </w:rPr>
        <w:t>development</w:t>
      </w:r>
      <w:bookmarkEnd w:id="40"/>
      <w:bookmarkEnd w:id="41"/>
      <w:r w:rsidR="00AE6B87" w:rsidRPr="000E6A5F">
        <w:rPr>
          <w:color w:val="auto"/>
        </w:rPr>
        <w:t xml:space="preserve">, </w:t>
      </w:r>
      <w:r w:rsidR="000E6A5F" w:rsidRPr="000E6A5F">
        <w:rPr>
          <w:color w:val="auto"/>
        </w:rPr>
        <w:t xml:space="preserve">compared with </w:t>
      </w:r>
      <w:r w:rsidR="00EB590D">
        <w:rPr>
          <w:color w:val="auto"/>
        </w:rPr>
        <w:t>48</w:t>
      </w:r>
      <w:r w:rsidRPr="00924D63">
        <w:rPr>
          <w:color w:val="auto"/>
        </w:rPr>
        <w:t xml:space="preserve"> </w:t>
      </w:r>
      <w:r w:rsidR="00AE6B87" w:rsidRPr="001B025C">
        <w:rPr>
          <w:color w:val="auto"/>
        </w:rPr>
        <w:t>in 200</w:t>
      </w:r>
      <w:r w:rsidR="00AE6B87">
        <w:rPr>
          <w:color w:val="auto"/>
        </w:rPr>
        <w:t>6</w:t>
      </w:r>
      <w:r w:rsidR="007D00F8">
        <w:rPr>
          <w:color w:val="auto"/>
        </w:rPr>
        <w:noBreakHyphen/>
      </w:r>
      <w:r w:rsidR="00AE6B87" w:rsidRPr="001B025C">
        <w:rPr>
          <w:color w:val="auto"/>
        </w:rPr>
        <w:t>0</w:t>
      </w:r>
      <w:r w:rsidR="00AE6B87">
        <w:rPr>
          <w:color w:val="auto"/>
        </w:rPr>
        <w:t xml:space="preserve">7. These </w:t>
      </w:r>
      <w:r w:rsidR="000E6A5F">
        <w:rPr>
          <w:color w:val="auto"/>
        </w:rPr>
        <w:t>approvals</w:t>
      </w:r>
      <w:r w:rsidR="00AE6B87">
        <w:rPr>
          <w:color w:val="auto"/>
        </w:rPr>
        <w:t xml:space="preserve"> </w:t>
      </w:r>
      <w:r w:rsidRPr="00924D63">
        <w:rPr>
          <w:color w:val="auto"/>
        </w:rPr>
        <w:t>involv</w:t>
      </w:r>
      <w:r w:rsidR="00AE6B87">
        <w:rPr>
          <w:color w:val="auto"/>
        </w:rPr>
        <w:t>ed</w:t>
      </w:r>
      <w:r w:rsidRPr="00924D63">
        <w:rPr>
          <w:color w:val="auto"/>
        </w:rPr>
        <w:t xml:space="preserve"> </w:t>
      </w:r>
      <w:r w:rsidR="00DE78C4">
        <w:rPr>
          <w:color w:val="auto"/>
        </w:rPr>
        <w:t>proposed investment</w:t>
      </w:r>
      <w:r w:rsidRPr="00924D63">
        <w:rPr>
          <w:color w:val="auto"/>
        </w:rPr>
        <w:t xml:space="preserve"> of $</w:t>
      </w:r>
      <w:r w:rsidR="00EB590D">
        <w:rPr>
          <w:color w:val="auto"/>
        </w:rPr>
        <w:t>8.6</w:t>
      </w:r>
      <w:r w:rsidRPr="00924D63">
        <w:rPr>
          <w:color w:val="auto"/>
        </w:rPr>
        <w:t> billion</w:t>
      </w:r>
      <w:r w:rsidR="00631FC5">
        <w:rPr>
          <w:color w:val="auto"/>
        </w:rPr>
        <w:t>,</w:t>
      </w:r>
      <w:r w:rsidR="00592EC1">
        <w:rPr>
          <w:color w:val="auto"/>
        </w:rPr>
        <w:t xml:space="preserve"> including $5.</w:t>
      </w:r>
      <w:r w:rsidR="00EB590D">
        <w:rPr>
          <w:color w:val="auto"/>
        </w:rPr>
        <w:t>8 </w:t>
      </w:r>
      <w:r w:rsidR="00592EC1">
        <w:rPr>
          <w:color w:val="auto"/>
        </w:rPr>
        <w:t xml:space="preserve">billion in development expenditure. This represented a substantial increase on the </w:t>
      </w:r>
      <w:r w:rsidRPr="001B025C">
        <w:rPr>
          <w:color w:val="auto"/>
        </w:rPr>
        <w:t>$</w:t>
      </w:r>
      <w:r w:rsidR="00EB590D">
        <w:rPr>
          <w:color w:val="auto"/>
        </w:rPr>
        <w:t>3.3</w:t>
      </w:r>
      <w:r w:rsidRPr="001B025C">
        <w:rPr>
          <w:color w:val="auto"/>
        </w:rPr>
        <w:t xml:space="preserve"> billion </w:t>
      </w:r>
      <w:bookmarkStart w:id="42" w:name="OLE_LINK48"/>
      <w:bookmarkStart w:id="43" w:name="OLE_LINK49"/>
      <w:r w:rsidR="00592EC1">
        <w:rPr>
          <w:color w:val="auto"/>
        </w:rPr>
        <w:t>total r</w:t>
      </w:r>
      <w:r w:rsidR="000E6A5F">
        <w:rPr>
          <w:color w:val="auto"/>
        </w:rPr>
        <w:t>eported for</w:t>
      </w:r>
      <w:r w:rsidRPr="001B025C">
        <w:rPr>
          <w:color w:val="auto"/>
        </w:rPr>
        <w:t xml:space="preserve"> 200</w:t>
      </w:r>
      <w:r w:rsidR="00B06634">
        <w:rPr>
          <w:color w:val="auto"/>
        </w:rPr>
        <w:t>6</w:t>
      </w:r>
      <w:r w:rsidR="007D00F8">
        <w:rPr>
          <w:color w:val="auto"/>
        </w:rPr>
        <w:noBreakHyphen/>
      </w:r>
      <w:r w:rsidRPr="001B025C">
        <w:rPr>
          <w:color w:val="auto"/>
        </w:rPr>
        <w:t>0</w:t>
      </w:r>
      <w:r w:rsidR="00B06634">
        <w:rPr>
          <w:color w:val="auto"/>
        </w:rPr>
        <w:t>7</w:t>
      </w:r>
      <w:bookmarkEnd w:id="42"/>
      <w:bookmarkEnd w:id="43"/>
      <w:r w:rsidRPr="00924D63">
        <w:rPr>
          <w:color w:val="auto"/>
        </w:rPr>
        <w:t>.</w:t>
      </w:r>
    </w:p>
    <w:p w:rsidR="0031779A" w:rsidRPr="00A81256" w:rsidRDefault="00371A00" w:rsidP="00592EC1">
      <w:r w:rsidRPr="0031779A">
        <w:t xml:space="preserve">There </w:t>
      </w:r>
      <w:r w:rsidR="008D3448">
        <w:t>were</w:t>
      </w:r>
      <w:r w:rsidRPr="0031779A">
        <w:t xml:space="preserve"> </w:t>
      </w:r>
      <w:r w:rsidR="00B30CF6">
        <w:t>no</w:t>
      </w:r>
      <w:r w:rsidR="00592EC1">
        <w:t xml:space="preserve"> </w:t>
      </w:r>
      <w:r w:rsidRPr="00592EC1">
        <w:rPr>
          <w:bCs/>
        </w:rPr>
        <w:t>rejection</w:t>
      </w:r>
      <w:r w:rsidR="00B30CF6" w:rsidRPr="00592EC1">
        <w:rPr>
          <w:bCs/>
        </w:rPr>
        <w:t>s</w:t>
      </w:r>
      <w:r w:rsidRPr="0031779A">
        <w:t xml:space="preserve"> of proposed acquisition</w:t>
      </w:r>
      <w:r w:rsidR="00B30CF6">
        <w:t>s</w:t>
      </w:r>
      <w:r w:rsidRPr="0031779A">
        <w:t xml:space="preserve"> of </w:t>
      </w:r>
      <w:r w:rsidR="00592EC1">
        <w:t xml:space="preserve">developed </w:t>
      </w:r>
      <w:r w:rsidRPr="00592EC1">
        <w:t xml:space="preserve">commercial property </w:t>
      </w:r>
      <w:r w:rsidR="00592EC1">
        <w:t xml:space="preserve">or commercial real estate </w:t>
      </w:r>
      <w:r w:rsidRPr="00592EC1">
        <w:t>for development</w:t>
      </w:r>
      <w:r w:rsidRPr="0031779A">
        <w:t xml:space="preserve"> by foreign persons </w:t>
      </w:r>
      <w:r w:rsidR="00B30CF6">
        <w:t>(one in 2006</w:t>
      </w:r>
      <w:r w:rsidR="007D00F8">
        <w:noBreakHyphen/>
      </w:r>
      <w:r w:rsidR="00B30CF6">
        <w:t>07)</w:t>
      </w:r>
      <w:r w:rsidR="0031779A" w:rsidRPr="0031779A">
        <w:t>.</w:t>
      </w:r>
      <w:r w:rsidR="0031779A">
        <w:t xml:space="preserve"> </w:t>
      </w:r>
    </w:p>
    <w:p w:rsidR="002D67CD" w:rsidRPr="00AE5644" w:rsidRDefault="002D67CD" w:rsidP="0051438D">
      <w:pPr>
        <w:pStyle w:val="Heading4"/>
      </w:pPr>
      <w:r>
        <w:t>Annual programmes</w:t>
      </w:r>
    </w:p>
    <w:p w:rsidR="002D67CD" w:rsidRDefault="002D67CD" w:rsidP="002D67CD">
      <w:pPr>
        <w:rPr>
          <w:color w:val="auto"/>
        </w:rPr>
      </w:pPr>
      <w:r w:rsidRPr="008B333C">
        <w:rPr>
          <w:color w:val="auto"/>
        </w:rPr>
        <w:t xml:space="preserve">The </w:t>
      </w:r>
      <w:r w:rsidR="00592EC1">
        <w:rPr>
          <w:color w:val="auto"/>
        </w:rPr>
        <w:t>‘</w:t>
      </w:r>
      <w:r w:rsidRPr="008B333C">
        <w:rPr>
          <w:b/>
          <w:bCs/>
          <w:color w:val="auto"/>
        </w:rPr>
        <w:t>annual program</w:t>
      </w:r>
      <w:r>
        <w:rPr>
          <w:b/>
          <w:bCs/>
          <w:color w:val="auto"/>
        </w:rPr>
        <w:t>me</w:t>
      </w:r>
      <w:r w:rsidR="00592EC1">
        <w:rPr>
          <w:b/>
          <w:bCs/>
          <w:color w:val="auto"/>
        </w:rPr>
        <w:t>’</w:t>
      </w:r>
      <w:r w:rsidRPr="008B333C">
        <w:rPr>
          <w:color w:val="auto"/>
        </w:rPr>
        <w:t xml:space="preserve"> arrangements allow </w:t>
      </w:r>
      <w:r w:rsidR="007D36D8">
        <w:rPr>
          <w:color w:val="auto"/>
        </w:rPr>
        <w:t>foreign persons</w:t>
      </w:r>
      <w:r w:rsidRPr="008B333C">
        <w:rPr>
          <w:color w:val="auto"/>
        </w:rPr>
        <w:t xml:space="preserve"> to a</w:t>
      </w:r>
      <w:r>
        <w:rPr>
          <w:color w:val="auto"/>
        </w:rPr>
        <w:t xml:space="preserve">pply for </w:t>
      </w:r>
      <w:r w:rsidR="00BD57E9">
        <w:rPr>
          <w:color w:val="auto"/>
        </w:rPr>
        <w:t xml:space="preserve">an </w:t>
      </w:r>
      <w:r>
        <w:rPr>
          <w:color w:val="auto"/>
        </w:rPr>
        <w:t xml:space="preserve">annual approval for </w:t>
      </w:r>
      <w:r w:rsidR="005236EF">
        <w:rPr>
          <w:color w:val="auto"/>
        </w:rPr>
        <w:t xml:space="preserve">real estate </w:t>
      </w:r>
      <w:r>
        <w:rPr>
          <w:color w:val="auto"/>
        </w:rPr>
        <w:t>acquisition</w:t>
      </w:r>
      <w:r w:rsidR="005236EF">
        <w:rPr>
          <w:color w:val="auto"/>
        </w:rPr>
        <w:t>s</w:t>
      </w:r>
      <w:r>
        <w:rPr>
          <w:color w:val="auto"/>
        </w:rPr>
        <w:t xml:space="preserve"> </w:t>
      </w:r>
      <w:r w:rsidRPr="008B333C">
        <w:rPr>
          <w:color w:val="auto"/>
        </w:rPr>
        <w:t xml:space="preserve">up to </w:t>
      </w:r>
      <w:r>
        <w:rPr>
          <w:color w:val="auto"/>
        </w:rPr>
        <w:t xml:space="preserve">a </w:t>
      </w:r>
      <w:r w:rsidRPr="008B333C">
        <w:rPr>
          <w:color w:val="auto"/>
        </w:rPr>
        <w:t xml:space="preserve">specified </w:t>
      </w:r>
      <w:r>
        <w:rPr>
          <w:color w:val="auto"/>
        </w:rPr>
        <w:t xml:space="preserve">monetary </w:t>
      </w:r>
      <w:r w:rsidRPr="008B333C">
        <w:rPr>
          <w:color w:val="auto"/>
        </w:rPr>
        <w:t>limit</w:t>
      </w:r>
      <w:r w:rsidRPr="003D33F1">
        <w:rPr>
          <w:color w:val="auto"/>
        </w:rPr>
        <w:t xml:space="preserve">. </w:t>
      </w:r>
      <w:r w:rsidR="00592EC1">
        <w:rPr>
          <w:color w:val="auto"/>
        </w:rPr>
        <w:t>S</w:t>
      </w:r>
      <w:r w:rsidRPr="003D33F1">
        <w:rPr>
          <w:color w:val="auto"/>
        </w:rPr>
        <w:t>uch an approval</w:t>
      </w:r>
      <w:r w:rsidRPr="008B333C">
        <w:rPr>
          <w:color w:val="auto"/>
        </w:rPr>
        <w:t xml:space="preserve"> </w:t>
      </w:r>
      <w:r>
        <w:rPr>
          <w:color w:val="auto"/>
        </w:rPr>
        <w:t>relieves the</w:t>
      </w:r>
      <w:r w:rsidR="00BD57E9">
        <w:rPr>
          <w:color w:val="auto"/>
        </w:rPr>
        <w:t>m</w:t>
      </w:r>
      <w:r w:rsidR="00C310BB">
        <w:rPr>
          <w:color w:val="auto"/>
        </w:rPr>
        <w:t xml:space="preserve"> </w:t>
      </w:r>
      <w:r>
        <w:rPr>
          <w:color w:val="auto"/>
        </w:rPr>
        <w:t xml:space="preserve">of the requirement to seek </w:t>
      </w:r>
      <w:r w:rsidR="00592EC1">
        <w:rPr>
          <w:color w:val="auto"/>
        </w:rPr>
        <w:t xml:space="preserve">separate </w:t>
      </w:r>
      <w:r>
        <w:rPr>
          <w:color w:val="auto"/>
        </w:rPr>
        <w:t xml:space="preserve">approval for individual </w:t>
      </w:r>
      <w:r w:rsidR="005236EF">
        <w:rPr>
          <w:color w:val="auto"/>
        </w:rPr>
        <w:t xml:space="preserve">real estate </w:t>
      </w:r>
      <w:r>
        <w:rPr>
          <w:color w:val="auto"/>
        </w:rPr>
        <w:t>acquisitions</w:t>
      </w:r>
      <w:r w:rsidR="00BF5116">
        <w:rPr>
          <w:color w:val="auto"/>
        </w:rPr>
        <w:t xml:space="preserve"> </w:t>
      </w:r>
      <w:r w:rsidR="00592EC1">
        <w:rPr>
          <w:color w:val="auto"/>
        </w:rPr>
        <w:t xml:space="preserve">within </w:t>
      </w:r>
      <w:r w:rsidR="00BF5116">
        <w:rPr>
          <w:color w:val="auto"/>
        </w:rPr>
        <w:t xml:space="preserve">the approved value </w:t>
      </w:r>
      <w:r w:rsidR="00592EC1">
        <w:rPr>
          <w:color w:val="auto"/>
        </w:rPr>
        <w:t>and</w:t>
      </w:r>
      <w:r w:rsidR="00BF5116">
        <w:rPr>
          <w:color w:val="auto"/>
        </w:rPr>
        <w:t xml:space="preserve"> the approval year. </w:t>
      </w:r>
      <w:r w:rsidR="00BD57E9">
        <w:rPr>
          <w:color w:val="auto"/>
        </w:rPr>
        <w:t xml:space="preserve">Approvals are subject to the </w:t>
      </w:r>
      <w:r w:rsidR="00BD57E9" w:rsidRPr="008B333C">
        <w:rPr>
          <w:color w:val="auto"/>
        </w:rPr>
        <w:t xml:space="preserve">condition that </w:t>
      </w:r>
      <w:r w:rsidR="00BD57E9">
        <w:rPr>
          <w:color w:val="auto"/>
        </w:rPr>
        <w:t>applicant</w:t>
      </w:r>
      <w:r w:rsidR="004854F1">
        <w:rPr>
          <w:color w:val="auto"/>
        </w:rPr>
        <w:t>s</w:t>
      </w:r>
      <w:r w:rsidR="00BD57E9">
        <w:rPr>
          <w:color w:val="auto"/>
        </w:rPr>
        <w:t xml:space="preserve"> subsequently </w:t>
      </w:r>
      <w:r w:rsidR="00BD57E9" w:rsidRPr="008B333C">
        <w:rPr>
          <w:color w:val="auto"/>
        </w:rPr>
        <w:t xml:space="preserve">report </w:t>
      </w:r>
      <w:r w:rsidR="00BD57E9">
        <w:rPr>
          <w:color w:val="auto"/>
        </w:rPr>
        <w:t>o</w:t>
      </w:r>
      <w:r w:rsidR="00BD57E9" w:rsidRPr="008B333C">
        <w:rPr>
          <w:color w:val="auto"/>
        </w:rPr>
        <w:t>n the</w:t>
      </w:r>
      <w:r w:rsidR="00BD57E9">
        <w:rPr>
          <w:color w:val="auto"/>
        </w:rPr>
        <w:t xml:space="preserve"> actual</w:t>
      </w:r>
      <w:r w:rsidR="00BD57E9" w:rsidRPr="008B333C">
        <w:rPr>
          <w:color w:val="auto"/>
        </w:rPr>
        <w:t xml:space="preserve"> acquisitions </w:t>
      </w:r>
      <w:r w:rsidR="00BD57E9">
        <w:rPr>
          <w:color w:val="auto"/>
        </w:rPr>
        <w:t xml:space="preserve">completed </w:t>
      </w:r>
      <w:r w:rsidR="00BD57E9" w:rsidRPr="008B333C">
        <w:rPr>
          <w:color w:val="auto"/>
        </w:rPr>
        <w:t xml:space="preserve">and </w:t>
      </w:r>
      <w:r w:rsidR="00BD57E9">
        <w:rPr>
          <w:color w:val="auto"/>
        </w:rPr>
        <w:t xml:space="preserve">any associated </w:t>
      </w:r>
      <w:r w:rsidR="00BD57E9" w:rsidRPr="003D33F1">
        <w:rPr>
          <w:color w:val="auto"/>
        </w:rPr>
        <w:t>development</w:t>
      </w:r>
      <w:r w:rsidR="004854F1">
        <w:rPr>
          <w:color w:val="auto"/>
        </w:rPr>
        <w:t>.</w:t>
      </w:r>
      <w:r w:rsidR="00BD57E9" w:rsidDel="00592EC1">
        <w:rPr>
          <w:color w:val="auto"/>
        </w:rPr>
        <w:t xml:space="preserve"> </w:t>
      </w:r>
    </w:p>
    <w:p w:rsidR="009F3B22" w:rsidRDefault="002D67CD" w:rsidP="002D67CD">
      <w:pPr>
        <w:rPr>
          <w:color w:val="auto"/>
        </w:rPr>
      </w:pPr>
      <w:r w:rsidRPr="003D33F1">
        <w:rPr>
          <w:color w:val="auto"/>
        </w:rPr>
        <w:t>In 200</w:t>
      </w:r>
      <w:r w:rsidR="00AE0F93">
        <w:rPr>
          <w:color w:val="auto"/>
        </w:rPr>
        <w:t>7</w:t>
      </w:r>
      <w:r w:rsidR="007D00F8">
        <w:rPr>
          <w:color w:val="auto"/>
        </w:rPr>
        <w:noBreakHyphen/>
      </w:r>
      <w:r w:rsidRPr="003D33F1">
        <w:rPr>
          <w:color w:val="auto"/>
        </w:rPr>
        <w:t>0</w:t>
      </w:r>
      <w:r w:rsidR="00AE0F93">
        <w:rPr>
          <w:color w:val="auto"/>
        </w:rPr>
        <w:t>8</w:t>
      </w:r>
      <w:r w:rsidRPr="003D33F1">
        <w:rPr>
          <w:color w:val="auto"/>
        </w:rPr>
        <w:t xml:space="preserve">, a total of </w:t>
      </w:r>
      <w:r w:rsidR="00AE0F93">
        <w:rPr>
          <w:color w:val="auto"/>
        </w:rPr>
        <w:t>31</w:t>
      </w:r>
      <w:r w:rsidR="00B1349B" w:rsidRPr="003D33F1">
        <w:rPr>
          <w:color w:val="auto"/>
        </w:rPr>
        <w:t> </w:t>
      </w:r>
      <w:r w:rsidRPr="003D33F1">
        <w:rPr>
          <w:color w:val="auto"/>
        </w:rPr>
        <w:t xml:space="preserve">annual programmes were approved with </w:t>
      </w:r>
      <w:r w:rsidR="00DE78C4">
        <w:rPr>
          <w:color w:val="auto"/>
        </w:rPr>
        <w:t>proposed investment</w:t>
      </w:r>
      <w:r w:rsidRPr="003D33F1">
        <w:rPr>
          <w:color w:val="auto"/>
        </w:rPr>
        <w:t xml:space="preserve"> of $</w:t>
      </w:r>
      <w:r w:rsidR="002437C7">
        <w:rPr>
          <w:color w:val="auto"/>
        </w:rPr>
        <w:t>6.4</w:t>
      </w:r>
      <w:r w:rsidR="001B2FBC">
        <w:rPr>
          <w:color w:val="auto"/>
        </w:rPr>
        <w:t> billion</w:t>
      </w:r>
      <w:r w:rsidRPr="003D33F1">
        <w:rPr>
          <w:color w:val="auto"/>
        </w:rPr>
        <w:t xml:space="preserve">, compared with </w:t>
      </w:r>
      <w:r w:rsidR="00AE0F93">
        <w:rPr>
          <w:color w:val="auto"/>
        </w:rPr>
        <w:t>28</w:t>
      </w:r>
      <w:r w:rsidRPr="003D33F1">
        <w:rPr>
          <w:color w:val="auto"/>
        </w:rPr>
        <w:t xml:space="preserve"> approvals and </w:t>
      </w:r>
      <w:r w:rsidR="00DE78C4">
        <w:rPr>
          <w:color w:val="auto"/>
        </w:rPr>
        <w:t>proposed investment</w:t>
      </w:r>
      <w:r w:rsidRPr="003D33F1">
        <w:rPr>
          <w:color w:val="auto"/>
        </w:rPr>
        <w:t xml:space="preserve"> of </w:t>
      </w:r>
      <w:r w:rsidR="002437C7" w:rsidRPr="003D33F1">
        <w:rPr>
          <w:color w:val="auto"/>
        </w:rPr>
        <w:t>$</w:t>
      </w:r>
      <w:r w:rsidR="002437C7">
        <w:rPr>
          <w:color w:val="auto"/>
        </w:rPr>
        <w:t>3.7</w:t>
      </w:r>
      <w:r w:rsidR="00B1349B" w:rsidRPr="003D33F1">
        <w:rPr>
          <w:color w:val="auto"/>
        </w:rPr>
        <w:t> </w:t>
      </w:r>
      <w:r w:rsidR="00E34DA9">
        <w:rPr>
          <w:color w:val="auto"/>
        </w:rPr>
        <w:t>b</w:t>
      </w:r>
      <w:r w:rsidR="00B1349B" w:rsidRPr="003D33F1">
        <w:rPr>
          <w:color w:val="auto"/>
        </w:rPr>
        <w:t>illion</w:t>
      </w:r>
      <w:r w:rsidR="00B1349B" w:rsidRPr="003D33F1" w:rsidDel="00B1349B">
        <w:rPr>
          <w:color w:val="auto"/>
        </w:rPr>
        <w:t xml:space="preserve"> </w:t>
      </w:r>
      <w:r w:rsidRPr="003D33F1">
        <w:rPr>
          <w:color w:val="auto"/>
        </w:rPr>
        <w:t>in 200</w:t>
      </w:r>
      <w:r w:rsidR="009F3B22">
        <w:rPr>
          <w:color w:val="auto"/>
        </w:rPr>
        <w:t>6</w:t>
      </w:r>
      <w:r w:rsidR="007D00F8">
        <w:noBreakHyphen/>
      </w:r>
      <w:r w:rsidRPr="003D33F1">
        <w:rPr>
          <w:color w:val="auto"/>
        </w:rPr>
        <w:t>0</w:t>
      </w:r>
      <w:r w:rsidR="009F3B22">
        <w:rPr>
          <w:color w:val="auto"/>
        </w:rPr>
        <w:t>7</w:t>
      </w:r>
      <w:r w:rsidRPr="003D33F1">
        <w:rPr>
          <w:color w:val="auto"/>
        </w:rPr>
        <w:t xml:space="preserve">. </w:t>
      </w:r>
      <w:r w:rsidR="00BD57E9">
        <w:rPr>
          <w:color w:val="auto"/>
        </w:rPr>
        <w:t>The</w:t>
      </w:r>
      <w:r w:rsidR="00033709">
        <w:rPr>
          <w:color w:val="auto"/>
        </w:rPr>
        <w:t xml:space="preserve"> </w:t>
      </w:r>
      <w:r w:rsidR="00BD57E9">
        <w:rPr>
          <w:color w:val="auto"/>
        </w:rPr>
        <w:t>majority of the $2.6 billion increase</w:t>
      </w:r>
      <w:r w:rsidR="00AC39B7">
        <w:rPr>
          <w:color w:val="auto"/>
        </w:rPr>
        <w:t xml:space="preserve"> on the 2006</w:t>
      </w:r>
      <w:r w:rsidR="007D00F8">
        <w:rPr>
          <w:color w:val="auto"/>
        </w:rPr>
        <w:noBreakHyphen/>
      </w:r>
      <w:r w:rsidR="00AC39B7">
        <w:rPr>
          <w:color w:val="auto"/>
        </w:rPr>
        <w:t>07 approvals</w:t>
      </w:r>
      <w:r w:rsidR="00BD57E9">
        <w:rPr>
          <w:color w:val="auto"/>
        </w:rPr>
        <w:t xml:space="preserve"> </w:t>
      </w:r>
      <w:r w:rsidR="00AC39B7">
        <w:rPr>
          <w:color w:val="auto"/>
        </w:rPr>
        <w:t xml:space="preserve">was for </w:t>
      </w:r>
      <w:r w:rsidR="00BD57E9">
        <w:rPr>
          <w:color w:val="auto"/>
        </w:rPr>
        <w:t>acquisitions</w:t>
      </w:r>
      <w:r w:rsidR="00BD57E9" w:rsidRPr="003D33F1" w:rsidDel="00BD57E9">
        <w:rPr>
          <w:color w:val="auto"/>
        </w:rPr>
        <w:t xml:space="preserve"> </w:t>
      </w:r>
      <w:r w:rsidR="00BD57E9">
        <w:rPr>
          <w:color w:val="auto"/>
        </w:rPr>
        <w:t xml:space="preserve">of </w:t>
      </w:r>
      <w:r w:rsidR="009F3B22" w:rsidRPr="00387FC8">
        <w:t>commercial property</w:t>
      </w:r>
      <w:r w:rsidR="00AC39B7">
        <w:t>: an increase of $1.5 billion for developed commercial property and $1.1 billion for commercial land for development.</w:t>
      </w:r>
      <w:r w:rsidR="00AC39B7">
        <w:rPr>
          <w:color w:val="auto"/>
        </w:rPr>
        <w:t xml:space="preserve"> </w:t>
      </w:r>
      <w:r w:rsidR="00BD57E9">
        <w:rPr>
          <w:color w:val="auto"/>
        </w:rPr>
        <w:t>O</w:t>
      </w:r>
      <w:r w:rsidR="00782421">
        <w:rPr>
          <w:color w:val="auto"/>
        </w:rPr>
        <w:t xml:space="preserve">ne </w:t>
      </w:r>
      <w:r w:rsidR="00BD57E9">
        <w:rPr>
          <w:color w:val="auto"/>
        </w:rPr>
        <w:t xml:space="preserve">approval </w:t>
      </w:r>
      <w:r w:rsidR="00AC39B7">
        <w:rPr>
          <w:color w:val="auto"/>
        </w:rPr>
        <w:t>covered</w:t>
      </w:r>
      <w:r w:rsidR="0068573F">
        <w:rPr>
          <w:color w:val="auto"/>
        </w:rPr>
        <w:t xml:space="preserve"> proposed</w:t>
      </w:r>
      <w:r w:rsidR="00AC39B7">
        <w:rPr>
          <w:color w:val="auto"/>
        </w:rPr>
        <w:t xml:space="preserve"> </w:t>
      </w:r>
      <w:r w:rsidR="00BD57E9">
        <w:rPr>
          <w:color w:val="auto"/>
        </w:rPr>
        <w:t xml:space="preserve">land acquisitions </w:t>
      </w:r>
      <w:r w:rsidR="0068573F">
        <w:rPr>
          <w:color w:val="auto"/>
        </w:rPr>
        <w:t xml:space="preserve">of up to $1.2 billion </w:t>
      </w:r>
      <w:r w:rsidR="00BD57E9">
        <w:rPr>
          <w:color w:val="auto"/>
        </w:rPr>
        <w:t>during the approval year</w:t>
      </w:r>
      <w:r w:rsidR="00782421">
        <w:rPr>
          <w:color w:val="auto"/>
        </w:rPr>
        <w:t>.</w:t>
      </w:r>
      <w:r w:rsidR="00E878E9">
        <w:rPr>
          <w:color w:val="auto"/>
        </w:rPr>
        <w:t xml:space="preserve"> </w:t>
      </w:r>
    </w:p>
    <w:p w:rsidR="002D67CD" w:rsidRPr="003D33F1" w:rsidRDefault="00B1465F" w:rsidP="002D67CD">
      <w:pPr>
        <w:rPr>
          <w:color w:val="auto"/>
        </w:rPr>
      </w:pPr>
      <w:r>
        <w:rPr>
          <w:color w:val="auto"/>
        </w:rPr>
        <w:t>During</w:t>
      </w:r>
      <w:r w:rsidR="00707594">
        <w:t xml:space="preserve"> </w:t>
      </w:r>
      <w:r w:rsidR="002D67CD" w:rsidRPr="003D33F1">
        <w:rPr>
          <w:color w:val="auto"/>
        </w:rPr>
        <w:t>200</w:t>
      </w:r>
      <w:r>
        <w:rPr>
          <w:color w:val="auto"/>
        </w:rPr>
        <w:t>7</w:t>
      </w:r>
      <w:r w:rsidR="007D00F8">
        <w:rPr>
          <w:color w:val="auto"/>
        </w:rPr>
        <w:noBreakHyphen/>
      </w:r>
      <w:r w:rsidR="002D67CD" w:rsidRPr="003D33F1">
        <w:rPr>
          <w:color w:val="auto"/>
        </w:rPr>
        <w:t>0</w:t>
      </w:r>
      <w:r>
        <w:rPr>
          <w:color w:val="auto"/>
        </w:rPr>
        <w:t>8</w:t>
      </w:r>
      <w:r w:rsidR="006E00E1">
        <w:rPr>
          <w:color w:val="auto"/>
        </w:rPr>
        <w:t>,</w:t>
      </w:r>
      <w:r w:rsidR="002D67CD" w:rsidRPr="003D33F1">
        <w:t xml:space="preserve"> </w:t>
      </w:r>
      <w:r w:rsidR="006E00E1">
        <w:t>13</w:t>
      </w:r>
      <w:r w:rsidRPr="003D33F1">
        <w:rPr>
          <w:color w:val="auto"/>
        </w:rPr>
        <w:t xml:space="preserve"> annual programme </w:t>
      </w:r>
      <w:r>
        <w:rPr>
          <w:color w:val="auto"/>
        </w:rPr>
        <w:t xml:space="preserve">approvals </w:t>
      </w:r>
      <w:r w:rsidRPr="003D33F1">
        <w:rPr>
          <w:color w:val="auto"/>
        </w:rPr>
        <w:t>involv</w:t>
      </w:r>
      <w:r>
        <w:rPr>
          <w:color w:val="auto"/>
        </w:rPr>
        <w:t>ed</w:t>
      </w:r>
      <w:r w:rsidRPr="003D33F1">
        <w:rPr>
          <w:color w:val="auto"/>
        </w:rPr>
        <w:t xml:space="preserve"> acquisitions of developed</w:t>
      </w:r>
      <w:r>
        <w:rPr>
          <w:color w:val="auto"/>
        </w:rPr>
        <w:t xml:space="preserve"> residential</w:t>
      </w:r>
      <w:r w:rsidRPr="003D33F1">
        <w:rPr>
          <w:color w:val="auto"/>
        </w:rPr>
        <w:t xml:space="preserve"> real estate</w:t>
      </w:r>
      <w:r>
        <w:rPr>
          <w:color w:val="auto"/>
        </w:rPr>
        <w:t xml:space="preserve"> </w:t>
      </w:r>
      <w:r w:rsidRPr="003D33F1">
        <w:rPr>
          <w:color w:val="auto"/>
        </w:rPr>
        <w:t xml:space="preserve">with </w:t>
      </w:r>
      <w:r>
        <w:rPr>
          <w:color w:val="auto"/>
        </w:rPr>
        <w:t>proposed investment</w:t>
      </w:r>
      <w:r w:rsidRPr="003D33F1">
        <w:rPr>
          <w:color w:val="auto"/>
        </w:rPr>
        <w:t xml:space="preserve"> of $</w:t>
      </w:r>
      <w:r>
        <w:rPr>
          <w:color w:val="auto"/>
        </w:rPr>
        <w:t xml:space="preserve">0.4 billion (five </w:t>
      </w:r>
      <w:r w:rsidR="00DB2B25">
        <w:rPr>
          <w:color w:val="auto"/>
        </w:rPr>
        <w:t xml:space="preserve">approvals </w:t>
      </w:r>
      <w:r>
        <w:rPr>
          <w:color w:val="auto"/>
        </w:rPr>
        <w:t>and $</w:t>
      </w:r>
      <w:r w:rsidR="006E3C39">
        <w:rPr>
          <w:color w:val="auto"/>
        </w:rPr>
        <w:t>0.1</w:t>
      </w:r>
      <w:r w:rsidRPr="003D33F1">
        <w:rPr>
          <w:color w:val="auto"/>
        </w:rPr>
        <w:t> </w:t>
      </w:r>
      <w:r w:rsidR="006E3C39">
        <w:rPr>
          <w:color w:val="auto"/>
        </w:rPr>
        <w:t>b</w:t>
      </w:r>
      <w:r>
        <w:rPr>
          <w:color w:val="auto"/>
        </w:rPr>
        <w:t>illion in 2006</w:t>
      </w:r>
      <w:r w:rsidR="007D00F8">
        <w:rPr>
          <w:color w:val="auto"/>
        </w:rPr>
        <w:noBreakHyphen/>
      </w:r>
      <w:r>
        <w:rPr>
          <w:color w:val="auto"/>
        </w:rPr>
        <w:t xml:space="preserve">07). </w:t>
      </w:r>
      <w:r w:rsidR="006E3C39">
        <w:rPr>
          <w:color w:val="auto"/>
        </w:rPr>
        <w:t xml:space="preserve">Such approvals generally </w:t>
      </w:r>
      <w:r w:rsidRPr="003D33F1">
        <w:rPr>
          <w:color w:val="auto"/>
        </w:rPr>
        <w:t xml:space="preserve">involve foreign </w:t>
      </w:r>
      <w:r w:rsidR="006E3C39">
        <w:rPr>
          <w:color w:val="auto"/>
        </w:rPr>
        <w:t xml:space="preserve">mining </w:t>
      </w:r>
      <w:r w:rsidRPr="003D33F1">
        <w:rPr>
          <w:color w:val="auto"/>
        </w:rPr>
        <w:t>companies acquiring hous</w:t>
      </w:r>
      <w:r w:rsidR="006E3C39">
        <w:rPr>
          <w:color w:val="auto"/>
        </w:rPr>
        <w:t xml:space="preserve">ing for </w:t>
      </w:r>
      <w:r w:rsidRPr="003D33F1">
        <w:rPr>
          <w:color w:val="auto"/>
        </w:rPr>
        <w:t>employees</w:t>
      </w:r>
      <w:r w:rsidR="006E3C39">
        <w:rPr>
          <w:color w:val="auto"/>
        </w:rPr>
        <w:t xml:space="preserve"> in rural areas</w:t>
      </w:r>
      <w:r w:rsidRPr="003D33F1">
        <w:rPr>
          <w:color w:val="auto"/>
        </w:rPr>
        <w:t xml:space="preserve">. </w:t>
      </w:r>
      <w:r>
        <w:rPr>
          <w:color w:val="auto"/>
        </w:rPr>
        <w:t>S</w:t>
      </w:r>
      <w:r w:rsidR="001172FF">
        <w:rPr>
          <w:color w:val="auto"/>
        </w:rPr>
        <w:t xml:space="preserve">ix </w:t>
      </w:r>
      <w:r w:rsidR="002D67CD" w:rsidRPr="003D33F1">
        <w:rPr>
          <w:color w:val="auto"/>
        </w:rPr>
        <w:t>a</w:t>
      </w:r>
      <w:r w:rsidR="006E3C39">
        <w:rPr>
          <w:color w:val="auto"/>
        </w:rPr>
        <w:t xml:space="preserve">pprovals </w:t>
      </w:r>
      <w:r w:rsidR="002D67CD" w:rsidRPr="003D33F1">
        <w:rPr>
          <w:color w:val="auto"/>
        </w:rPr>
        <w:t xml:space="preserve">were </w:t>
      </w:r>
      <w:r w:rsidR="006E3C39">
        <w:rPr>
          <w:color w:val="auto"/>
        </w:rPr>
        <w:t>made</w:t>
      </w:r>
      <w:r w:rsidR="002D67CD" w:rsidRPr="003D33F1">
        <w:rPr>
          <w:color w:val="auto"/>
        </w:rPr>
        <w:t xml:space="preserve"> </w:t>
      </w:r>
      <w:r w:rsidR="001172FF">
        <w:rPr>
          <w:color w:val="auto"/>
        </w:rPr>
        <w:t xml:space="preserve">for the </w:t>
      </w:r>
      <w:r w:rsidR="001172FF" w:rsidRPr="003D33F1">
        <w:rPr>
          <w:color w:val="auto"/>
        </w:rPr>
        <w:lastRenderedPageBreak/>
        <w:t>purchase</w:t>
      </w:r>
      <w:r w:rsidR="002D67CD" w:rsidRPr="003D33F1">
        <w:rPr>
          <w:color w:val="auto"/>
        </w:rPr>
        <w:t xml:space="preserve"> </w:t>
      </w:r>
      <w:r w:rsidR="001172FF">
        <w:rPr>
          <w:color w:val="auto"/>
        </w:rPr>
        <w:t xml:space="preserve">of </w:t>
      </w:r>
      <w:r w:rsidR="006E3C39">
        <w:rPr>
          <w:color w:val="auto"/>
        </w:rPr>
        <w:t xml:space="preserve">vacant </w:t>
      </w:r>
      <w:r w:rsidR="001172FF" w:rsidRPr="003D33F1">
        <w:rPr>
          <w:color w:val="auto"/>
        </w:rPr>
        <w:t xml:space="preserve">residential real estate for </w:t>
      </w:r>
      <w:r>
        <w:rPr>
          <w:color w:val="auto"/>
        </w:rPr>
        <w:t xml:space="preserve">development </w:t>
      </w:r>
      <w:r w:rsidR="006E3C39">
        <w:rPr>
          <w:color w:val="auto"/>
        </w:rPr>
        <w:t>(10 in 2006</w:t>
      </w:r>
      <w:r w:rsidR="007D00F8">
        <w:rPr>
          <w:color w:val="auto"/>
        </w:rPr>
        <w:noBreakHyphen/>
      </w:r>
      <w:r w:rsidR="006E3C39">
        <w:rPr>
          <w:color w:val="auto"/>
        </w:rPr>
        <w:t>07) involving proposed total investment</w:t>
      </w:r>
      <w:r w:rsidR="006E3C39" w:rsidRPr="003D33F1">
        <w:rPr>
          <w:color w:val="auto"/>
        </w:rPr>
        <w:t xml:space="preserve"> </w:t>
      </w:r>
      <w:r w:rsidR="006E3C39">
        <w:rPr>
          <w:color w:val="auto"/>
        </w:rPr>
        <w:t>of</w:t>
      </w:r>
      <w:r w:rsidR="006E3C39" w:rsidRPr="003D33F1">
        <w:rPr>
          <w:color w:val="auto"/>
        </w:rPr>
        <w:t xml:space="preserve"> $</w:t>
      </w:r>
      <w:r w:rsidR="006E3C39">
        <w:rPr>
          <w:color w:val="auto"/>
        </w:rPr>
        <w:t>1.3 billion</w:t>
      </w:r>
      <w:r w:rsidR="00045816">
        <w:rPr>
          <w:color w:val="auto"/>
        </w:rPr>
        <w:t xml:space="preserve">, </w:t>
      </w:r>
      <w:r w:rsidR="006E3C39">
        <w:rPr>
          <w:color w:val="auto"/>
        </w:rPr>
        <w:t>17 per cent below the $1.6</w:t>
      </w:r>
      <w:r w:rsidR="006E3C39" w:rsidRPr="003D33F1">
        <w:rPr>
          <w:color w:val="auto"/>
        </w:rPr>
        <w:t> </w:t>
      </w:r>
      <w:r w:rsidR="006E3C39">
        <w:rPr>
          <w:color w:val="auto"/>
        </w:rPr>
        <w:t>b</w:t>
      </w:r>
      <w:r w:rsidR="006E3C39" w:rsidRPr="003D33F1">
        <w:rPr>
          <w:color w:val="auto"/>
        </w:rPr>
        <w:t>illion</w:t>
      </w:r>
      <w:r w:rsidR="006E3C39">
        <w:rPr>
          <w:color w:val="auto"/>
        </w:rPr>
        <w:t xml:space="preserve"> in 2006</w:t>
      </w:r>
      <w:r w:rsidR="007D00F8">
        <w:rPr>
          <w:color w:val="auto"/>
        </w:rPr>
        <w:noBreakHyphen/>
      </w:r>
      <w:r w:rsidR="006E3C39">
        <w:rPr>
          <w:color w:val="auto"/>
        </w:rPr>
        <w:t>07.</w:t>
      </w:r>
    </w:p>
    <w:p w:rsidR="00D6042C" w:rsidRDefault="004A69BF" w:rsidP="002D67CD">
      <w:r>
        <w:rPr>
          <w:color w:val="auto"/>
        </w:rPr>
        <w:t>The development expenditure associated with annual programmes in the ‘for development’ categories d</w:t>
      </w:r>
      <w:r w:rsidR="006E3C39">
        <w:rPr>
          <w:color w:val="auto"/>
        </w:rPr>
        <w:t>id</w:t>
      </w:r>
      <w:r>
        <w:rPr>
          <w:color w:val="auto"/>
        </w:rPr>
        <w:t xml:space="preserve"> not </w:t>
      </w:r>
      <w:r w:rsidR="006E3C39">
        <w:rPr>
          <w:color w:val="auto"/>
        </w:rPr>
        <w:t xml:space="preserve">always </w:t>
      </w:r>
      <w:r>
        <w:rPr>
          <w:color w:val="auto"/>
        </w:rPr>
        <w:t xml:space="preserve">reflect the policy requirement </w:t>
      </w:r>
      <w:r w:rsidR="006E3C39">
        <w:rPr>
          <w:color w:val="auto"/>
        </w:rPr>
        <w:t>applying during 2007</w:t>
      </w:r>
      <w:r w:rsidR="007D00F8">
        <w:rPr>
          <w:color w:val="auto"/>
        </w:rPr>
        <w:noBreakHyphen/>
      </w:r>
      <w:r w:rsidR="006E3C39">
        <w:rPr>
          <w:color w:val="auto"/>
        </w:rPr>
        <w:t xml:space="preserve">08 </w:t>
      </w:r>
      <w:r w:rsidR="00335A78">
        <w:rPr>
          <w:color w:val="auto"/>
        </w:rPr>
        <w:t>that</w:t>
      </w:r>
      <w:r>
        <w:rPr>
          <w:color w:val="auto"/>
        </w:rPr>
        <w:t xml:space="preserve"> </w:t>
      </w:r>
      <w:r w:rsidRPr="00A81256">
        <w:t>at least 50 per cent of the acquisition cost</w:t>
      </w:r>
      <w:r w:rsidR="00335A78">
        <w:t xml:space="preserve"> is spent on development</w:t>
      </w:r>
      <w:r>
        <w:t xml:space="preserve">. </w:t>
      </w:r>
      <w:r w:rsidR="006E3C39">
        <w:t>This is because a</w:t>
      </w:r>
      <w:r>
        <w:t xml:space="preserve"> number of </w:t>
      </w:r>
      <w:r w:rsidR="006E3C39">
        <w:t>approvals were for</w:t>
      </w:r>
      <w:r w:rsidR="00704B5E">
        <w:t xml:space="preserve"> </w:t>
      </w:r>
      <w:r>
        <w:t xml:space="preserve">acquisitions of </w:t>
      </w:r>
      <w:r w:rsidR="006E3C39">
        <w:t>property</w:t>
      </w:r>
      <w:r w:rsidR="00704B5E">
        <w:t xml:space="preserve"> which </w:t>
      </w:r>
      <w:r w:rsidR="00DB2B25">
        <w:t>were</w:t>
      </w:r>
      <w:r>
        <w:t xml:space="preserve"> not intended for development for </w:t>
      </w:r>
      <w:r w:rsidR="00704B5E">
        <w:t xml:space="preserve">various </w:t>
      </w:r>
      <w:r>
        <w:t xml:space="preserve">reasons, </w:t>
      </w:r>
      <w:r w:rsidR="00704B5E">
        <w:t>such as</w:t>
      </w:r>
      <w:r w:rsidR="006E3C39">
        <w:t xml:space="preserve"> the land </w:t>
      </w:r>
      <w:r w:rsidR="00DB2B25">
        <w:t>wa</w:t>
      </w:r>
      <w:r w:rsidR="006E3C39">
        <w:t>s to be acquired</w:t>
      </w:r>
      <w:r w:rsidR="006E3C39" w:rsidRPr="006E3C39">
        <w:t xml:space="preserve"> </w:t>
      </w:r>
      <w:r w:rsidR="006E3C39">
        <w:t>for use as</w:t>
      </w:r>
      <w:r>
        <w:t>:</w:t>
      </w:r>
    </w:p>
    <w:p w:rsidR="004A69BF" w:rsidRDefault="004A69BF" w:rsidP="004A69BF">
      <w:pPr>
        <w:pStyle w:val="Bullet"/>
      </w:pPr>
      <w:r>
        <w:t>a ‘buffer zone’</w:t>
      </w:r>
      <w:r w:rsidR="0082434E">
        <w:t>, for example</w:t>
      </w:r>
      <w:r w:rsidR="00DB2B25">
        <w:t>,</w:t>
      </w:r>
      <w:r>
        <w:t xml:space="preserve"> surrounding a</w:t>
      </w:r>
      <w:r w:rsidR="0082434E">
        <w:t>n existing mine or quarry</w:t>
      </w:r>
      <w:r>
        <w:t xml:space="preserve">; </w:t>
      </w:r>
      <w:r w:rsidRPr="00A81256">
        <w:t>or</w:t>
      </w:r>
    </w:p>
    <w:p w:rsidR="004A69BF" w:rsidRDefault="006E3C39" w:rsidP="004A69BF">
      <w:pPr>
        <w:pStyle w:val="Bullet"/>
      </w:pPr>
      <w:r>
        <w:t xml:space="preserve">a </w:t>
      </w:r>
      <w:r w:rsidR="0082434E">
        <w:t xml:space="preserve">tree plantation, </w:t>
      </w:r>
      <w:r>
        <w:t xml:space="preserve">including </w:t>
      </w:r>
      <w:r w:rsidR="0082434E">
        <w:t xml:space="preserve">as part of a </w:t>
      </w:r>
      <w:r w:rsidR="00704B5E">
        <w:t>‘</w:t>
      </w:r>
      <w:r w:rsidR="0082434E">
        <w:t>carbon sinks</w:t>
      </w:r>
      <w:r w:rsidR="00704B5E">
        <w:t>’</w:t>
      </w:r>
      <w:r w:rsidR="0082434E">
        <w:t xml:space="preserve"> programme.</w:t>
      </w:r>
      <w:r>
        <w:t xml:space="preserve"> </w:t>
      </w:r>
    </w:p>
    <w:p w:rsidR="00073168" w:rsidRPr="003D33F1" w:rsidRDefault="00073168" w:rsidP="002D67CD">
      <w:pPr>
        <w:rPr>
          <w:color w:val="auto"/>
        </w:rPr>
      </w:pPr>
      <w:r>
        <w:rPr>
          <w:color w:val="auto"/>
        </w:rPr>
        <w:t xml:space="preserve">As with </w:t>
      </w:r>
      <w:r w:rsidR="005F765A">
        <w:rPr>
          <w:color w:val="auto"/>
        </w:rPr>
        <w:t xml:space="preserve">advance </w:t>
      </w:r>
      <w:r>
        <w:rPr>
          <w:color w:val="auto"/>
        </w:rPr>
        <w:t>off</w:t>
      </w:r>
      <w:r w:rsidR="007D00F8">
        <w:rPr>
          <w:color w:val="auto"/>
        </w:rPr>
        <w:noBreakHyphen/>
      </w:r>
      <w:r>
        <w:rPr>
          <w:color w:val="auto"/>
        </w:rPr>
        <w:t>the</w:t>
      </w:r>
      <w:r w:rsidR="007D00F8">
        <w:rPr>
          <w:color w:val="auto"/>
        </w:rPr>
        <w:noBreakHyphen/>
      </w:r>
      <w:r>
        <w:rPr>
          <w:color w:val="auto"/>
        </w:rPr>
        <w:t xml:space="preserve">plan approvals for developers, the Board’s figures for annual programme </w:t>
      </w:r>
      <w:r w:rsidR="00A42A46">
        <w:rPr>
          <w:color w:val="auto"/>
        </w:rPr>
        <w:t>approval</w:t>
      </w:r>
      <w:r w:rsidR="00132D8B">
        <w:rPr>
          <w:color w:val="auto"/>
        </w:rPr>
        <w:t>s</w:t>
      </w:r>
      <w:r w:rsidR="00A42A46">
        <w:rPr>
          <w:color w:val="auto"/>
        </w:rPr>
        <w:t xml:space="preserve"> </w:t>
      </w:r>
      <w:r>
        <w:rPr>
          <w:color w:val="auto"/>
        </w:rPr>
        <w:t>overstate the likely extent of actual foreign purchases</w:t>
      </w:r>
      <w:r w:rsidR="00A42A46">
        <w:rPr>
          <w:color w:val="auto"/>
        </w:rPr>
        <w:t xml:space="preserve">. The </w:t>
      </w:r>
      <w:r>
        <w:rPr>
          <w:color w:val="auto"/>
        </w:rPr>
        <w:t xml:space="preserve">value of investment </w:t>
      </w:r>
      <w:r w:rsidR="00A42A46">
        <w:rPr>
          <w:color w:val="auto"/>
        </w:rPr>
        <w:t>reported</w:t>
      </w:r>
      <w:r>
        <w:rPr>
          <w:color w:val="auto"/>
        </w:rPr>
        <w:t xml:space="preserve"> </w:t>
      </w:r>
      <w:r w:rsidR="00A42A46">
        <w:rPr>
          <w:color w:val="auto"/>
        </w:rPr>
        <w:t>against</w:t>
      </w:r>
      <w:r>
        <w:rPr>
          <w:color w:val="auto"/>
        </w:rPr>
        <w:t xml:space="preserve"> annual programme approvals represents the maximum amount the foreign person may</w:t>
      </w:r>
      <w:r w:rsidR="00DC3F58">
        <w:rPr>
          <w:color w:val="auto"/>
        </w:rPr>
        <w:t xml:space="preserve"> acquire</w:t>
      </w:r>
      <w:r w:rsidR="00A42A46">
        <w:rPr>
          <w:color w:val="auto"/>
        </w:rPr>
        <w:t xml:space="preserve"> under the programme</w:t>
      </w:r>
      <w:r w:rsidR="00C03285">
        <w:rPr>
          <w:color w:val="auto"/>
        </w:rPr>
        <w:t xml:space="preserve">. </w:t>
      </w:r>
    </w:p>
    <w:p w:rsidR="00F06B75" w:rsidRDefault="00F06B75" w:rsidP="009545F3">
      <w:pPr>
        <w:pStyle w:val="TableMainHeading"/>
        <w:spacing w:before="150" w:after="93"/>
      </w:pPr>
      <w:r>
        <w:lastRenderedPageBreak/>
        <w:t>Table 2.</w:t>
      </w:r>
      <w:r w:rsidR="00BF3B06">
        <w:t>8</w:t>
      </w:r>
      <w:r w:rsidR="00C450A2">
        <w:t xml:space="preserve">: </w:t>
      </w:r>
      <w:r w:rsidR="00C94B39">
        <w:t xml:space="preserve">Real estate sector approvals </w:t>
      </w:r>
      <w:r w:rsidR="00C9145B">
        <w:t xml:space="preserve">in </w:t>
      </w:r>
      <w:r w:rsidR="00310514" w:rsidRPr="00C6620A">
        <w:t>200</w:t>
      </w:r>
      <w:r w:rsidR="009962EE">
        <w:t>7</w:t>
      </w:r>
      <w:r w:rsidR="007D00F8">
        <w:noBreakHyphen/>
      </w:r>
      <w:r w:rsidR="00310514" w:rsidRPr="00C6620A">
        <w:t>0</w:t>
      </w:r>
      <w:r w:rsidR="009962EE">
        <w:t>8</w:t>
      </w:r>
      <w:r w:rsidR="00C9145B">
        <w:t xml:space="preserve"> </w:t>
      </w:r>
    </w:p>
    <w:p w:rsidR="00F06B75" w:rsidRPr="00BF7E5D" w:rsidRDefault="005E06D1" w:rsidP="005E06D1">
      <w:pPr>
        <w:pStyle w:val="TableGraphic"/>
        <w:keepNext/>
        <w:rPr>
          <w:rFonts w:ascii="Arial" w:hAnsi="Arial" w:cs="Arial"/>
          <w:sz w:val="16"/>
          <w:szCs w:val="16"/>
        </w:rPr>
      </w:pPr>
      <w:r>
        <w:object w:dxaOrig="7930" w:dyaOrig="6474">
          <v:shape id="_x0000_i1037" type="#_x0000_t75" style="width:384.75pt;height:324pt" o:ole="">
            <v:imagedata r:id="rId37" o:title=""/>
          </v:shape>
          <o:OLEObject Type="Link" ProgID="Excel.Sheet.8" ShapeID="_x0000_i1037" DrawAspect="Content" r:id="rId38" UpdateMode="Always">
            <o:LinkType>Picture</o:LinkType>
            <o:LockedField>false</o:LockedField>
          </o:OLEObject>
        </w:object>
      </w:r>
    </w:p>
    <w:p w:rsidR="006066C4" w:rsidRDefault="00C55301" w:rsidP="0051204C">
      <w:pPr>
        <w:pStyle w:val="ChartorTableNote"/>
        <w:numPr>
          <w:ilvl w:val="0"/>
          <w:numId w:val="18"/>
        </w:numPr>
        <w:rPr>
          <w:rFonts w:cs="Arial"/>
          <w:szCs w:val="16"/>
        </w:rPr>
      </w:pPr>
      <w:r w:rsidRPr="00BF7E5D">
        <w:rPr>
          <w:rFonts w:cs="Arial"/>
          <w:szCs w:val="16"/>
        </w:rPr>
        <w:t>Developed property</w:t>
      </w:r>
      <w:r w:rsidR="00911862" w:rsidRPr="00BF7E5D">
        <w:rPr>
          <w:rFonts w:cs="Arial"/>
          <w:szCs w:val="16"/>
        </w:rPr>
        <w:t xml:space="preserve"> for redevelopment</w:t>
      </w:r>
      <w:r w:rsidRPr="00BF7E5D">
        <w:rPr>
          <w:rFonts w:cs="Arial"/>
          <w:szCs w:val="16"/>
        </w:rPr>
        <w:t xml:space="preserve"> is included as residential real estate </w:t>
      </w:r>
      <w:r w:rsidR="00BE6943">
        <w:rPr>
          <w:rFonts w:cs="Arial"/>
          <w:szCs w:val="16"/>
        </w:rPr>
        <w:t>f</w:t>
      </w:r>
      <w:r w:rsidRPr="00BF7E5D">
        <w:rPr>
          <w:rFonts w:cs="Arial"/>
          <w:szCs w:val="16"/>
        </w:rPr>
        <w:t>or development</w:t>
      </w:r>
      <w:r w:rsidR="00911862" w:rsidRPr="00BF7E5D">
        <w:rPr>
          <w:rFonts w:cs="Arial"/>
          <w:szCs w:val="16"/>
        </w:rPr>
        <w:t>.</w:t>
      </w:r>
    </w:p>
    <w:p w:rsidR="00153033" w:rsidRDefault="00153033" w:rsidP="00153033">
      <w:pPr>
        <w:pStyle w:val="ChartorTableNote"/>
        <w:numPr>
          <w:ilvl w:val="0"/>
          <w:numId w:val="18"/>
        </w:numPr>
        <w:rPr>
          <w:rFonts w:cs="Arial"/>
          <w:szCs w:val="16"/>
        </w:rPr>
      </w:pPr>
      <w:r w:rsidRPr="00153033">
        <w:rPr>
          <w:rFonts w:cs="Arial"/>
          <w:szCs w:val="16"/>
        </w:rPr>
        <w:t xml:space="preserve">The </w:t>
      </w:r>
      <w:r>
        <w:rPr>
          <w:rFonts w:cs="Arial"/>
          <w:szCs w:val="16"/>
        </w:rPr>
        <w:t>‘</w:t>
      </w:r>
      <w:r w:rsidRPr="00153033">
        <w:rPr>
          <w:rFonts w:cs="Arial"/>
          <w:szCs w:val="16"/>
        </w:rPr>
        <w:t>new dwelling</w:t>
      </w:r>
      <w:r>
        <w:rPr>
          <w:rFonts w:cs="Arial"/>
          <w:szCs w:val="16"/>
        </w:rPr>
        <w:t>’</w:t>
      </w:r>
      <w:r w:rsidRPr="00153033">
        <w:rPr>
          <w:rFonts w:cs="Arial"/>
          <w:szCs w:val="16"/>
        </w:rPr>
        <w:t xml:space="preserve"> category was previously referred to as ‘off</w:t>
      </w:r>
      <w:r w:rsidR="007D00F8">
        <w:rPr>
          <w:rFonts w:cs="Arial"/>
          <w:szCs w:val="16"/>
        </w:rPr>
        <w:noBreakHyphen/>
      </w:r>
      <w:r w:rsidRPr="00153033">
        <w:rPr>
          <w:rFonts w:cs="Arial"/>
          <w:szCs w:val="16"/>
        </w:rPr>
        <w:t>the</w:t>
      </w:r>
      <w:r w:rsidR="007D00F8">
        <w:rPr>
          <w:rFonts w:cs="Arial"/>
          <w:szCs w:val="16"/>
        </w:rPr>
        <w:noBreakHyphen/>
      </w:r>
      <w:r w:rsidRPr="00153033">
        <w:rPr>
          <w:rFonts w:cs="Arial"/>
          <w:szCs w:val="16"/>
        </w:rPr>
        <w:t>plan’.</w:t>
      </w:r>
    </w:p>
    <w:p w:rsidR="00BD44B1" w:rsidRDefault="00C310BB" w:rsidP="00C310BB">
      <w:pPr>
        <w:pStyle w:val="ChartorTableNote"/>
        <w:ind w:left="567" w:hanging="567"/>
      </w:pPr>
      <w:r>
        <w:t>Note:</w:t>
      </w:r>
      <w:r>
        <w:tab/>
        <w:t>Totals may not add due to rounding</w:t>
      </w:r>
      <w:r w:rsidR="00BD44B1">
        <w:t>.</w:t>
      </w:r>
      <w:r>
        <w:t xml:space="preserve"> </w:t>
      </w:r>
    </w:p>
    <w:p w:rsidR="00C310BB" w:rsidRDefault="00BD44B1" w:rsidP="00DA4097">
      <w:pPr>
        <w:pStyle w:val="ChartorTableNote"/>
        <w:spacing w:after="240"/>
        <w:ind w:left="567" w:hanging="567"/>
      </w:pPr>
      <w:r>
        <w:tab/>
      </w:r>
      <w:r w:rsidR="007D00F8">
        <w:t>‘</w:t>
      </w:r>
      <w:r w:rsidR="007D00F8">
        <w:noBreakHyphen/>
        <w:t>‘</w:t>
      </w:r>
      <w:r w:rsidR="00C310BB">
        <w:t xml:space="preserve"> i</w:t>
      </w:r>
      <w:r w:rsidR="00C310BB" w:rsidRPr="008A5FC8">
        <w:t>ndicates a figure of zero</w:t>
      </w:r>
      <w:r w:rsidR="00D953CA" w:rsidRPr="00D953CA">
        <w:t xml:space="preserve"> </w:t>
      </w:r>
      <w:r w:rsidR="00D953CA">
        <w:t>and ‘0.00’ indicates a figure of less than $5 million</w:t>
      </w:r>
      <w:r w:rsidR="00C310BB">
        <w:t>.</w:t>
      </w:r>
      <w:r w:rsidR="00E40C4A">
        <w:t xml:space="preserve"> </w:t>
      </w:r>
    </w:p>
    <w:p w:rsidR="00F06B75" w:rsidRPr="00D962CE" w:rsidRDefault="00F06B75" w:rsidP="00D962CE">
      <w:pPr>
        <w:pStyle w:val="Heading4"/>
      </w:pPr>
      <w:r w:rsidRPr="00D962CE">
        <w:t xml:space="preserve">Real estate by </w:t>
      </w:r>
      <w:r w:rsidR="00854FAE">
        <w:t>location of investment</w:t>
      </w:r>
    </w:p>
    <w:p w:rsidR="00EF42F1" w:rsidRDefault="007B47F2" w:rsidP="008572C2">
      <w:pPr>
        <w:rPr>
          <w:color w:val="auto"/>
        </w:rPr>
      </w:pPr>
      <w:r>
        <w:rPr>
          <w:color w:val="auto"/>
        </w:rPr>
        <w:t xml:space="preserve">Table 2.9 provides details of proposed investment in the real estate sector, according to </w:t>
      </w:r>
      <w:r w:rsidR="006E00E1">
        <w:rPr>
          <w:color w:val="auto"/>
        </w:rPr>
        <w:t xml:space="preserve">the </w:t>
      </w:r>
      <w:r w:rsidR="00570AA3">
        <w:rPr>
          <w:color w:val="auto"/>
        </w:rPr>
        <w:t>s</w:t>
      </w:r>
      <w:r w:rsidR="0004687D">
        <w:rPr>
          <w:color w:val="auto"/>
        </w:rPr>
        <w:t xml:space="preserve">tate and </w:t>
      </w:r>
      <w:r w:rsidR="00570AA3">
        <w:rPr>
          <w:color w:val="auto"/>
        </w:rPr>
        <w:t>t</w:t>
      </w:r>
      <w:r w:rsidR="0004687D">
        <w:rPr>
          <w:color w:val="auto"/>
        </w:rPr>
        <w:t xml:space="preserve">erritory </w:t>
      </w:r>
      <w:r>
        <w:rPr>
          <w:color w:val="auto"/>
        </w:rPr>
        <w:t xml:space="preserve">location of </w:t>
      </w:r>
      <w:r w:rsidR="0004687D">
        <w:rPr>
          <w:color w:val="auto"/>
        </w:rPr>
        <w:t xml:space="preserve">the </w:t>
      </w:r>
      <w:r>
        <w:rPr>
          <w:color w:val="auto"/>
        </w:rPr>
        <w:t>investment.</w:t>
      </w:r>
      <w:r w:rsidR="00BC6C1E">
        <w:rPr>
          <w:color w:val="auto"/>
        </w:rPr>
        <w:t xml:space="preserve"> </w:t>
      </w:r>
      <w:r w:rsidR="0004687D">
        <w:rPr>
          <w:color w:val="auto"/>
        </w:rPr>
        <w:t>During the 2007</w:t>
      </w:r>
      <w:r w:rsidR="007D00F8">
        <w:rPr>
          <w:color w:val="auto"/>
        </w:rPr>
        <w:noBreakHyphen/>
      </w:r>
      <w:r w:rsidR="0004687D">
        <w:rPr>
          <w:color w:val="auto"/>
        </w:rPr>
        <w:t>08 year</w:t>
      </w:r>
      <w:r w:rsidR="00570AA3">
        <w:rPr>
          <w:color w:val="auto"/>
        </w:rPr>
        <w:t>,</w:t>
      </w:r>
      <w:r w:rsidR="0004687D">
        <w:rPr>
          <w:color w:val="auto"/>
        </w:rPr>
        <w:t xml:space="preserve"> </w:t>
      </w:r>
      <w:r w:rsidR="00E13B23">
        <w:rPr>
          <w:color w:val="auto"/>
        </w:rPr>
        <w:t xml:space="preserve">Victoria </w:t>
      </w:r>
      <w:r w:rsidR="00591DCA">
        <w:rPr>
          <w:color w:val="auto"/>
        </w:rPr>
        <w:t xml:space="preserve">was </w:t>
      </w:r>
      <w:r w:rsidR="008572C2" w:rsidRPr="006F2BAC">
        <w:rPr>
          <w:color w:val="auto"/>
        </w:rPr>
        <w:t xml:space="preserve">the main location of proposed </w:t>
      </w:r>
      <w:r w:rsidR="0004687D">
        <w:rPr>
          <w:color w:val="auto"/>
        </w:rPr>
        <w:t xml:space="preserve">real estate </w:t>
      </w:r>
      <w:r w:rsidR="008572C2" w:rsidRPr="006F2BAC">
        <w:rPr>
          <w:color w:val="auto"/>
        </w:rPr>
        <w:t xml:space="preserve">investment with </w:t>
      </w:r>
      <w:r w:rsidR="00AB0FE1" w:rsidRPr="006F2BAC">
        <w:rPr>
          <w:color w:val="auto"/>
        </w:rPr>
        <w:t>2</w:t>
      </w:r>
      <w:r w:rsidR="00591DCA">
        <w:rPr>
          <w:color w:val="auto"/>
        </w:rPr>
        <w:t>1</w:t>
      </w:r>
      <w:r w:rsidR="008572C2" w:rsidRPr="006F2BAC">
        <w:rPr>
          <w:color w:val="auto"/>
        </w:rPr>
        <w:t xml:space="preserve"> per cent of the total </w:t>
      </w:r>
      <w:r w:rsidR="0004687D">
        <w:rPr>
          <w:color w:val="auto"/>
        </w:rPr>
        <w:t xml:space="preserve">amount </w:t>
      </w:r>
      <w:r w:rsidR="008572C2" w:rsidRPr="006F2BAC">
        <w:rPr>
          <w:color w:val="auto"/>
        </w:rPr>
        <w:t>approved</w:t>
      </w:r>
      <w:r w:rsidR="00AB0FE1" w:rsidRPr="006F2BAC">
        <w:rPr>
          <w:color w:val="auto"/>
        </w:rPr>
        <w:t xml:space="preserve"> </w:t>
      </w:r>
      <w:r w:rsidR="008572C2" w:rsidRPr="006F2BAC">
        <w:rPr>
          <w:color w:val="auto"/>
        </w:rPr>
        <w:t>(</w:t>
      </w:r>
      <w:r w:rsidR="00D402B7" w:rsidRPr="006F2BAC">
        <w:rPr>
          <w:color w:val="auto"/>
        </w:rPr>
        <w:t>compared with</w:t>
      </w:r>
      <w:r w:rsidR="00B960F6">
        <w:rPr>
          <w:color w:val="auto"/>
        </w:rPr>
        <w:t xml:space="preserve"> </w:t>
      </w:r>
      <w:r w:rsidR="00591DCA">
        <w:rPr>
          <w:color w:val="auto"/>
        </w:rPr>
        <w:t>11</w:t>
      </w:r>
      <w:r w:rsidR="00B960F6">
        <w:rPr>
          <w:color w:val="auto"/>
        </w:rPr>
        <w:t xml:space="preserve"> per cent </w:t>
      </w:r>
      <w:r w:rsidR="00591DCA">
        <w:rPr>
          <w:color w:val="auto"/>
        </w:rPr>
        <w:t xml:space="preserve">in </w:t>
      </w:r>
      <w:r w:rsidR="00D402B7" w:rsidRPr="006F2BAC">
        <w:rPr>
          <w:color w:val="auto"/>
        </w:rPr>
        <w:t>200</w:t>
      </w:r>
      <w:r w:rsidR="00591DCA">
        <w:rPr>
          <w:color w:val="auto"/>
        </w:rPr>
        <w:t>6</w:t>
      </w:r>
      <w:r w:rsidR="007D00F8">
        <w:rPr>
          <w:color w:val="auto"/>
        </w:rPr>
        <w:noBreakHyphen/>
      </w:r>
      <w:r w:rsidR="00D402B7" w:rsidRPr="006F2BAC">
        <w:rPr>
          <w:color w:val="auto"/>
        </w:rPr>
        <w:t>0</w:t>
      </w:r>
      <w:r w:rsidR="00591DCA">
        <w:rPr>
          <w:color w:val="auto"/>
        </w:rPr>
        <w:t>7</w:t>
      </w:r>
      <w:r w:rsidR="008572C2" w:rsidRPr="006F2BAC">
        <w:rPr>
          <w:color w:val="auto"/>
        </w:rPr>
        <w:t>)</w:t>
      </w:r>
      <w:r w:rsidR="00591DCA">
        <w:rPr>
          <w:color w:val="auto"/>
        </w:rPr>
        <w:t xml:space="preserve">, followed by </w:t>
      </w:r>
      <w:r w:rsidR="00591DCA" w:rsidRPr="006F2BAC">
        <w:rPr>
          <w:color w:val="auto"/>
        </w:rPr>
        <w:t xml:space="preserve">Queensland </w:t>
      </w:r>
      <w:r w:rsidR="00D05ADF">
        <w:rPr>
          <w:color w:val="auto"/>
        </w:rPr>
        <w:t>and New South Wales which</w:t>
      </w:r>
      <w:r w:rsidR="00591DCA">
        <w:rPr>
          <w:color w:val="auto"/>
        </w:rPr>
        <w:t xml:space="preserve"> </w:t>
      </w:r>
      <w:r w:rsidR="00D05ADF">
        <w:rPr>
          <w:color w:val="auto"/>
        </w:rPr>
        <w:t>accounted</w:t>
      </w:r>
      <w:r w:rsidR="00591DCA">
        <w:rPr>
          <w:color w:val="auto"/>
        </w:rPr>
        <w:t xml:space="preserve"> for approximately </w:t>
      </w:r>
      <w:r w:rsidR="00D05ADF">
        <w:rPr>
          <w:color w:val="auto"/>
        </w:rPr>
        <w:t>18</w:t>
      </w:r>
      <w:r w:rsidR="00591DCA" w:rsidRPr="006F2BAC">
        <w:rPr>
          <w:color w:val="auto"/>
        </w:rPr>
        <w:t> per cent</w:t>
      </w:r>
      <w:r w:rsidR="00591DCA">
        <w:rPr>
          <w:color w:val="auto"/>
        </w:rPr>
        <w:t xml:space="preserve"> </w:t>
      </w:r>
      <w:r w:rsidR="00D05ADF">
        <w:rPr>
          <w:color w:val="auto"/>
        </w:rPr>
        <w:t>and 16 per cent respectively</w:t>
      </w:r>
      <w:r w:rsidR="00591DCA">
        <w:rPr>
          <w:color w:val="auto"/>
        </w:rPr>
        <w:t xml:space="preserve"> (compared with 21 per cent and 24 per cent</w:t>
      </w:r>
      <w:r w:rsidR="00591DCA" w:rsidRPr="006F2BAC">
        <w:rPr>
          <w:color w:val="auto"/>
        </w:rPr>
        <w:t xml:space="preserve"> </w:t>
      </w:r>
      <w:r w:rsidR="00591DCA">
        <w:rPr>
          <w:color w:val="auto"/>
        </w:rPr>
        <w:t>in 2006</w:t>
      </w:r>
      <w:r w:rsidR="007D00F8">
        <w:rPr>
          <w:color w:val="auto"/>
        </w:rPr>
        <w:noBreakHyphen/>
      </w:r>
      <w:r w:rsidR="00591DCA">
        <w:rPr>
          <w:color w:val="auto"/>
        </w:rPr>
        <w:t>07).</w:t>
      </w:r>
      <w:r w:rsidR="001B5B20">
        <w:rPr>
          <w:color w:val="auto"/>
        </w:rPr>
        <w:t xml:space="preserve"> </w:t>
      </w:r>
    </w:p>
    <w:p w:rsidR="00C21DFD" w:rsidRDefault="00591DCA" w:rsidP="00C21DFD">
      <w:r>
        <w:t xml:space="preserve">Victoria </w:t>
      </w:r>
      <w:r w:rsidR="0004687D">
        <w:t xml:space="preserve">accounted for </w:t>
      </w:r>
      <w:r w:rsidR="00C21DFD">
        <w:t xml:space="preserve">the largest number of approvals with </w:t>
      </w:r>
      <w:r>
        <w:t>2,238</w:t>
      </w:r>
      <w:r w:rsidR="00C21DFD">
        <w:t xml:space="preserve"> in 200</w:t>
      </w:r>
      <w:r>
        <w:t>7</w:t>
      </w:r>
      <w:r w:rsidR="007D00F8">
        <w:noBreakHyphen/>
      </w:r>
      <w:r w:rsidR="00C21DFD">
        <w:t>0</w:t>
      </w:r>
      <w:r>
        <w:t>8</w:t>
      </w:r>
      <w:r w:rsidR="00C21DFD">
        <w:t xml:space="preserve"> (up from </w:t>
      </w:r>
      <w:r>
        <w:t>1,253</w:t>
      </w:r>
      <w:r w:rsidR="00C21DFD">
        <w:t xml:space="preserve"> in 200</w:t>
      </w:r>
      <w:r>
        <w:t>6</w:t>
      </w:r>
      <w:r w:rsidR="007D00F8">
        <w:noBreakHyphen/>
      </w:r>
      <w:r w:rsidR="00C21DFD">
        <w:t>0</w:t>
      </w:r>
      <w:r>
        <w:t>7</w:t>
      </w:r>
      <w:r w:rsidR="00C21DFD">
        <w:t>)</w:t>
      </w:r>
      <w:r w:rsidR="0004687D">
        <w:t xml:space="preserve"> and </w:t>
      </w:r>
      <w:r w:rsidR="005D6BF4">
        <w:t xml:space="preserve">the largest increase </w:t>
      </w:r>
      <w:r w:rsidR="0004687D">
        <w:t xml:space="preserve">of </w:t>
      </w:r>
      <w:r w:rsidR="005D6BF4">
        <w:t>79 per cent on 2006</w:t>
      </w:r>
      <w:r w:rsidR="007D00F8">
        <w:noBreakHyphen/>
      </w:r>
      <w:r w:rsidR="005D6BF4">
        <w:t>07.</w:t>
      </w:r>
      <w:r w:rsidR="00C21DFD">
        <w:t xml:space="preserve"> </w:t>
      </w:r>
      <w:r>
        <w:t xml:space="preserve">Queensland </w:t>
      </w:r>
      <w:r w:rsidR="005D6BF4">
        <w:t xml:space="preserve">had the second largest number </w:t>
      </w:r>
      <w:r w:rsidR="00C21DFD">
        <w:t xml:space="preserve">with </w:t>
      </w:r>
      <w:r w:rsidR="00F8712C">
        <w:t>1,726</w:t>
      </w:r>
      <w:r w:rsidR="00C21DFD">
        <w:t xml:space="preserve"> (</w:t>
      </w:r>
      <w:r>
        <w:t>1,435</w:t>
      </w:r>
      <w:r w:rsidR="00C21DFD">
        <w:t xml:space="preserve"> in 200</w:t>
      </w:r>
      <w:r>
        <w:t>6</w:t>
      </w:r>
      <w:r w:rsidR="007D00F8">
        <w:noBreakHyphen/>
      </w:r>
      <w:r w:rsidR="00C21DFD">
        <w:t>0</w:t>
      </w:r>
      <w:r>
        <w:t>7</w:t>
      </w:r>
      <w:r w:rsidR="00C21DFD">
        <w:t>),</w:t>
      </w:r>
      <w:r w:rsidR="005D6BF4">
        <w:t xml:space="preserve"> followed by</w:t>
      </w:r>
      <w:r w:rsidR="00C21DFD">
        <w:t xml:space="preserve"> </w:t>
      </w:r>
      <w:r>
        <w:t>New South Wales with 1,223 (908 in 2006</w:t>
      </w:r>
      <w:r w:rsidR="007D00F8">
        <w:noBreakHyphen/>
      </w:r>
      <w:r>
        <w:t>07)</w:t>
      </w:r>
      <w:r w:rsidR="005D6BF4">
        <w:t xml:space="preserve"> and </w:t>
      </w:r>
      <w:r w:rsidR="00C21DFD">
        <w:t>Western Australia with 1,</w:t>
      </w:r>
      <w:r w:rsidR="005D6BF4">
        <w:t>043</w:t>
      </w:r>
      <w:r w:rsidR="00C21DFD">
        <w:t xml:space="preserve"> (</w:t>
      </w:r>
      <w:r w:rsidR="005D6BF4">
        <w:t>1,134</w:t>
      </w:r>
      <w:r w:rsidR="00C21DFD">
        <w:t xml:space="preserve"> in 200</w:t>
      </w:r>
      <w:r w:rsidR="005D6BF4">
        <w:t>6</w:t>
      </w:r>
      <w:r w:rsidR="007D00F8">
        <w:noBreakHyphen/>
      </w:r>
      <w:r w:rsidR="00C21DFD">
        <w:t>0</w:t>
      </w:r>
      <w:r w:rsidR="005D6BF4">
        <w:t>7</w:t>
      </w:r>
      <w:r w:rsidR="00C21DFD">
        <w:t>).</w:t>
      </w:r>
    </w:p>
    <w:p w:rsidR="00EA18A2" w:rsidRDefault="00F8712C">
      <w:pPr>
        <w:rPr>
          <w:color w:val="auto"/>
        </w:rPr>
      </w:pPr>
      <w:r>
        <w:rPr>
          <w:color w:val="auto"/>
        </w:rPr>
        <w:t>As in 2006</w:t>
      </w:r>
      <w:r w:rsidR="007D00F8">
        <w:rPr>
          <w:color w:val="auto"/>
        </w:rPr>
        <w:noBreakHyphen/>
      </w:r>
      <w:r>
        <w:rPr>
          <w:color w:val="auto"/>
        </w:rPr>
        <w:t>07, t</w:t>
      </w:r>
      <w:r w:rsidR="00821064" w:rsidRPr="006F2BAC">
        <w:rPr>
          <w:color w:val="auto"/>
        </w:rPr>
        <w:t>here was a</w:t>
      </w:r>
      <w:r w:rsidR="003A1445">
        <w:rPr>
          <w:color w:val="auto"/>
        </w:rPr>
        <w:t>n in</w:t>
      </w:r>
      <w:r w:rsidR="00821064" w:rsidRPr="006F2BAC">
        <w:rPr>
          <w:color w:val="auto"/>
        </w:rPr>
        <w:t xml:space="preserve">crease in the </w:t>
      </w:r>
      <w:r w:rsidR="00422EE1" w:rsidRPr="006F2BAC">
        <w:rPr>
          <w:color w:val="auto"/>
        </w:rPr>
        <w:t xml:space="preserve">value of </w:t>
      </w:r>
      <w:r w:rsidR="00821064" w:rsidRPr="006F2BAC">
        <w:rPr>
          <w:color w:val="auto"/>
        </w:rPr>
        <w:t>approv</w:t>
      </w:r>
      <w:r w:rsidR="0004687D">
        <w:rPr>
          <w:color w:val="auto"/>
        </w:rPr>
        <w:t>als</w:t>
      </w:r>
      <w:r w:rsidR="00821064" w:rsidRPr="006F2BAC">
        <w:rPr>
          <w:color w:val="auto"/>
        </w:rPr>
        <w:t xml:space="preserve"> </w:t>
      </w:r>
      <w:r w:rsidR="0004687D">
        <w:rPr>
          <w:color w:val="auto"/>
        </w:rPr>
        <w:t>for</w:t>
      </w:r>
      <w:r w:rsidR="00422EE1" w:rsidRPr="006F2BAC">
        <w:rPr>
          <w:color w:val="auto"/>
        </w:rPr>
        <w:t xml:space="preserve"> land acquisitions in </w:t>
      </w:r>
      <w:r w:rsidR="00821064" w:rsidRPr="006F2BAC">
        <w:rPr>
          <w:color w:val="auto"/>
        </w:rPr>
        <w:t xml:space="preserve">more than one </w:t>
      </w:r>
      <w:r w:rsidR="00137DC7">
        <w:rPr>
          <w:color w:val="auto"/>
        </w:rPr>
        <w:t>s</w:t>
      </w:r>
      <w:r w:rsidR="00A91254" w:rsidRPr="006F2BAC">
        <w:rPr>
          <w:color w:val="auto"/>
        </w:rPr>
        <w:t xml:space="preserve">tate </w:t>
      </w:r>
      <w:r w:rsidR="00821064" w:rsidRPr="006F2BAC">
        <w:rPr>
          <w:color w:val="auto"/>
        </w:rPr>
        <w:t xml:space="preserve">or </w:t>
      </w:r>
      <w:r w:rsidR="00137DC7">
        <w:rPr>
          <w:color w:val="auto"/>
        </w:rPr>
        <w:t>t</w:t>
      </w:r>
      <w:r w:rsidR="00821064" w:rsidRPr="006F2BAC">
        <w:rPr>
          <w:color w:val="auto"/>
        </w:rPr>
        <w:t>erritory</w:t>
      </w:r>
      <w:r w:rsidR="00D05ADF">
        <w:rPr>
          <w:color w:val="auto"/>
        </w:rPr>
        <w:t>. In 2007</w:t>
      </w:r>
      <w:r w:rsidR="007D00F8">
        <w:rPr>
          <w:color w:val="auto"/>
        </w:rPr>
        <w:noBreakHyphen/>
      </w:r>
      <w:r w:rsidR="00D05ADF">
        <w:rPr>
          <w:color w:val="auto"/>
        </w:rPr>
        <w:t>08</w:t>
      </w:r>
      <w:r w:rsidR="00570AA3">
        <w:rPr>
          <w:color w:val="auto"/>
        </w:rPr>
        <w:t>,</w:t>
      </w:r>
      <w:r w:rsidR="00D05ADF">
        <w:rPr>
          <w:color w:val="auto"/>
        </w:rPr>
        <w:t xml:space="preserve"> these accounted for 35</w:t>
      </w:r>
      <w:r w:rsidR="00D05ADF" w:rsidRPr="006F2BAC">
        <w:rPr>
          <w:color w:val="auto"/>
        </w:rPr>
        <w:t> per cent</w:t>
      </w:r>
      <w:r w:rsidR="00E51E7E">
        <w:rPr>
          <w:color w:val="auto"/>
        </w:rPr>
        <w:t xml:space="preserve"> of total </w:t>
      </w:r>
      <w:r w:rsidR="00E51E7E">
        <w:rPr>
          <w:color w:val="auto"/>
        </w:rPr>
        <w:lastRenderedPageBreak/>
        <w:t>proposed investment</w:t>
      </w:r>
      <w:r w:rsidR="00E244F5" w:rsidRPr="006F2BAC">
        <w:rPr>
          <w:color w:val="auto"/>
        </w:rPr>
        <w:t xml:space="preserve">, </w:t>
      </w:r>
      <w:r>
        <w:rPr>
          <w:color w:val="auto"/>
        </w:rPr>
        <w:t xml:space="preserve">up </w:t>
      </w:r>
      <w:r w:rsidR="00E244F5" w:rsidRPr="006F2BAC">
        <w:rPr>
          <w:color w:val="auto"/>
        </w:rPr>
        <w:t xml:space="preserve">from </w:t>
      </w:r>
      <w:r>
        <w:rPr>
          <w:color w:val="auto"/>
        </w:rPr>
        <w:t>27</w:t>
      </w:r>
      <w:r w:rsidRPr="006F2BAC">
        <w:t> </w:t>
      </w:r>
      <w:r w:rsidR="00E244F5" w:rsidRPr="006F2BAC">
        <w:rPr>
          <w:color w:val="auto"/>
        </w:rPr>
        <w:t xml:space="preserve">per cent in </w:t>
      </w:r>
      <w:r w:rsidR="00131690" w:rsidRPr="006F2BAC">
        <w:rPr>
          <w:color w:val="auto"/>
        </w:rPr>
        <w:t>200</w:t>
      </w:r>
      <w:r w:rsidR="00E51E7E">
        <w:rPr>
          <w:color w:val="auto"/>
        </w:rPr>
        <w:t>6</w:t>
      </w:r>
      <w:r w:rsidR="007D00F8">
        <w:rPr>
          <w:color w:val="auto"/>
        </w:rPr>
        <w:noBreakHyphen/>
      </w:r>
      <w:r w:rsidR="00131690" w:rsidRPr="006F2BAC">
        <w:rPr>
          <w:color w:val="auto"/>
        </w:rPr>
        <w:t>0</w:t>
      </w:r>
      <w:r w:rsidR="00E51E7E">
        <w:rPr>
          <w:color w:val="auto"/>
        </w:rPr>
        <w:t>7</w:t>
      </w:r>
      <w:r w:rsidR="006117B6">
        <w:rPr>
          <w:color w:val="auto"/>
        </w:rPr>
        <w:t>.</w:t>
      </w:r>
      <w:r w:rsidR="00EF42F1">
        <w:rPr>
          <w:color w:val="auto"/>
        </w:rPr>
        <w:t xml:space="preserve"> </w:t>
      </w:r>
      <w:r w:rsidR="00523436">
        <w:rPr>
          <w:color w:val="auto"/>
        </w:rPr>
        <w:t xml:space="preserve">This </w:t>
      </w:r>
      <w:r w:rsidR="00DC2806">
        <w:rPr>
          <w:color w:val="auto"/>
        </w:rPr>
        <w:t xml:space="preserve">in part </w:t>
      </w:r>
      <w:r w:rsidR="00523436">
        <w:rPr>
          <w:color w:val="auto"/>
        </w:rPr>
        <w:t xml:space="preserve">reflected </w:t>
      </w:r>
      <w:r w:rsidR="00DC2806">
        <w:rPr>
          <w:color w:val="auto"/>
        </w:rPr>
        <w:t>an</w:t>
      </w:r>
      <w:r w:rsidR="00523436">
        <w:rPr>
          <w:color w:val="auto"/>
        </w:rPr>
        <w:t xml:space="preserve"> increase in annual programme</w:t>
      </w:r>
      <w:r w:rsidR="00A53047">
        <w:rPr>
          <w:color w:val="auto"/>
        </w:rPr>
        <w:t xml:space="preserve"> approval</w:t>
      </w:r>
      <w:r w:rsidR="00523436">
        <w:rPr>
          <w:color w:val="auto"/>
        </w:rPr>
        <w:t xml:space="preserve">s, which generally cover acquisitions in multiple </w:t>
      </w:r>
      <w:r w:rsidR="00137DC7">
        <w:rPr>
          <w:color w:val="auto"/>
        </w:rPr>
        <w:t>s</w:t>
      </w:r>
      <w:r w:rsidR="00523436">
        <w:rPr>
          <w:color w:val="auto"/>
        </w:rPr>
        <w:t>tates</w:t>
      </w:r>
      <w:r w:rsidR="00A53047">
        <w:rPr>
          <w:color w:val="auto"/>
        </w:rPr>
        <w:t>.</w:t>
      </w:r>
      <w:r w:rsidR="00523436">
        <w:rPr>
          <w:color w:val="auto"/>
        </w:rPr>
        <w:t xml:space="preserve"> </w:t>
      </w:r>
      <w:r w:rsidR="00A53047">
        <w:rPr>
          <w:color w:val="auto"/>
        </w:rPr>
        <w:t>In the absence of approval under an annual programme, such</w:t>
      </w:r>
      <w:r w:rsidR="00523436">
        <w:rPr>
          <w:color w:val="auto"/>
        </w:rPr>
        <w:t xml:space="preserve"> acquisitions would previously have been recorded individually </w:t>
      </w:r>
      <w:r w:rsidR="00A53047">
        <w:rPr>
          <w:color w:val="auto"/>
        </w:rPr>
        <w:t xml:space="preserve">against </w:t>
      </w:r>
      <w:r w:rsidR="00523436">
        <w:rPr>
          <w:color w:val="auto"/>
        </w:rPr>
        <w:t xml:space="preserve">the relevant </w:t>
      </w:r>
      <w:r w:rsidR="008511C8">
        <w:rPr>
          <w:color w:val="auto"/>
        </w:rPr>
        <w:t>s</w:t>
      </w:r>
      <w:r w:rsidR="00523436">
        <w:rPr>
          <w:color w:val="auto"/>
        </w:rPr>
        <w:t>tate.</w:t>
      </w:r>
      <w:r w:rsidR="005F001D">
        <w:rPr>
          <w:color w:val="auto"/>
        </w:rPr>
        <w:t xml:space="preserve"> The</w:t>
      </w:r>
      <w:r w:rsidR="00C21DFD">
        <w:rPr>
          <w:color w:val="auto"/>
        </w:rPr>
        <w:t xml:space="preserve"> ’various states’ category recorded the </w:t>
      </w:r>
      <w:r w:rsidR="005F001D">
        <w:rPr>
          <w:color w:val="auto"/>
        </w:rPr>
        <w:t xml:space="preserve">bulk of proposed investment in commercial real estate, with approvals encompassing multiple </w:t>
      </w:r>
      <w:r w:rsidR="008511C8">
        <w:rPr>
          <w:color w:val="auto"/>
        </w:rPr>
        <w:t>s</w:t>
      </w:r>
      <w:r w:rsidR="005F001D">
        <w:rPr>
          <w:color w:val="auto"/>
        </w:rPr>
        <w:t xml:space="preserve">tates or </w:t>
      </w:r>
      <w:r w:rsidR="008511C8">
        <w:rPr>
          <w:color w:val="auto"/>
        </w:rPr>
        <w:t>t</w:t>
      </w:r>
      <w:r w:rsidR="005F001D">
        <w:rPr>
          <w:color w:val="auto"/>
        </w:rPr>
        <w:t>erritories</w:t>
      </w:r>
      <w:r w:rsidR="006345A7">
        <w:rPr>
          <w:color w:val="auto"/>
        </w:rPr>
        <w:t xml:space="preserve"> </w:t>
      </w:r>
      <w:r w:rsidR="005F001D">
        <w:rPr>
          <w:color w:val="auto"/>
        </w:rPr>
        <w:t xml:space="preserve"> accounting for 46 per cent of total approved investment in commercial real estate.</w:t>
      </w:r>
      <w:r w:rsidR="007C507E">
        <w:rPr>
          <w:color w:val="auto"/>
        </w:rPr>
        <w:t xml:space="preserve"> This in </w:t>
      </w:r>
      <w:r w:rsidR="00DC2806">
        <w:rPr>
          <w:color w:val="auto"/>
        </w:rPr>
        <w:t xml:space="preserve">large </w:t>
      </w:r>
      <w:r w:rsidR="007C507E">
        <w:rPr>
          <w:color w:val="auto"/>
        </w:rPr>
        <w:t xml:space="preserve">part </w:t>
      </w:r>
      <w:r w:rsidR="00DC2806">
        <w:rPr>
          <w:color w:val="auto"/>
        </w:rPr>
        <w:t xml:space="preserve">reflected </w:t>
      </w:r>
      <w:r w:rsidR="007C507E">
        <w:rPr>
          <w:color w:val="auto"/>
        </w:rPr>
        <w:t xml:space="preserve">approvals for acquisitions of beneficial interests in managed investment funds with real estate assets in a number of </w:t>
      </w:r>
      <w:r w:rsidR="008511C8">
        <w:rPr>
          <w:color w:val="auto"/>
        </w:rPr>
        <w:t>s</w:t>
      </w:r>
      <w:r w:rsidR="007C507E">
        <w:rPr>
          <w:color w:val="auto"/>
        </w:rPr>
        <w:t xml:space="preserve">tates and </w:t>
      </w:r>
      <w:r w:rsidR="008511C8">
        <w:rPr>
          <w:color w:val="auto"/>
        </w:rPr>
        <w:t>t</w:t>
      </w:r>
      <w:r w:rsidR="007C507E">
        <w:rPr>
          <w:color w:val="auto"/>
        </w:rPr>
        <w:t>erritories</w:t>
      </w:r>
      <w:r w:rsidR="003D5419">
        <w:rPr>
          <w:color w:val="auto"/>
        </w:rPr>
        <w:t xml:space="preserve">. </w:t>
      </w:r>
    </w:p>
    <w:p w:rsidR="00D72334" w:rsidRDefault="00D72334">
      <w:r w:rsidRPr="006F2BAC">
        <w:t xml:space="preserve">During </w:t>
      </w:r>
      <w:r w:rsidRPr="006F2BAC">
        <w:rPr>
          <w:color w:val="auto"/>
        </w:rPr>
        <w:t>200</w:t>
      </w:r>
      <w:r w:rsidR="006345A7">
        <w:rPr>
          <w:color w:val="auto"/>
        </w:rPr>
        <w:t>7</w:t>
      </w:r>
      <w:r w:rsidR="007D00F8">
        <w:rPr>
          <w:color w:val="auto"/>
        </w:rPr>
        <w:noBreakHyphen/>
      </w:r>
      <w:r w:rsidRPr="006F2BAC">
        <w:rPr>
          <w:color w:val="auto"/>
        </w:rPr>
        <w:t>0</w:t>
      </w:r>
      <w:r w:rsidR="006345A7">
        <w:rPr>
          <w:color w:val="auto"/>
        </w:rPr>
        <w:t>8</w:t>
      </w:r>
      <w:r w:rsidRPr="006F2BAC">
        <w:t xml:space="preserve">, </w:t>
      </w:r>
      <w:bookmarkStart w:id="44" w:name="OLE_LINK44"/>
      <w:bookmarkStart w:id="45" w:name="OLE_LINK45"/>
      <w:r w:rsidR="00A229BC">
        <w:t>less than 1 per cent</w:t>
      </w:r>
      <w:bookmarkEnd w:id="44"/>
      <w:bookmarkEnd w:id="45"/>
      <w:r w:rsidR="00A229BC">
        <w:t xml:space="preserve"> of</w:t>
      </w:r>
      <w:r w:rsidRPr="006F2BAC">
        <w:t xml:space="preserve"> approvals in the real estate sector involved the acquisition of real estate located offshore</w:t>
      </w:r>
      <w:r w:rsidR="0083761F" w:rsidRPr="006F2BAC">
        <w:rPr>
          <w:rStyle w:val="FootnoteReference"/>
        </w:rPr>
        <w:footnoteReference w:id="12"/>
      </w:r>
      <w:r w:rsidR="00523436">
        <w:t xml:space="preserve"> </w:t>
      </w:r>
      <w:r w:rsidR="006345A7">
        <w:t>(also less than 1 per cent</w:t>
      </w:r>
      <w:r w:rsidR="003A1445">
        <w:t xml:space="preserve"> of approvals in 200</w:t>
      </w:r>
      <w:r w:rsidR="006345A7">
        <w:t>6</w:t>
      </w:r>
      <w:r w:rsidR="007D00F8">
        <w:noBreakHyphen/>
      </w:r>
      <w:r w:rsidR="003A1445">
        <w:t>0</w:t>
      </w:r>
      <w:r w:rsidR="006345A7">
        <w:t>7)</w:t>
      </w:r>
      <w:r w:rsidR="003A1445">
        <w:t>.</w:t>
      </w:r>
      <w:r w:rsidRPr="006F2BAC">
        <w:t xml:space="preserve"> This </w:t>
      </w:r>
      <w:r w:rsidR="003A1445">
        <w:t xml:space="preserve">sector </w:t>
      </w:r>
      <w:r w:rsidRPr="006F2BAC">
        <w:t>reflects proposed foreign investment in Australian listed property trusts or funds</w:t>
      </w:r>
      <w:r w:rsidR="00220B0D" w:rsidRPr="006F2BAC">
        <w:t>,</w:t>
      </w:r>
      <w:r w:rsidRPr="006F2BAC">
        <w:t xml:space="preserve"> </w:t>
      </w:r>
      <w:r w:rsidR="00220B0D" w:rsidRPr="006F2BAC">
        <w:t>whose principal activities are to</w:t>
      </w:r>
      <w:r w:rsidRPr="006F2BAC">
        <w:t xml:space="preserve"> invest in </w:t>
      </w:r>
      <w:r w:rsidR="00220B0D" w:rsidRPr="006F2BAC">
        <w:t>foreign real estate.</w:t>
      </w:r>
      <w:r>
        <w:t xml:space="preserve"> </w:t>
      </w:r>
    </w:p>
    <w:p w:rsidR="00F06B75" w:rsidRDefault="00F06B75" w:rsidP="00183392">
      <w:pPr>
        <w:pStyle w:val="TableMainHeading"/>
      </w:pPr>
      <w:r>
        <w:t>Table 2.</w:t>
      </w:r>
      <w:r w:rsidR="00BF3B06">
        <w:t>9</w:t>
      </w:r>
      <w:r w:rsidR="00C450A2">
        <w:t xml:space="preserve">: </w:t>
      </w:r>
      <w:r w:rsidR="00C9145B">
        <w:t xml:space="preserve">Real estate sector approvals in </w:t>
      </w:r>
      <w:r w:rsidR="00310514" w:rsidRPr="00C6620A">
        <w:t>200</w:t>
      </w:r>
      <w:r w:rsidR="009962EE">
        <w:t>7</w:t>
      </w:r>
      <w:r w:rsidR="007D00F8">
        <w:noBreakHyphen/>
      </w:r>
      <w:r w:rsidR="00310514" w:rsidRPr="00C6620A">
        <w:t>0</w:t>
      </w:r>
      <w:r w:rsidR="009962EE">
        <w:t>8</w:t>
      </w:r>
      <w:r w:rsidR="00C03285">
        <w:t xml:space="preserve"> — </w:t>
      </w:r>
      <w:r w:rsidR="00C9145B">
        <w:t>location of investment</w:t>
      </w:r>
      <w:r w:rsidR="00CB701A">
        <w:t xml:space="preserve"> </w:t>
      </w:r>
    </w:p>
    <w:p w:rsidR="00F06B75" w:rsidRPr="00575437" w:rsidRDefault="005E06D1">
      <w:pPr>
        <w:pStyle w:val="TableGraphic"/>
      </w:pPr>
      <w:r>
        <w:object w:dxaOrig="7723" w:dyaOrig="3093">
          <v:shape id="_x0000_i1038" type="#_x0000_t75" style="width:386.25pt;height:154.5pt" o:ole="">
            <v:imagedata r:id="rId39" o:title=""/>
          </v:shape>
          <o:OLEObject Type="Link" ProgID="Excel.Sheet.8" ShapeID="_x0000_i1038" DrawAspect="Content" r:id="rId40" UpdateMode="Always">
            <o:LinkType>Picture</o:LinkType>
            <o:LockedField>false</o:LockedField>
          </o:OLEObject>
        </w:object>
      </w:r>
    </w:p>
    <w:p w:rsidR="006066C4" w:rsidRDefault="00F06B75" w:rsidP="00A02C7F">
      <w:pPr>
        <w:pStyle w:val="ChartandTableFootnoteAlpha"/>
        <w:numPr>
          <w:ilvl w:val="0"/>
          <w:numId w:val="5"/>
        </w:numPr>
      </w:pPr>
      <w:r>
        <w:t xml:space="preserve">Comprises approved proposals </w:t>
      </w:r>
      <w:r w:rsidR="00114764">
        <w:t>where the investment is to be</w:t>
      </w:r>
      <w:r>
        <w:t xml:space="preserve"> undertaken in more than </w:t>
      </w:r>
      <w:r w:rsidR="00F92ECC">
        <w:t xml:space="preserve">one </w:t>
      </w:r>
      <w:r w:rsidR="00137DC7">
        <w:t>s</w:t>
      </w:r>
      <w:r w:rsidR="00A91254">
        <w:t xml:space="preserve">tate </w:t>
      </w:r>
      <w:r w:rsidR="00A02C7F">
        <w:t xml:space="preserve">or </w:t>
      </w:r>
      <w:r w:rsidR="00137DC7">
        <w:t>t</w:t>
      </w:r>
      <w:r w:rsidR="00A91254">
        <w:t>erritory</w:t>
      </w:r>
      <w:r w:rsidR="00A02C7F">
        <w:t>.</w:t>
      </w:r>
      <w:r w:rsidR="006066C4" w:rsidRPr="006066C4">
        <w:rPr>
          <w:highlight w:val="cyan"/>
        </w:rPr>
        <w:t xml:space="preserve"> </w:t>
      </w:r>
    </w:p>
    <w:p w:rsidR="00BD44B1" w:rsidRDefault="00C310BB" w:rsidP="000B3489">
      <w:pPr>
        <w:pStyle w:val="ChartorTableNote"/>
      </w:pPr>
      <w:r>
        <w:t>Note:</w:t>
      </w:r>
      <w:r>
        <w:tab/>
        <w:t>Totals may not add due to rounding</w:t>
      </w:r>
      <w:r w:rsidR="00BD44B1">
        <w:t>.</w:t>
      </w:r>
      <w:r>
        <w:t xml:space="preserve"> </w:t>
      </w:r>
    </w:p>
    <w:p w:rsidR="00C310BB" w:rsidRDefault="00BD44B1" w:rsidP="00C310BB">
      <w:pPr>
        <w:pStyle w:val="ChartorTableNote"/>
        <w:ind w:left="567" w:hanging="567"/>
      </w:pPr>
      <w:r>
        <w:tab/>
      </w:r>
      <w:r w:rsidR="007D00F8">
        <w:t>‘</w:t>
      </w:r>
      <w:r w:rsidR="007D00F8">
        <w:noBreakHyphen/>
        <w:t>‘</w:t>
      </w:r>
      <w:r w:rsidR="00C310BB">
        <w:t xml:space="preserve"> i</w:t>
      </w:r>
      <w:r w:rsidR="00C310BB" w:rsidRPr="008A5FC8">
        <w:t>ndicates a figure of zero</w:t>
      </w:r>
      <w:r w:rsidR="00C310BB">
        <w:t xml:space="preserve"> and ‘0.00’ indicates a figure of less than $5 million.</w:t>
      </w:r>
    </w:p>
    <w:p w:rsidR="005A7384" w:rsidRPr="005A7384" w:rsidRDefault="005A7384" w:rsidP="003D1C97">
      <w:pPr>
        <w:pStyle w:val="SingleParagraph"/>
      </w:pPr>
    </w:p>
    <w:p w:rsidR="00F06B75" w:rsidRDefault="00F06B75" w:rsidP="003D79FF">
      <w:pPr>
        <w:pStyle w:val="Heading2"/>
      </w:pPr>
      <w:r>
        <w:t>Approvals by country of investor</w:t>
      </w:r>
    </w:p>
    <w:p w:rsidR="00F06B75" w:rsidRPr="00E465AF" w:rsidRDefault="00E465AF" w:rsidP="00820FB5">
      <w:r w:rsidRPr="00E465AF">
        <w:t>Data on proposed investment associated with approvals in 200</w:t>
      </w:r>
      <w:r w:rsidR="00007ACA">
        <w:t>7</w:t>
      </w:r>
      <w:r w:rsidR="007D00F8">
        <w:noBreakHyphen/>
      </w:r>
      <w:r w:rsidRPr="00E465AF">
        <w:t>0</w:t>
      </w:r>
      <w:r w:rsidR="009962EE">
        <w:t>8</w:t>
      </w:r>
      <w:r w:rsidRPr="00E465AF">
        <w:t xml:space="preserve"> </w:t>
      </w:r>
      <w:r w:rsidR="00A96BE2">
        <w:t>is</w:t>
      </w:r>
      <w:r w:rsidRPr="00E465AF">
        <w:t xml:space="preserve"> shown by selected country, aggregated by location of investment in Table 2.10 and by industry sector in Table 2.11. </w:t>
      </w:r>
      <w:r w:rsidR="00F06B75" w:rsidRPr="00E465AF">
        <w:t xml:space="preserve">The </w:t>
      </w:r>
      <w:r w:rsidR="00F42BD2" w:rsidRPr="00E465AF">
        <w:t>US</w:t>
      </w:r>
      <w:r w:rsidR="00F06B75" w:rsidRPr="00E465AF">
        <w:t xml:space="preserve"> was </w:t>
      </w:r>
      <w:r w:rsidR="00286D8E" w:rsidRPr="00E465AF">
        <w:t xml:space="preserve">once </w:t>
      </w:r>
      <w:r w:rsidR="00F06B75" w:rsidRPr="00E465AF">
        <w:t>again the</w:t>
      </w:r>
      <w:r w:rsidR="00286D8E" w:rsidRPr="00E465AF">
        <w:t xml:space="preserve"> largest</w:t>
      </w:r>
      <w:r w:rsidR="00F06B75" w:rsidRPr="00E465AF">
        <w:t xml:space="preserve"> source of proposed foreign investment in Australia. The other major sources of foreign investment were </w:t>
      </w:r>
      <w:r w:rsidR="007827AB" w:rsidRPr="00E465AF">
        <w:t xml:space="preserve">the </w:t>
      </w:r>
      <w:r w:rsidR="00361ABE" w:rsidRPr="00E465AF">
        <w:lastRenderedPageBreak/>
        <w:t xml:space="preserve">United Kingdom </w:t>
      </w:r>
      <w:r w:rsidR="00D860C0" w:rsidRPr="00E465AF">
        <w:t>(UK)</w:t>
      </w:r>
      <w:r w:rsidR="009962EE">
        <w:t>, Germany, Singapore</w:t>
      </w:r>
      <w:r w:rsidR="00D860C0" w:rsidRPr="00E465AF">
        <w:t xml:space="preserve"> </w:t>
      </w:r>
      <w:r w:rsidR="00361ABE" w:rsidRPr="00E465AF">
        <w:t>and</w:t>
      </w:r>
      <w:r w:rsidR="00E841BF" w:rsidRPr="00E465AF">
        <w:t xml:space="preserve"> </w:t>
      </w:r>
      <w:r w:rsidR="009962EE">
        <w:t>Switzerland</w:t>
      </w:r>
      <w:r w:rsidR="00F06B75" w:rsidRPr="00E465AF">
        <w:t>.</w:t>
      </w:r>
      <w:r w:rsidR="00361ABE" w:rsidRPr="00E465AF">
        <w:t xml:space="preserve"> </w:t>
      </w:r>
      <w:r w:rsidR="00C310BB" w:rsidRPr="00E465AF">
        <w:t>Chapter 4 provides information on foreign investment stocks and flows by country.</w:t>
      </w:r>
    </w:p>
    <w:p w:rsidR="00F06B75" w:rsidRPr="009F4C3E" w:rsidRDefault="00114764" w:rsidP="00820FB5">
      <w:r w:rsidRPr="009F4C3E">
        <w:t>A</w:t>
      </w:r>
      <w:r w:rsidR="00E841BF" w:rsidRPr="009F4C3E">
        <w:t xml:space="preserve">pproved </w:t>
      </w:r>
      <w:r w:rsidR="00F06B75" w:rsidRPr="009F4C3E">
        <w:t>prop</w:t>
      </w:r>
      <w:r w:rsidR="00E841BF" w:rsidRPr="009F4C3E">
        <w:t xml:space="preserve">osed investment from the US </w:t>
      </w:r>
      <w:r w:rsidR="009962EE">
        <w:t>saw a</w:t>
      </w:r>
      <w:r w:rsidR="001F0BCF">
        <w:t xml:space="preserve"> </w:t>
      </w:r>
      <w:r w:rsidR="008C3506">
        <w:t>9</w:t>
      </w:r>
      <w:r w:rsidR="009962EE">
        <w:t> per cent increase</w:t>
      </w:r>
      <w:r w:rsidR="00F06B75" w:rsidRPr="009F4C3E">
        <w:t xml:space="preserve"> from</w:t>
      </w:r>
      <w:r w:rsidR="006334BF">
        <w:t xml:space="preserve"> </w:t>
      </w:r>
      <w:r w:rsidR="009962EE" w:rsidRPr="009F4C3E">
        <w:t>$4</w:t>
      </w:r>
      <w:r w:rsidR="009962EE">
        <w:t>5.3</w:t>
      </w:r>
      <w:r w:rsidR="009962EE" w:rsidRPr="009F4C3E">
        <w:t xml:space="preserve"> billion in </w:t>
      </w:r>
      <w:r w:rsidR="009962EE" w:rsidRPr="009F4C3E">
        <w:rPr>
          <w:color w:val="auto"/>
        </w:rPr>
        <w:t>200</w:t>
      </w:r>
      <w:r w:rsidR="009962EE">
        <w:rPr>
          <w:color w:val="auto"/>
        </w:rPr>
        <w:t>6</w:t>
      </w:r>
      <w:r w:rsidR="007D00F8">
        <w:rPr>
          <w:color w:val="auto"/>
        </w:rPr>
        <w:noBreakHyphen/>
      </w:r>
      <w:r w:rsidR="009962EE" w:rsidRPr="009F4C3E">
        <w:rPr>
          <w:color w:val="auto"/>
        </w:rPr>
        <w:t>0</w:t>
      </w:r>
      <w:r w:rsidR="009962EE">
        <w:rPr>
          <w:color w:val="auto"/>
        </w:rPr>
        <w:t>7</w:t>
      </w:r>
      <w:r w:rsidR="00F43313" w:rsidRPr="009F4C3E">
        <w:t xml:space="preserve"> to $</w:t>
      </w:r>
      <w:r w:rsidR="00D93EA8" w:rsidRPr="009F4C3E">
        <w:t>4</w:t>
      </w:r>
      <w:r w:rsidR="009962EE">
        <w:t>9.</w:t>
      </w:r>
      <w:r w:rsidR="006334BF">
        <w:t>5</w:t>
      </w:r>
      <w:r w:rsidR="00E841BF" w:rsidRPr="009F4C3E">
        <w:t xml:space="preserve"> billion in </w:t>
      </w:r>
      <w:r w:rsidR="006334BF" w:rsidRPr="009F4C3E">
        <w:rPr>
          <w:color w:val="auto"/>
        </w:rPr>
        <w:t>200</w:t>
      </w:r>
      <w:r w:rsidR="009962EE">
        <w:rPr>
          <w:color w:val="auto"/>
        </w:rPr>
        <w:t>7</w:t>
      </w:r>
      <w:r w:rsidR="007D00F8">
        <w:rPr>
          <w:color w:val="auto"/>
        </w:rPr>
        <w:noBreakHyphen/>
      </w:r>
      <w:r w:rsidR="00131690" w:rsidRPr="009F4C3E">
        <w:rPr>
          <w:color w:val="auto"/>
        </w:rPr>
        <w:t>0</w:t>
      </w:r>
      <w:r w:rsidR="009962EE">
        <w:rPr>
          <w:color w:val="auto"/>
        </w:rPr>
        <w:t>8</w:t>
      </w:r>
      <w:r w:rsidR="00E841BF" w:rsidRPr="009F4C3E">
        <w:t>.</w:t>
      </w:r>
      <w:r w:rsidR="00F06B75" w:rsidRPr="009F4C3E">
        <w:t xml:space="preserve"> </w:t>
      </w:r>
      <w:r w:rsidR="00FC3585" w:rsidRPr="009F4C3E">
        <w:t>P</w:t>
      </w:r>
      <w:r w:rsidR="00F06B75" w:rsidRPr="009F4C3E">
        <w:t>ro</w:t>
      </w:r>
      <w:r w:rsidR="00243560" w:rsidRPr="009F4C3E">
        <w:t>posed investment was primarily</w:t>
      </w:r>
      <w:r w:rsidR="00F06B75" w:rsidRPr="009F4C3E">
        <w:t xml:space="preserve"> in the </w:t>
      </w:r>
      <w:r w:rsidR="001F0BCF">
        <w:t>services</w:t>
      </w:r>
      <w:r w:rsidR="009962EE">
        <w:t xml:space="preserve"> </w:t>
      </w:r>
      <w:r w:rsidR="000803E8" w:rsidRPr="009F4C3E">
        <w:t>sector</w:t>
      </w:r>
      <w:r w:rsidR="00E841BF" w:rsidRPr="009F4C3E">
        <w:t>,</w:t>
      </w:r>
      <w:r w:rsidR="00F06B75" w:rsidRPr="009F4C3E">
        <w:t xml:space="preserve"> accounting for </w:t>
      </w:r>
      <w:r w:rsidR="001F0BCF">
        <w:t>3</w:t>
      </w:r>
      <w:r w:rsidR="006334BF">
        <w:t>0</w:t>
      </w:r>
      <w:r w:rsidR="006334BF" w:rsidRPr="009F4C3E">
        <w:t xml:space="preserve"> </w:t>
      </w:r>
      <w:r w:rsidR="00F06B75" w:rsidRPr="009F4C3E">
        <w:t>per</w:t>
      </w:r>
      <w:r w:rsidR="00237D94" w:rsidRPr="009F4C3E">
        <w:t xml:space="preserve"> </w:t>
      </w:r>
      <w:r w:rsidR="00F06B75" w:rsidRPr="009F4C3E">
        <w:t>cent of total US</w:t>
      </w:r>
      <w:r w:rsidR="00237D94" w:rsidRPr="009F4C3E">
        <w:t> </w:t>
      </w:r>
      <w:r w:rsidR="00F06B75" w:rsidRPr="009F4C3E">
        <w:t>investment</w:t>
      </w:r>
      <w:r w:rsidR="00D86799">
        <w:t xml:space="preserve"> and making the US the leading </w:t>
      </w:r>
      <w:r w:rsidR="00DC2806">
        <w:t xml:space="preserve">country of nationality of </w:t>
      </w:r>
      <w:r w:rsidR="00D86799">
        <w:t>foreign invest</w:t>
      </w:r>
      <w:r w:rsidR="00DC2806">
        <w:t>ors</w:t>
      </w:r>
      <w:r w:rsidR="00D86799">
        <w:t xml:space="preserve"> in this sector</w:t>
      </w:r>
      <w:r w:rsidR="00A96BE2">
        <w:t>,</w:t>
      </w:r>
      <w:r w:rsidR="00D86799">
        <w:t xml:space="preserve"> accounting for 41 per cent</w:t>
      </w:r>
      <w:r w:rsidR="00F06B75" w:rsidRPr="009F4C3E">
        <w:t xml:space="preserve">. </w:t>
      </w:r>
      <w:r w:rsidR="00C40C95">
        <w:t xml:space="preserve">A single proposal in excess of $6 billion accounted for 42 per cent of US investment in the services sector. </w:t>
      </w:r>
      <w:r w:rsidR="00F72264">
        <w:t xml:space="preserve">The US was </w:t>
      </w:r>
      <w:r w:rsidR="00D86799">
        <w:t xml:space="preserve">also </w:t>
      </w:r>
      <w:r w:rsidR="00F72264">
        <w:t xml:space="preserve">the leading </w:t>
      </w:r>
      <w:r w:rsidR="00DC2806">
        <w:t>nationality for</w:t>
      </w:r>
      <w:r w:rsidR="00F72264">
        <w:t xml:space="preserve"> foreign investment in the </w:t>
      </w:r>
      <w:r w:rsidR="001F0BCF">
        <w:t>tourism</w:t>
      </w:r>
      <w:r w:rsidR="00F72264">
        <w:t xml:space="preserve"> and </w:t>
      </w:r>
      <w:r w:rsidR="001F0BCF">
        <w:t xml:space="preserve">real estate </w:t>
      </w:r>
      <w:r w:rsidR="00F72264">
        <w:t xml:space="preserve">sectors, accounting for </w:t>
      </w:r>
      <w:r w:rsidR="001F0BCF">
        <w:t>8</w:t>
      </w:r>
      <w:r w:rsidR="00F72264">
        <w:t>0 per cent and 2</w:t>
      </w:r>
      <w:r w:rsidR="001F0BCF">
        <w:t>6</w:t>
      </w:r>
      <w:r w:rsidR="00F72264">
        <w:t xml:space="preserve"> per cent respectively. </w:t>
      </w:r>
      <w:r w:rsidR="00931601">
        <w:t xml:space="preserve">A </w:t>
      </w:r>
      <w:r w:rsidR="00C40C95">
        <w:t xml:space="preserve">single proposal accounted for 71 per cent of US investment in </w:t>
      </w:r>
      <w:r w:rsidR="00931601">
        <w:t>the tourism sector</w:t>
      </w:r>
      <w:r w:rsidR="00C40C95">
        <w:t>, while two proposals accounted fo</w:t>
      </w:r>
      <w:r w:rsidR="004255B5">
        <w:t>r 45 per cent of US investment</w:t>
      </w:r>
      <w:r w:rsidR="00931601">
        <w:t xml:space="preserve"> in the real estate sector</w:t>
      </w:r>
      <w:r w:rsidR="004255B5">
        <w:t xml:space="preserve">. </w:t>
      </w:r>
      <w:r w:rsidR="00F06B75" w:rsidRPr="009F4C3E">
        <w:t>Refer to Chapter</w:t>
      </w:r>
      <w:r w:rsidR="00D860C0" w:rsidRPr="009F4C3E">
        <w:t> </w:t>
      </w:r>
      <w:r w:rsidR="00F06B75" w:rsidRPr="009F4C3E">
        <w:t>4 for further discussion on the Austral</w:t>
      </w:r>
      <w:r w:rsidR="004F3F4E" w:rsidRPr="009F4C3E">
        <w:t>ia</w:t>
      </w:r>
      <w:r w:rsidR="00C310BB" w:rsidRPr="009F4C3E">
        <w:t>/US</w:t>
      </w:r>
      <w:r w:rsidR="00BC5BD1" w:rsidRPr="009F4C3E">
        <w:t xml:space="preserve"> </w:t>
      </w:r>
      <w:r w:rsidR="004F3F4E" w:rsidRPr="009F4C3E">
        <w:t xml:space="preserve">investment </w:t>
      </w:r>
      <w:r w:rsidR="00BC5BD1" w:rsidRPr="009F4C3E">
        <w:t>relationship</w:t>
      </w:r>
      <w:r w:rsidR="003D5419">
        <w:t xml:space="preserve">. </w:t>
      </w:r>
    </w:p>
    <w:p w:rsidR="007B7317" w:rsidRPr="009F4C3E" w:rsidRDefault="00363037" w:rsidP="00820FB5">
      <w:r>
        <w:t xml:space="preserve">The UK </w:t>
      </w:r>
      <w:r w:rsidR="005F6094" w:rsidRPr="009F4C3E">
        <w:t>recorded</w:t>
      </w:r>
      <w:r w:rsidR="007B7317" w:rsidRPr="009F4C3E">
        <w:t xml:space="preserve"> </w:t>
      </w:r>
      <w:r w:rsidR="00537914">
        <w:t>the second largest amount of proposed investment in 200</w:t>
      </w:r>
      <w:r>
        <w:t>7</w:t>
      </w:r>
      <w:r w:rsidR="007D00F8">
        <w:noBreakHyphen/>
      </w:r>
      <w:r w:rsidR="00537914">
        <w:t>0</w:t>
      </w:r>
      <w:r>
        <w:t>8</w:t>
      </w:r>
      <w:r w:rsidR="00537914">
        <w:t>, with $</w:t>
      </w:r>
      <w:r>
        <w:t>33.3</w:t>
      </w:r>
      <w:r w:rsidR="00537914">
        <w:t> billion (</w:t>
      </w:r>
      <w:r w:rsidR="00D86799">
        <w:t>almost two and a half times the</w:t>
      </w:r>
      <w:r w:rsidR="00537914">
        <w:t xml:space="preserve"> $</w:t>
      </w:r>
      <w:r w:rsidR="00D86799">
        <w:t>13.8</w:t>
      </w:r>
      <w:r w:rsidR="00537914">
        <w:t> billion in 200</w:t>
      </w:r>
      <w:r>
        <w:t>6</w:t>
      </w:r>
      <w:r w:rsidR="007D00F8">
        <w:noBreakHyphen/>
      </w:r>
      <w:r w:rsidR="00537914">
        <w:t>0</w:t>
      </w:r>
      <w:r>
        <w:t>7</w:t>
      </w:r>
      <w:r w:rsidR="00537914">
        <w:t xml:space="preserve">). </w:t>
      </w:r>
      <w:r w:rsidR="00653867">
        <w:t>Of this proposed investment</w:t>
      </w:r>
      <w:r w:rsidR="0099235A">
        <w:t xml:space="preserve">, $14.1 billion or </w:t>
      </w:r>
      <w:r w:rsidR="00653867">
        <w:t xml:space="preserve">42 per cent was in </w:t>
      </w:r>
      <w:r w:rsidR="000060E3" w:rsidRPr="009F4C3E">
        <w:t xml:space="preserve">the </w:t>
      </w:r>
      <w:r>
        <w:t>mineral exploration and development</w:t>
      </w:r>
      <w:r w:rsidR="00007ACA">
        <w:t xml:space="preserve"> sector</w:t>
      </w:r>
      <w:r w:rsidR="000060E3" w:rsidRPr="009F4C3E">
        <w:t xml:space="preserve">, </w:t>
      </w:r>
      <w:r>
        <w:t>making the UK the leading source of foreign investment in this sector</w:t>
      </w:r>
      <w:r w:rsidR="00523436">
        <w:t>.</w:t>
      </w:r>
      <w:r w:rsidR="000060E3">
        <w:t xml:space="preserve"> </w:t>
      </w:r>
      <w:r w:rsidR="0099235A">
        <w:t>In excess of $10 billion of this was attributable to a single proposal.</w:t>
      </w:r>
      <w:r w:rsidR="00653867">
        <w:t xml:space="preserve"> </w:t>
      </w:r>
      <w:r w:rsidR="00556C02">
        <w:t xml:space="preserve">The UK was also the leading source of foreign investment in the finance and insurance sector, accounting for 71 per cent of total proposed investment in this sector and 21 per cent of the UK’s total proposed investment. Two proposals accounted for 88 per cent </w:t>
      </w:r>
      <w:r w:rsidR="00931601">
        <w:t>of</w:t>
      </w:r>
      <w:r w:rsidR="00556C02">
        <w:t xml:space="preserve"> the UK’s investment in</w:t>
      </w:r>
      <w:r w:rsidR="00931601">
        <w:t xml:space="preserve"> the finance and insurance sector</w:t>
      </w:r>
      <w:r w:rsidR="00556C02">
        <w:t xml:space="preserve">. </w:t>
      </w:r>
    </w:p>
    <w:p w:rsidR="00007ACA" w:rsidRDefault="00007ACA" w:rsidP="00820FB5">
      <w:r>
        <w:t>In 2007</w:t>
      </w:r>
      <w:r w:rsidR="007D00F8">
        <w:noBreakHyphen/>
      </w:r>
      <w:r>
        <w:t>08, Germany’s total proposed investment increased by 8</w:t>
      </w:r>
      <w:r w:rsidR="00D86799">
        <w:t>6</w:t>
      </w:r>
      <w:r>
        <w:t> per cent to $12.8 billion ($6.9 in 2006</w:t>
      </w:r>
      <w:r w:rsidR="007D00F8">
        <w:noBreakHyphen/>
      </w:r>
      <w:r>
        <w:t xml:space="preserve">07). </w:t>
      </w:r>
      <w:r w:rsidRPr="009F4C3E">
        <w:t xml:space="preserve">This proposed investment was primarily in the </w:t>
      </w:r>
      <w:r>
        <w:t>manufacturing sector</w:t>
      </w:r>
      <w:r w:rsidRPr="009F4C3E">
        <w:t xml:space="preserve">, accounting for </w:t>
      </w:r>
      <w:r>
        <w:t>46</w:t>
      </w:r>
      <w:r w:rsidR="0037375C">
        <w:t> </w:t>
      </w:r>
      <w:r w:rsidRPr="009F4C3E">
        <w:t xml:space="preserve">per cent of total </w:t>
      </w:r>
      <w:r>
        <w:t>German</w:t>
      </w:r>
      <w:r w:rsidRPr="009F4C3E">
        <w:t> investment</w:t>
      </w:r>
      <w:r>
        <w:t>, followed by investment in the services sector which accounted for 32 per cent of total German investment.</w:t>
      </w:r>
      <w:r w:rsidR="004255B5">
        <w:t xml:space="preserve"> A single proposal, in excess of $5 billion</w:t>
      </w:r>
      <w:r w:rsidR="00CC00A4">
        <w:t>,</w:t>
      </w:r>
      <w:r w:rsidR="004255B5">
        <w:t xml:space="preserve"> accounted for </w:t>
      </w:r>
      <w:r w:rsidR="00577A34">
        <w:t xml:space="preserve">88 per cent of German investment </w:t>
      </w:r>
      <w:r w:rsidR="00931601">
        <w:t>in the manufacturing sector</w:t>
      </w:r>
      <w:r w:rsidR="00577A34">
        <w:t xml:space="preserve">, </w:t>
      </w:r>
      <w:r w:rsidR="00931601">
        <w:t>and</w:t>
      </w:r>
      <w:r w:rsidR="00577A34">
        <w:t xml:space="preserve"> a single proposal accounted for 90 per cent of German investment</w:t>
      </w:r>
      <w:r w:rsidR="00931601" w:rsidRPr="00931601">
        <w:t xml:space="preserve"> </w:t>
      </w:r>
      <w:r w:rsidR="00931601">
        <w:t>in the services sector</w:t>
      </w:r>
      <w:r w:rsidR="00577A34">
        <w:t>.</w:t>
      </w:r>
    </w:p>
    <w:p w:rsidR="00F06B75" w:rsidRPr="009F4C3E" w:rsidRDefault="0037375C" w:rsidP="00820FB5">
      <w:r>
        <w:t xml:space="preserve">Singapore, which recorded the second largest amount of </w:t>
      </w:r>
      <w:r w:rsidR="00F06B75" w:rsidRPr="009F4C3E">
        <w:t>pr</w:t>
      </w:r>
      <w:r w:rsidR="00E841BF" w:rsidRPr="009F4C3E">
        <w:t xml:space="preserve">oposed investment </w:t>
      </w:r>
      <w:r>
        <w:t>in 2006</w:t>
      </w:r>
      <w:r w:rsidR="007D00F8">
        <w:noBreakHyphen/>
      </w:r>
      <w:r>
        <w:t>07, saw a 39 per cent decrease in 2007</w:t>
      </w:r>
      <w:r w:rsidR="007D00F8">
        <w:noBreakHyphen/>
      </w:r>
      <w:r>
        <w:t>08 with total proposed investment of $10.9 billion (</w:t>
      </w:r>
      <w:r w:rsidR="006334BF" w:rsidRPr="009F4C3E">
        <w:t>$</w:t>
      </w:r>
      <w:r>
        <w:t>18.0</w:t>
      </w:r>
      <w:r w:rsidR="006334BF" w:rsidRPr="009F4C3E">
        <w:t xml:space="preserve"> billion in </w:t>
      </w:r>
      <w:r w:rsidR="006334BF" w:rsidRPr="009F4C3E">
        <w:rPr>
          <w:color w:val="auto"/>
        </w:rPr>
        <w:t>200</w:t>
      </w:r>
      <w:r>
        <w:rPr>
          <w:color w:val="auto"/>
        </w:rPr>
        <w:t>6</w:t>
      </w:r>
      <w:r w:rsidR="007D00F8">
        <w:rPr>
          <w:color w:val="auto"/>
        </w:rPr>
        <w:noBreakHyphen/>
      </w:r>
      <w:r w:rsidR="006334BF" w:rsidRPr="009F4C3E">
        <w:rPr>
          <w:color w:val="auto"/>
        </w:rPr>
        <w:t>0</w:t>
      </w:r>
      <w:r>
        <w:rPr>
          <w:color w:val="auto"/>
        </w:rPr>
        <w:t>7).</w:t>
      </w:r>
      <w:r w:rsidR="00F06B75" w:rsidRPr="009F4C3E">
        <w:t xml:space="preserve"> </w:t>
      </w:r>
      <w:r w:rsidRPr="009F4C3E">
        <w:t xml:space="preserve">This proposed investment was primarily in the </w:t>
      </w:r>
      <w:r>
        <w:t>manufacturing sector</w:t>
      </w:r>
      <w:r w:rsidRPr="009F4C3E">
        <w:t xml:space="preserve">, accounting for </w:t>
      </w:r>
      <w:r>
        <w:t>76 </w:t>
      </w:r>
      <w:r w:rsidRPr="009F4C3E">
        <w:t xml:space="preserve">per cent of total </w:t>
      </w:r>
      <w:r w:rsidR="009058F0">
        <w:t>Singaporean</w:t>
      </w:r>
      <w:r w:rsidRPr="009F4C3E">
        <w:t> investment</w:t>
      </w:r>
      <w:r>
        <w:t xml:space="preserve"> and making </w:t>
      </w:r>
      <w:r w:rsidR="009058F0">
        <w:t>Singapore</w:t>
      </w:r>
      <w:r>
        <w:t xml:space="preserve"> the leading source of foreign investment in this sector.</w:t>
      </w:r>
      <w:r w:rsidR="00931601">
        <w:t xml:space="preserve"> A single proposal accounted for 76 per cent of Singaporean investment in the services sector.</w:t>
      </w:r>
    </w:p>
    <w:p w:rsidR="00F06B75" w:rsidRPr="006D28FD" w:rsidRDefault="0037375C" w:rsidP="00DE3FAA">
      <w:bookmarkStart w:id="46" w:name="OLE_LINK46"/>
      <w:bookmarkStart w:id="47" w:name="OLE_LINK47"/>
      <w:r>
        <w:t>Switzerland</w:t>
      </w:r>
      <w:r w:rsidR="00392C7A">
        <w:t xml:space="preserve"> </w:t>
      </w:r>
      <w:bookmarkEnd w:id="46"/>
      <w:bookmarkEnd w:id="47"/>
      <w:r w:rsidR="00392C7A" w:rsidRPr="009F4C3E">
        <w:t xml:space="preserve">recorded </w:t>
      </w:r>
      <w:r w:rsidR="00392C7A">
        <w:t>the fifth largest amount of proposed investment in 200</w:t>
      </w:r>
      <w:r w:rsidR="009058F0">
        <w:t>7</w:t>
      </w:r>
      <w:r w:rsidR="007D00F8">
        <w:noBreakHyphen/>
      </w:r>
      <w:r w:rsidR="00392C7A">
        <w:t>0</w:t>
      </w:r>
      <w:r w:rsidR="009058F0">
        <w:t>8</w:t>
      </w:r>
      <w:r w:rsidR="00392C7A">
        <w:t>, with $1</w:t>
      </w:r>
      <w:r w:rsidR="009058F0">
        <w:t>0.6</w:t>
      </w:r>
      <w:r w:rsidR="00392C7A">
        <w:t> billion</w:t>
      </w:r>
      <w:r w:rsidR="009058F0">
        <w:t xml:space="preserve">, more than </w:t>
      </w:r>
      <w:r w:rsidR="00127E45">
        <w:t>two</w:t>
      </w:r>
      <w:r w:rsidR="009058F0">
        <w:t xml:space="preserve"> and a half times larger than </w:t>
      </w:r>
      <w:r w:rsidR="00B15C04">
        <w:t>the</w:t>
      </w:r>
      <w:r w:rsidR="00392C7A">
        <w:t xml:space="preserve"> $</w:t>
      </w:r>
      <w:r w:rsidR="009058F0">
        <w:t>4</w:t>
      </w:r>
      <w:r w:rsidR="00392C7A">
        <w:t>.</w:t>
      </w:r>
      <w:r w:rsidR="009058F0">
        <w:t>1</w:t>
      </w:r>
      <w:r w:rsidR="00392C7A">
        <w:t> billion in 200</w:t>
      </w:r>
      <w:r w:rsidR="009058F0">
        <w:t>6</w:t>
      </w:r>
      <w:r w:rsidR="007D00F8">
        <w:noBreakHyphen/>
      </w:r>
      <w:r w:rsidR="00392C7A">
        <w:t>0</w:t>
      </w:r>
      <w:r w:rsidR="009058F0">
        <w:t>7</w:t>
      </w:r>
      <w:r w:rsidR="00392C7A">
        <w:t>. Th</w:t>
      </w:r>
      <w:r w:rsidR="009058F0">
        <w:t>e</w:t>
      </w:r>
      <w:r w:rsidR="00392C7A">
        <w:t xml:space="preserve"> </w:t>
      </w:r>
      <w:r w:rsidR="009058F0">
        <w:t>majority of its investment was in the</w:t>
      </w:r>
      <w:r w:rsidR="00392C7A">
        <w:t xml:space="preserve"> mineral exploration and development </w:t>
      </w:r>
      <w:r w:rsidR="009058F0">
        <w:t>sector, accounting for 84 per cent of</w:t>
      </w:r>
      <w:r w:rsidR="00392C7A" w:rsidRPr="009F4C3E">
        <w:t xml:space="preserve"> total </w:t>
      </w:r>
      <w:r w:rsidR="00392C7A">
        <w:t xml:space="preserve">proposed investment from </w:t>
      </w:r>
      <w:r w:rsidR="009058F0">
        <w:t>Switzerland</w:t>
      </w:r>
      <w:r w:rsidR="003D5419">
        <w:t xml:space="preserve">. </w:t>
      </w:r>
      <w:r w:rsidR="00B15C04">
        <w:t>Two proposals accounted for 66 per cent of proposed investment in this sector.</w:t>
      </w:r>
    </w:p>
    <w:p w:rsidR="00F06B75" w:rsidRDefault="00F06B75">
      <w:pPr>
        <w:sectPr w:rsidR="00F06B75" w:rsidSect="00CF1959">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code="9"/>
          <w:pgMar w:top="2466" w:right="2098" w:bottom="2466" w:left="2098" w:header="1899" w:footer="1899" w:gutter="0"/>
          <w:paperSrc w:first="15" w:other="15"/>
          <w:cols w:space="720"/>
          <w:titlePg/>
          <w:docGrid w:linePitch="360"/>
        </w:sectPr>
      </w:pPr>
    </w:p>
    <w:p w:rsidR="00224577" w:rsidRDefault="00224577" w:rsidP="00CA3580">
      <w:pPr>
        <w:pStyle w:val="TableMainHeading"/>
        <w:spacing w:after="60"/>
      </w:pPr>
      <w:r w:rsidRPr="00C6620A">
        <w:lastRenderedPageBreak/>
        <w:t>Table 2.</w:t>
      </w:r>
      <w:r w:rsidR="00BF3B06" w:rsidRPr="00C6620A">
        <w:t>10</w:t>
      </w:r>
      <w:r w:rsidR="00C450A2" w:rsidRPr="00C6620A">
        <w:t xml:space="preserve">: </w:t>
      </w:r>
      <w:r w:rsidRPr="00C6620A">
        <w:t>Approv</w:t>
      </w:r>
      <w:r w:rsidR="00A91254">
        <w:t xml:space="preserve">als by </w:t>
      </w:r>
      <w:r w:rsidR="00A91254" w:rsidRPr="00C6620A">
        <w:t>country of investor</w:t>
      </w:r>
      <w:r w:rsidRPr="00C6620A">
        <w:t xml:space="preserve"> </w:t>
      </w:r>
      <w:r w:rsidR="00C9145B" w:rsidRPr="00C6620A">
        <w:t>in 200</w:t>
      </w:r>
      <w:r w:rsidR="009962EE">
        <w:t>7</w:t>
      </w:r>
      <w:r w:rsidR="007D00F8">
        <w:noBreakHyphen/>
      </w:r>
      <w:r w:rsidR="00C9145B" w:rsidRPr="00C6620A">
        <w:t>0</w:t>
      </w:r>
      <w:r w:rsidR="009962EE">
        <w:t>8</w:t>
      </w:r>
      <w:r w:rsidR="00C03285">
        <w:t xml:space="preserve"> — </w:t>
      </w:r>
      <w:r w:rsidR="00953CA0" w:rsidRPr="00C6620A">
        <w:t xml:space="preserve">location of investment </w:t>
      </w:r>
    </w:p>
    <w:p w:rsidR="00224577" w:rsidRPr="007C474C" w:rsidRDefault="00412C04" w:rsidP="00224577">
      <w:pPr>
        <w:pStyle w:val="TableGraphic"/>
      </w:pPr>
      <w:r>
        <w:object w:dxaOrig="11911" w:dyaOrig="6381">
          <v:shape id="_x0000_i1039" type="#_x0000_t75" style="width:595.5pt;height:318.75pt" o:ole="">
            <v:imagedata r:id="rId47" o:title=""/>
          </v:shape>
          <o:OLEObject Type="Link" ProgID="Excel.Sheet.8" ShapeID="_x0000_i1039" DrawAspect="Content" r:id="rId48" UpdateMode="OnCall">
            <o:LinkType>Picture</o:LinkType>
            <o:LockedField>false</o:LockedField>
          </o:OLEObject>
        </w:object>
      </w:r>
    </w:p>
    <w:p w:rsidR="00865787" w:rsidRDefault="00865787" w:rsidP="00865787">
      <w:pPr>
        <w:pStyle w:val="ChartorTableNote"/>
      </w:pPr>
      <w:bookmarkStart w:id="48" w:name="OLE_LINK22"/>
      <w:bookmarkStart w:id="49" w:name="OLE_LINK23"/>
      <w:r>
        <w:t>Note:</w:t>
      </w:r>
      <w:r>
        <w:tab/>
        <w:t xml:space="preserve">Totals may not add due to rounding. </w:t>
      </w:r>
    </w:p>
    <w:bookmarkEnd w:id="48"/>
    <w:bookmarkEnd w:id="49"/>
    <w:p w:rsidR="00865787" w:rsidRDefault="00865787" w:rsidP="00865787">
      <w:pPr>
        <w:pStyle w:val="ChartorTableNote"/>
      </w:pPr>
      <w:r>
        <w:tab/>
      </w:r>
      <w:r w:rsidR="007D00F8">
        <w:t>‘</w:t>
      </w:r>
      <w:r w:rsidR="007D00F8">
        <w:noBreakHyphen/>
        <w:t>‘</w:t>
      </w:r>
      <w:r>
        <w:t xml:space="preserve"> i</w:t>
      </w:r>
      <w:r w:rsidRPr="008A5FC8">
        <w:t>ndicates a figure of zero</w:t>
      </w:r>
      <w:r>
        <w:t xml:space="preserve"> and ‘0’ indicates a figure of less than $0.5 million.</w:t>
      </w:r>
    </w:p>
    <w:p w:rsidR="00B93E23" w:rsidRDefault="00983CEA" w:rsidP="00B93E23">
      <w:pPr>
        <w:pStyle w:val="ChartorTableNote"/>
      </w:pPr>
      <w:r>
        <w:t xml:space="preserve">See </w:t>
      </w:r>
      <w:r w:rsidR="00B93E23">
        <w:t>Note</w:t>
      </w:r>
      <w:r>
        <w:t xml:space="preserve">s </w:t>
      </w:r>
      <w:r w:rsidR="00865787">
        <w:t xml:space="preserve">on page </w:t>
      </w:r>
      <w:r w:rsidR="00865787" w:rsidRPr="005F58D8">
        <w:t>4</w:t>
      </w:r>
      <w:r w:rsidR="006F4E23">
        <w:t>1</w:t>
      </w:r>
      <w:r w:rsidR="00B93E23" w:rsidRPr="005F58D8">
        <w:t>.</w:t>
      </w:r>
    </w:p>
    <w:p w:rsidR="00F06B75" w:rsidRDefault="00B93E23" w:rsidP="00CA3580">
      <w:pPr>
        <w:pStyle w:val="TableMainHeading"/>
        <w:spacing w:after="60"/>
      </w:pPr>
      <w:r>
        <w:br w:type="page"/>
      </w:r>
      <w:r w:rsidR="00F06B75" w:rsidRPr="00C6620A">
        <w:lastRenderedPageBreak/>
        <w:t>Table 2.</w:t>
      </w:r>
      <w:r w:rsidR="00BF3B06" w:rsidRPr="00C6620A">
        <w:t>11</w:t>
      </w:r>
      <w:r w:rsidR="00C450A2" w:rsidRPr="00C6620A">
        <w:t xml:space="preserve">: </w:t>
      </w:r>
      <w:r w:rsidR="00A91254" w:rsidRPr="00C6620A">
        <w:t>Approv</w:t>
      </w:r>
      <w:r w:rsidR="00A91254">
        <w:t xml:space="preserve">als by </w:t>
      </w:r>
      <w:r w:rsidR="00A91254" w:rsidRPr="00C6620A">
        <w:t>country of investor in 200</w:t>
      </w:r>
      <w:r w:rsidR="009962EE">
        <w:t>7</w:t>
      </w:r>
      <w:r w:rsidR="007D00F8">
        <w:noBreakHyphen/>
      </w:r>
      <w:r w:rsidR="00A91254" w:rsidRPr="00C6620A">
        <w:t>0</w:t>
      </w:r>
      <w:r w:rsidR="009962EE">
        <w:t>8</w:t>
      </w:r>
      <w:r w:rsidR="00C03285">
        <w:t xml:space="preserve"> — </w:t>
      </w:r>
      <w:r w:rsidR="00F06B75" w:rsidRPr="00C6620A">
        <w:t xml:space="preserve">industry sector </w:t>
      </w:r>
    </w:p>
    <w:p w:rsidR="00865787" w:rsidRDefault="005E06D1" w:rsidP="002B2760">
      <w:pPr>
        <w:pStyle w:val="Source"/>
      </w:pPr>
      <w:r>
        <w:object w:dxaOrig="11903" w:dyaOrig="6728">
          <v:shape id="_x0000_i1040" type="#_x0000_t75" style="width:595.5pt;height:336.75pt" o:ole="">
            <v:imagedata r:id="rId49" o:title=""/>
          </v:shape>
          <o:OLEObject Type="Link" ProgID="Excel.Sheet.8" ShapeID="_x0000_i1040" DrawAspect="Content" r:id="rId50" UpdateMode="Always">
            <o:LinkType>Picture</o:LinkType>
            <o:LockedField>false</o:LockedField>
          </o:OLEObject>
        </w:object>
      </w:r>
      <w:r w:rsidR="00865787">
        <w:t>Note:</w:t>
      </w:r>
      <w:r w:rsidR="00865787">
        <w:tab/>
        <w:t xml:space="preserve">Totals may not add due to rounding. </w:t>
      </w:r>
    </w:p>
    <w:p w:rsidR="00865787" w:rsidRDefault="00865787" w:rsidP="00865787">
      <w:pPr>
        <w:pStyle w:val="ChartorTableNote"/>
      </w:pPr>
      <w:r>
        <w:tab/>
      </w:r>
      <w:r w:rsidR="007D00F8">
        <w:t>‘</w:t>
      </w:r>
      <w:r w:rsidR="007D00F8">
        <w:noBreakHyphen/>
        <w:t>‘</w:t>
      </w:r>
      <w:r>
        <w:t xml:space="preserve"> i</w:t>
      </w:r>
      <w:r w:rsidRPr="008A5FC8">
        <w:t>ndicates a figure of zero</w:t>
      </w:r>
      <w:r>
        <w:t>.</w:t>
      </w:r>
    </w:p>
    <w:p w:rsidR="00865787" w:rsidRDefault="00865787" w:rsidP="00C44C8D">
      <w:pPr>
        <w:pStyle w:val="ChartorTableNote"/>
      </w:pPr>
      <w:r>
        <w:t xml:space="preserve">See Notes on page </w:t>
      </w:r>
      <w:r w:rsidRPr="005F58D8">
        <w:t>4</w:t>
      </w:r>
      <w:r w:rsidR="00DF5A91">
        <w:t>1</w:t>
      </w:r>
      <w:r w:rsidRPr="005F58D8">
        <w:t>.</w:t>
      </w:r>
    </w:p>
    <w:p w:rsidR="002140E2" w:rsidRDefault="002140E2">
      <w:pPr>
        <w:sectPr w:rsidR="002140E2" w:rsidSect="009545F3">
          <w:headerReference w:type="even" r:id="rId51"/>
          <w:headerReference w:type="default" r:id="rId52"/>
          <w:footerReference w:type="even" r:id="rId53"/>
          <w:footerReference w:type="default" r:id="rId54"/>
          <w:headerReference w:type="first" r:id="rId55"/>
          <w:footerReference w:type="first" r:id="rId56"/>
          <w:footnotePr>
            <w:numStart w:val="3"/>
          </w:footnotePr>
          <w:pgSz w:w="16840" w:h="11907" w:orient="landscape" w:code="9"/>
          <w:pgMar w:top="2098" w:right="2466" w:bottom="2098" w:left="2466" w:header="1531" w:footer="1531" w:gutter="0"/>
          <w:paperSrc w:first="15" w:other="15"/>
          <w:cols w:space="720"/>
          <w:titlePg/>
          <w:docGrid w:linePitch="360"/>
        </w:sectPr>
      </w:pPr>
    </w:p>
    <w:p w:rsidR="00865787" w:rsidRDefault="00865787" w:rsidP="00362070">
      <w:pPr>
        <w:pStyle w:val="Heading3noTOC"/>
      </w:pPr>
      <w:r>
        <w:lastRenderedPageBreak/>
        <w:t>Notes applying to Table</w:t>
      </w:r>
      <w:r w:rsidR="00DF1F6D">
        <w:t>s</w:t>
      </w:r>
      <w:r>
        <w:t xml:space="preserve"> 2.10 and 2.11: </w:t>
      </w:r>
    </w:p>
    <w:p w:rsidR="00865787" w:rsidRPr="007B686B" w:rsidRDefault="00865787" w:rsidP="00865787">
      <w:pPr>
        <w:pStyle w:val="AlphaParagraph"/>
        <w:tabs>
          <w:tab w:val="clear" w:pos="1134"/>
        </w:tabs>
        <w:ind w:left="567"/>
      </w:pPr>
      <w:r w:rsidRPr="007B686B">
        <w:t xml:space="preserve">Includes overseas </w:t>
      </w:r>
      <w:r w:rsidR="000B3489">
        <w:t>T</w:t>
      </w:r>
      <w:r w:rsidRPr="007B686B">
        <w:t>erritories.</w:t>
      </w:r>
    </w:p>
    <w:p w:rsidR="00865787" w:rsidRDefault="00865787" w:rsidP="00865787">
      <w:pPr>
        <w:pStyle w:val="AlphaParagraph"/>
        <w:tabs>
          <w:tab w:val="clear" w:pos="1134"/>
        </w:tabs>
        <w:ind w:left="567"/>
      </w:pPr>
      <w:r w:rsidRPr="007B686B">
        <w:t>China excludes Special Administrative Regions and Taiwan.</w:t>
      </w:r>
    </w:p>
    <w:p w:rsidR="00865787" w:rsidRPr="007B686B" w:rsidRDefault="00865787" w:rsidP="00865787">
      <w:pPr>
        <w:pStyle w:val="AlphaParagraph"/>
        <w:tabs>
          <w:tab w:val="clear" w:pos="1134"/>
        </w:tabs>
        <w:ind w:left="567"/>
      </w:pPr>
      <w:r w:rsidRPr="007B686B">
        <w:t>Off</w:t>
      </w:r>
      <w:r w:rsidR="007D00F8">
        <w:noBreakHyphen/>
      </w:r>
      <w:r w:rsidRPr="007B686B">
        <w:t>the</w:t>
      </w:r>
      <w:r w:rsidR="007D00F8">
        <w:noBreakHyphen/>
      </w:r>
      <w:r w:rsidRPr="007B686B">
        <w:t xml:space="preserve">plan approvals to real estate developers have been recorded as not allocated to </w:t>
      </w:r>
      <w:r>
        <w:t xml:space="preserve">a </w:t>
      </w:r>
      <w:r w:rsidRPr="007B686B">
        <w:t xml:space="preserve">country because the country of </w:t>
      </w:r>
      <w:r w:rsidR="00DF1F6D">
        <w:t xml:space="preserve">buyers of the dwellings </w:t>
      </w:r>
      <w:r w:rsidRPr="007B686B">
        <w:t>is not known in advance.</w:t>
      </w:r>
    </w:p>
    <w:p w:rsidR="00865787" w:rsidRPr="007B686B" w:rsidRDefault="00865787" w:rsidP="00865787">
      <w:pPr>
        <w:pStyle w:val="AlphaParagraph"/>
        <w:tabs>
          <w:tab w:val="clear" w:pos="1134"/>
        </w:tabs>
        <w:ind w:left="567"/>
      </w:pPr>
      <w:r w:rsidRPr="007B686B">
        <w:t>Comprises all other countries excluding Australia.</w:t>
      </w:r>
    </w:p>
    <w:p w:rsidR="00865787" w:rsidRDefault="00865787" w:rsidP="00865787">
      <w:pPr>
        <w:pStyle w:val="AlphaParagraph"/>
        <w:tabs>
          <w:tab w:val="clear" w:pos="1134"/>
        </w:tabs>
        <w:ind w:left="567"/>
      </w:pPr>
      <w:r w:rsidRPr="007B686B">
        <w:t xml:space="preserve">The investment identified as originating from Australia </w:t>
      </w:r>
      <w:r w:rsidR="00DF1F6D">
        <w:t>is</w:t>
      </w:r>
      <w:r w:rsidRPr="007B686B">
        <w:t xml:space="preserve"> the contribution by Australian</w:t>
      </w:r>
      <w:r w:rsidR="007D00F8">
        <w:noBreakHyphen/>
      </w:r>
      <w:r w:rsidRPr="007B686B">
        <w:t xml:space="preserve">controlled companies and Australian residents to the total investment </w:t>
      </w:r>
      <w:r w:rsidR="00DF1F6D">
        <w:t>for</w:t>
      </w:r>
      <w:r w:rsidRPr="007B686B">
        <w:t xml:space="preserve"> investment proposals </w:t>
      </w:r>
      <w:r w:rsidR="00DF1F6D">
        <w:t xml:space="preserve">made </w:t>
      </w:r>
      <w:r w:rsidRPr="007B686B">
        <w:t>in partnership with foreign interests. It does not generally include the contribution</w:t>
      </w:r>
      <w:r>
        <w:t xml:space="preserve"> attributable to Australian shareholders in companies w</w:t>
      </w:r>
      <w:r w:rsidR="00DF1F6D">
        <w:t xml:space="preserve">here the </w:t>
      </w:r>
      <w:r>
        <w:t>majority or controlling shareholders</w:t>
      </w:r>
      <w:r w:rsidR="00DF1F6D">
        <w:t xml:space="preserve"> are foreign</w:t>
      </w:r>
      <w:r>
        <w:t>.</w:t>
      </w:r>
    </w:p>
    <w:p w:rsidR="00865787" w:rsidRDefault="00865787" w:rsidP="00865787">
      <w:pPr>
        <w:pStyle w:val="AlphaParagraph"/>
        <w:tabs>
          <w:tab w:val="clear" w:pos="1134"/>
        </w:tabs>
        <w:ind w:left="567"/>
      </w:pPr>
      <w:r w:rsidRPr="007B686B">
        <w:t xml:space="preserve">Comprises proposals where the investment is to be undertaken in more than one </w:t>
      </w:r>
      <w:r w:rsidR="00BF4B19">
        <w:t>s</w:t>
      </w:r>
      <w:r w:rsidRPr="007B686B">
        <w:t xml:space="preserve">tate or </w:t>
      </w:r>
      <w:r w:rsidR="00BF4B19">
        <w:t>t</w:t>
      </w:r>
      <w:r w:rsidRPr="007B686B">
        <w:t>erritory.</w:t>
      </w:r>
    </w:p>
    <w:p w:rsidR="00865787" w:rsidRPr="007B686B" w:rsidRDefault="00865787" w:rsidP="00865787">
      <w:pPr>
        <w:pStyle w:val="AlphaParagraph"/>
        <w:tabs>
          <w:tab w:val="clear" w:pos="1134"/>
        </w:tabs>
        <w:ind w:left="567"/>
      </w:pPr>
      <w:r w:rsidRPr="007B686B">
        <w:t xml:space="preserve">These figures indicate the total number of proposals in which investors from the particular country have an interest. </w:t>
      </w:r>
      <w:r w:rsidR="00DF1F6D">
        <w:t>Those</w:t>
      </w:r>
      <w:r w:rsidRPr="007B686B">
        <w:t xml:space="preserve"> involving investment originating from more than one country count as one proposal for each of the countries concerned. Therefore, the number reported is greater than the number reported in Table 2.1.</w:t>
      </w:r>
    </w:p>
    <w:p w:rsidR="00666D37" w:rsidRDefault="00666D37" w:rsidP="00DE3FAA"/>
    <w:p w:rsidR="00F06B75" w:rsidRDefault="00F06B75" w:rsidP="00DE3FAA"/>
    <w:sectPr w:rsidR="00F06B75">
      <w:headerReference w:type="first" r:id="rId57"/>
      <w:footerReference w:type="first" r:id="rId58"/>
      <w:footnotePr>
        <w:numStart w:val="3"/>
      </w:footnotePr>
      <w:pgSz w:w="11907" w:h="16840" w:code="9"/>
      <w:pgMar w:top="2466" w:right="2098" w:bottom="2466" w:left="2098" w:header="1899" w:footer="1899" w:gutter="0"/>
      <w:paperSrc w:first="30789" w:other="307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4A" w:rsidRDefault="004A3A4A">
      <w:r>
        <w:separator/>
      </w:r>
    </w:p>
  </w:endnote>
  <w:endnote w:type="continuationSeparator" w:id="0">
    <w:p w:rsidR="004A3A4A" w:rsidRDefault="004A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Pr="00EA56BF" w:rsidRDefault="004A3A4A">
    <w:pPr>
      <w:pStyle w:val="FooterEven"/>
    </w:pPr>
    <w:r w:rsidRPr="00EA56BF">
      <w:fldChar w:fldCharType="begin"/>
    </w:r>
    <w:r w:rsidRPr="00EA56BF">
      <w:instrText xml:space="preserve"> PAGE </w:instrText>
    </w:r>
    <w:r w:rsidRPr="00EA56BF">
      <w:fldChar w:fldCharType="separate"/>
    </w:r>
    <w:r w:rsidR="00D9184E">
      <w:rPr>
        <w:noProof/>
      </w:rPr>
      <w:t>38</w:t>
    </w:r>
    <w:r w:rsidRPr="00EA56B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Pr="00EA56BF" w:rsidRDefault="004A3A4A">
    <w:pPr>
      <w:pStyle w:val="FooterOdd"/>
    </w:pPr>
    <w:r w:rsidRPr="00EA56BF">
      <w:fldChar w:fldCharType="begin"/>
    </w:r>
    <w:r w:rsidRPr="00EA56BF">
      <w:instrText xml:space="preserve"> PAGE </w:instrText>
    </w:r>
    <w:r w:rsidRPr="00EA56BF">
      <w:fldChar w:fldCharType="separate"/>
    </w:r>
    <w:r w:rsidR="00D9184E">
      <w:rPr>
        <w:noProof/>
      </w:rPr>
      <w:t>39</w:t>
    </w:r>
    <w:r w:rsidRPr="00EA56B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Pr="00EA56BF" w:rsidRDefault="004A3A4A">
    <w:pPr>
      <w:pStyle w:val="FooterOdd"/>
    </w:pPr>
    <w:r w:rsidRPr="00EA56BF">
      <w:fldChar w:fldCharType="begin"/>
    </w:r>
    <w:r w:rsidRPr="00EA56BF">
      <w:instrText xml:space="preserve"> PAGE </w:instrText>
    </w:r>
    <w:r w:rsidRPr="00EA56BF">
      <w:fldChar w:fldCharType="separate"/>
    </w:r>
    <w:r w:rsidR="00D9184E">
      <w:rPr>
        <w:noProof/>
      </w:rPr>
      <w:t>15</w:t>
    </w:r>
    <w:r w:rsidRPr="00EA56B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Pr="00EA56BF" w:rsidRDefault="004A3A4A">
    <w:pPr>
      <w:pStyle w:val="FooterEve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Pr="00DE0C50" w:rsidRDefault="004A3A4A">
    <w:pPr>
      <w:pStyle w:val="Footer"/>
      <w:framePr w:wrap="around" w:hAnchor="page" w:x="1889" w:yAlign="bottom" w:anchorLock="1"/>
      <w:jc w:val="center"/>
      <w:textDirection w:val="tbRl"/>
      <w:rPr>
        <w:rStyle w:val="FramedFooter"/>
        <w:szCs w:val="18"/>
      </w:rPr>
    </w:pPr>
    <w:r w:rsidRPr="00DE0C50">
      <w:rPr>
        <w:rStyle w:val="FramedFooter"/>
        <w:szCs w:val="18"/>
      </w:rPr>
      <w:fldChar w:fldCharType="begin"/>
    </w:r>
    <w:r w:rsidRPr="00DE0C50">
      <w:rPr>
        <w:rStyle w:val="FramedFooter"/>
        <w:szCs w:val="18"/>
      </w:rPr>
      <w:instrText xml:space="preserve"> KEYWORDS  \* MERGEFORMAT </w:instrText>
    </w:r>
    <w:r w:rsidRPr="00DE0C50">
      <w:rPr>
        <w:rStyle w:val="FramedFooter"/>
        <w:szCs w:val="18"/>
      </w:rPr>
      <w:fldChar w:fldCharType="end"/>
    </w:r>
    <w:r w:rsidRPr="00DE0C50">
      <w:rPr>
        <w:rStyle w:val="FramedFooter"/>
        <w:szCs w:val="18"/>
      </w:rPr>
      <w:fldChar w:fldCharType="begin"/>
    </w:r>
    <w:r w:rsidRPr="00DE0C50">
      <w:rPr>
        <w:rStyle w:val="FramedFooter"/>
        <w:szCs w:val="18"/>
      </w:rPr>
      <w:instrText xml:space="preserve">PAGE  </w:instrText>
    </w:r>
    <w:r w:rsidRPr="00DE0C50">
      <w:rPr>
        <w:rStyle w:val="FramedFooter"/>
        <w:szCs w:val="18"/>
      </w:rPr>
      <w:fldChar w:fldCharType="separate"/>
    </w:r>
    <w:r w:rsidR="00D9184E">
      <w:rPr>
        <w:rStyle w:val="FramedFooter"/>
        <w:noProof/>
        <w:szCs w:val="18"/>
      </w:rPr>
      <w:t>41</w:t>
    </w:r>
    <w:r w:rsidRPr="00DE0C50">
      <w:rPr>
        <w:rStyle w:val="FramedFooter"/>
        <w:szCs w:val="18"/>
      </w:rPr>
      <w:fldChar w:fldCharType="end"/>
    </w:r>
  </w:p>
  <w:p w:rsidR="004A3A4A" w:rsidRPr="00EA56BF" w:rsidRDefault="004A3A4A">
    <w:pPr>
      <w:pStyle w:val="FooterOd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rsidP="00DD50B9">
    <w:pPr>
      <w:pStyle w:val="FooterEven"/>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9184E">
      <w:rPr>
        <w:rStyle w:val="PageNumber"/>
        <w:rFonts w:ascii="Arial" w:hAnsi="Arial"/>
        <w:noProof/>
      </w:rPr>
      <w:t>42</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4A" w:rsidRDefault="004A3A4A" w:rsidP="002E4860">
      <w:pPr>
        <w:spacing w:before="120" w:after="120" w:line="240" w:lineRule="auto"/>
      </w:pPr>
      <w:r>
        <w:separator/>
      </w:r>
    </w:p>
  </w:footnote>
  <w:footnote w:type="continuationSeparator" w:id="0">
    <w:p w:rsidR="004A3A4A" w:rsidRDefault="004A3A4A">
      <w:r>
        <w:continuationSeparator/>
      </w:r>
    </w:p>
  </w:footnote>
  <w:footnote w:type="continuationNotice" w:id="1">
    <w:p w:rsidR="004A3A4A" w:rsidRDefault="004A3A4A"/>
  </w:footnote>
  <w:footnote w:id="2">
    <w:p w:rsidR="00000000" w:rsidRDefault="004A3A4A">
      <w:pPr>
        <w:pStyle w:val="FootnoteText"/>
      </w:pPr>
      <w:r w:rsidRPr="00497EB1">
        <w:rPr>
          <w:rStyle w:val="FootnoteReference"/>
          <w:rFonts w:ascii="Palatino" w:hAnsi="Palatino"/>
          <w:vertAlign w:val="baseline"/>
        </w:rPr>
        <w:footnoteRef/>
      </w:r>
      <w:r w:rsidRPr="00497EB1">
        <w:rPr>
          <w:rFonts w:ascii="Palatino" w:hAnsi="Palatino"/>
        </w:rPr>
        <w:t xml:space="preserve"> </w:t>
      </w:r>
      <w:r w:rsidRPr="00497EB1">
        <w:rPr>
          <w:rFonts w:ascii="Palatino" w:hAnsi="Palatino"/>
        </w:rPr>
        <w:tab/>
      </w:r>
      <w:r w:rsidRPr="00CC4C49">
        <w:t xml:space="preserve">Data has been compiled by reference to the </w:t>
      </w:r>
      <w:r w:rsidRPr="0095299D">
        <w:rPr>
          <w:i/>
        </w:rPr>
        <w:t>Australian and New Zealand Standard Industrial Classification</w:t>
      </w:r>
      <w:r w:rsidRPr="00CC4C49">
        <w:t xml:space="preserve"> </w:t>
      </w:r>
      <w:r>
        <w:t>(ANZSIC 1993)</w:t>
      </w:r>
      <w:r w:rsidRPr="00CC4C49">
        <w:t>, except</w:t>
      </w:r>
      <w:r>
        <w:t>:</w:t>
      </w:r>
      <w:r w:rsidRPr="00CC4C49">
        <w:t xml:space="preserve"> newspaper printing and publishing </w:t>
      </w:r>
      <w:r>
        <w:t>are</w:t>
      </w:r>
      <w:r w:rsidRPr="00CC4C49">
        <w:t xml:space="preserve"> allocated to </w:t>
      </w:r>
      <w:r>
        <w:t xml:space="preserve">the </w:t>
      </w:r>
      <w:r w:rsidRPr="00CC4C49">
        <w:t>service</w:t>
      </w:r>
      <w:r>
        <w:t>s</w:t>
      </w:r>
      <w:r w:rsidRPr="00CC4C49">
        <w:t xml:space="preserve"> industr</w:t>
      </w:r>
      <w:r>
        <w:t>y sector</w:t>
      </w:r>
      <w:r w:rsidRPr="00CC4C49">
        <w:t xml:space="preserve"> (</w:t>
      </w:r>
      <w:r>
        <w:t>ANZSIC 1993</w:t>
      </w:r>
      <w:r w:rsidRPr="00CC4C49">
        <w:t xml:space="preserve"> classifies these under manufacturing)</w:t>
      </w:r>
      <w:r>
        <w:t>; and tourism is recorded as a separate industry sector rather than being included with the other service industries</w:t>
      </w:r>
      <w:r w:rsidRPr="00CC4C49">
        <w:t xml:space="preserve">. </w:t>
      </w:r>
    </w:p>
  </w:footnote>
  <w:footnote w:id="3">
    <w:p w:rsidR="00000000" w:rsidRDefault="004A3A4A" w:rsidP="00885FCE">
      <w:pPr>
        <w:pStyle w:val="FootnoteText"/>
        <w:spacing w:after="40"/>
      </w:pPr>
      <w:r w:rsidRPr="00E519B4">
        <w:rPr>
          <w:rStyle w:val="FootnoteReference"/>
          <w:rFonts w:ascii="Palatino" w:hAnsi="Palatino"/>
          <w:vertAlign w:val="baseline"/>
        </w:rPr>
        <w:footnoteRef/>
      </w:r>
      <w:r w:rsidRPr="00E519B4">
        <w:rPr>
          <w:rStyle w:val="FootnoteReference"/>
          <w:rFonts w:ascii="Palatino" w:hAnsi="Palatino"/>
          <w:vertAlign w:val="baseline"/>
        </w:rPr>
        <w:t xml:space="preserve"> </w:t>
      </w:r>
      <w:r>
        <w:tab/>
        <w:t>This is similar to the existing practice for corporate reorganisations.</w:t>
      </w:r>
    </w:p>
  </w:footnote>
  <w:footnote w:id="4">
    <w:p w:rsidR="00000000" w:rsidRDefault="004A3A4A">
      <w:pPr>
        <w:pStyle w:val="FootnoteText"/>
      </w:pPr>
      <w:r w:rsidRPr="00497EB1">
        <w:rPr>
          <w:rStyle w:val="FootnoteReference"/>
          <w:rFonts w:ascii="Palatino" w:hAnsi="Palatino"/>
          <w:vertAlign w:val="baseline"/>
        </w:rPr>
        <w:footnoteRef/>
      </w:r>
      <w:r w:rsidRPr="00497EB1">
        <w:rPr>
          <w:rFonts w:ascii="Palatino" w:hAnsi="Palatino"/>
        </w:rPr>
        <w:t xml:space="preserve"> </w:t>
      </w:r>
      <w:r w:rsidRPr="00497EB1">
        <w:rPr>
          <w:rFonts w:ascii="Palatino" w:hAnsi="Palatino"/>
        </w:rPr>
        <w:tab/>
      </w:r>
      <w:r w:rsidRPr="00D278BA">
        <w:t xml:space="preserve">Applicants are required to re-apply if </w:t>
      </w:r>
      <w:r>
        <w:t xml:space="preserve">the transaction has not taken place and </w:t>
      </w:r>
      <w:r w:rsidRPr="00D278BA">
        <w:t xml:space="preserve">they wish to </w:t>
      </w:r>
      <w:r>
        <w:t xml:space="preserve">proceed after </w:t>
      </w:r>
      <w:r w:rsidRPr="00D278BA">
        <w:t>12 months</w:t>
      </w:r>
      <w:r>
        <w:t xml:space="preserve"> has passed</w:t>
      </w:r>
      <w:r w:rsidRPr="00D278BA">
        <w:t>.</w:t>
      </w:r>
    </w:p>
  </w:footnote>
  <w:footnote w:id="5">
    <w:p w:rsidR="00000000" w:rsidRDefault="004A3A4A">
      <w:pPr>
        <w:pStyle w:val="FootnoteText"/>
      </w:pPr>
      <w:r w:rsidRPr="004B187B">
        <w:rPr>
          <w:rStyle w:val="FootnoteReference"/>
          <w:rFonts w:ascii="Palatino" w:hAnsi="Palatino"/>
          <w:vertAlign w:val="baseline"/>
        </w:rPr>
        <w:footnoteRef/>
      </w:r>
      <w:r>
        <w:t xml:space="preserve"> </w:t>
      </w:r>
      <w:r>
        <w:tab/>
        <w:t>Since proposals determined exempt were not included prior to 2005</w:t>
      </w:r>
      <w:r>
        <w:noBreakHyphen/>
        <w:t>06, the f</w:t>
      </w:r>
      <w:r w:rsidRPr="00475926">
        <w:t>igures</w:t>
      </w:r>
      <w:r>
        <w:t xml:space="preserve"> shown for prior years</w:t>
      </w:r>
      <w:r w:rsidRPr="00475926">
        <w:t xml:space="preserve"> have been amended from those </w:t>
      </w:r>
      <w:r>
        <w:t>previously published to include these proposals.</w:t>
      </w:r>
    </w:p>
  </w:footnote>
  <w:footnote w:id="6">
    <w:p w:rsidR="00000000" w:rsidRDefault="004A3A4A" w:rsidP="00885FCE">
      <w:pPr>
        <w:pStyle w:val="FootnoteText"/>
        <w:spacing w:before="40"/>
      </w:pPr>
      <w:r w:rsidRPr="002A73A8">
        <w:rPr>
          <w:rStyle w:val="FootnoteReference"/>
          <w:rFonts w:ascii="Palatino" w:hAnsi="Palatino"/>
          <w:vertAlign w:val="baseline"/>
        </w:rPr>
        <w:footnoteRef/>
      </w:r>
      <w:r>
        <w:t xml:space="preserve"> </w:t>
      </w:r>
      <w:r>
        <w:tab/>
        <w:t xml:space="preserve">The proposed acquisition costs and development expenditure are not recorded for corporate reorganisations. </w:t>
      </w:r>
    </w:p>
  </w:footnote>
  <w:footnote w:id="7">
    <w:p w:rsidR="00000000" w:rsidRDefault="004A3A4A">
      <w:pPr>
        <w:pStyle w:val="FootnoteText"/>
      </w:pPr>
      <w:r w:rsidRPr="007D76F1">
        <w:rPr>
          <w:rStyle w:val="FootnoteReference"/>
          <w:rFonts w:ascii="Palatino" w:hAnsi="Palatino"/>
          <w:vertAlign w:val="baseline"/>
        </w:rPr>
        <w:footnoteRef/>
      </w:r>
      <w:r w:rsidRPr="007D76F1">
        <w:rPr>
          <w:rStyle w:val="FootnoteReference"/>
          <w:rFonts w:ascii="Palatino" w:hAnsi="Palatino"/>
          <w:vertAlign w:val="baseline"/>
        </w:rPr>
        <w:t xml:space="preserve"> </w:t>
      </w:r>
      <w:r>
        <w:tab/>
        <w:t xml:space="preserve">Analysis of approvals by industry sector is provided </w:t>
      </w:r>
      <w:r w:rsidRPr="00A90050">
        <w:t xml:space="preserve">from page </w:t>
      </w:r>
      <w:r w:rsidRPr="006F233F">
        <w:rPr>
          <w:color w:val="auto"/>
        </w:rPr>
        <w:t>2</w:t>
      </w:r>
      <w:r>
        <w:rPr>
          <w:color w:val="auto"/>
        </w:rPr>
        <w:t>6</w:t>
      </w:r>
      <w:r w:rsidRPr="00A90050">
        <w:t>.</w:t>
      </w:r>
    </w:p>
  </w:footnote>
  <w:footnote w:id="8">
    <w:p w:rsidR="00000000" w:rsidRDefault="004A3A4A">
      <w:pPr>
        <w:pStyle w:val="FootnoteText"/>
      </w:pPr>
      <w:r w:rsidRPr="00631F54">
        <w:rPr>
          <w:rStyle w:val="FootnoteReference"/>
          <w:rFonts w:ascii="Palatino" w:hAnsi="Palatino"/>
          <w:vertAlign w:val="baseline"/>
        </w:rPr>
        <w:footnoteRef/>
      </w:r>
      <w:r>
        <w:t xml:space="preserve"> </w:t>
      </w:r>
      <w:r>
        <w:tab/>
        <w:t>Australian urban land is defined under the FATA to be all Australian land that is not used wholly and exclusively for carrying on a substantial business of primary production.</w:t>
      </w:r>
    </w:p>
  </w:footnote>
  <w:footnote w:id="9">
    <w:p w:rsidR="00000000" w:rsidRDefault="004A3A4A" w:rsidP="00AB3269">
      <w:pPr>
        <w:pStyle w:val="FootnoteText"/>
        <w:spacing w:before="60"/>
      </w:pPr>
      <w:r w:rsidRPr="00497EB1">
        <w:rPr>
          <w:rStyle w:val="FootnoteReference"/>
          <w:rFonts w:ascii="Palatino" w:hAnsi="Palatino"/>
          <w:vertAlign w:val="baseline"/>
        </w:rPr>
        <w:footnoteRef/>
      </w:r>
      <w:r w:rsidRPr="00497EB1">
        <w:rPr>
          <w:rFonts w:ascii="Palatino" w:hAnsi="Palatino"/>
        </w:rPr>
        <w:t xml:space="preserve"> </w:t>
      </w:r>
      <w:r w:rsidRPr="00497EB1">
        <w:rPr>
          <w:rFonts w:ascii="Palatino" w:hAnsi="Palatino"/>
        </w:rPr>
        <w:tab/>
      </w:r>
      <w:r w:rsidRPr="003D33F1">
        <w:t>Includes a</w:t>
      </w:r>
      <w:r w:rsidRPr="003D33F1">
        <w:rPr>
          <w:color w:val="auto"/>
        </w:rPr>
        <w:t xml:space="preserve"> small number of approvals relating to foreign companies acquiring </w:t>
      </w:r>
      <w:r>
        <w:rPr>
          <w:color w:val="auto"/>
        </w:rPr>
        <w:t xml:space="preserve">existing residential </w:t>
      </w:r>
      <w:r w:rsidRPr="003D33F1">
        <w:rPr>
          <w:color w:val="auto"/>
        </w:rPr>
        <w:t>property for company employees to reside in.</w:t>
      </w:r>
    </w:p>
  </w:footnote>
  <w:footnote w:id="10">
    <w:p w:rsidR="00000000" w:rsidRDefault="004A3A4A" w:rsidP="005F7CA9">
      <w:pPr>
        <w:pStyle w:val="FootnoteText"/>
        <w:spacing w:after="40"/>
      </w:pPr>
      <w:r w:rsidRPr="00BE1E59">
        <w:rPr>
          <w:rStyle w:val="FootnoteReference"/>
          <w:rFonts w:ascii="Palatino" w:hAnsi="Palatino"/>
          <w:vertAlign w:val="baseline"/>
        </w:rPr>
        <w:footnoteRef/>
      </w:r>
      <w:r w:rsidRPr="00497EB1">
        <w:rPr>
          <w:rFonts w:ascii="Palatino" w:hAnsi="Palatino"/>
        </w:rPr>
        <w:tab/>
      </w:r>
      <w:r w:rsidRPr="00EC24C8">
        <w:t xml:space="preserve">The acquisition of house and land packages, where construction has not commenced, are treated as vacant land for development rather than falling </w:t>
      </w:r>
      <w:r>
        <w:t>within</w:t>
      </w:r>
      <w:r w:rsidRPr="00EC24C8">
        <w:t xml:space="preserve"> the off</w:t>
      </w:r>
      <w:r>
        <w:noBreakHyphen/>
      </w:r>
      <w:r w:rsidRPr="00EC24C8">
        <w:t>the</w:t>
      </w:r>
      <w:r>
        <w:noBreakHyphen/>
      </w:r>
      <w:r w:rsidRPr="00EC24C8">
        <w:t xml:space="preserve">plan category. </w:t>
      </w:r>
    </w:p>
  </w:footnote>
  <w:footnote w:id="11">
    <w:p w:rsidR="00000000" w:rsidRDefault="004A3A4A">
      <w:pPr>
        <w:pStyle w:val="FootnoteText"/>
      </w:pPr>
      <w:r w:rsidRPr="00153033">
        <w:rPr>
          <w:rStyle w:val="FootnoteReference"/>
          <w:rFonts w:ascii="Palatino" w:hAnsi="Palatino"/>
          <w:vertAlign w:val="baseline"/>
        </w:rPr>
        <w:footnoteRef/>
      </w:r>
      <w:r w:rsidRPr="00153033">
        <w:rPr>
          <w:rStyle w:val="FootnoteReference"/>
          <w:rFonts w:ascii="Palatino" w:hAnsi="Palatino"/>
          <w:vertAlign w:val="baseline"/>
        </w:rPr>
        <w:t xml:space="preserve"> </w:t>
      </w:r>
      <w:r w:rsidRPr="00153033">
        <w:rPr>
          <w:rStyle w:val="FootnoteReference"/>
          <w:rFonts w:ascii="Palatino" w:hAnsi="Palatino"/>
          <w:vertAlign w:val="baseline"/>
        </w:rPr>
        <w:tab/>
      </w:r>
      <w:bookmarkStart w:id="36" w:name="OLE_LINK9"/>
      <w:bookmarkStart w:id="37" w:name="OLE_LINK14"/>
      <w:r>
        <w:rPr>
          <w:rStyle w:val="FootnoteReference"/>
          <w:rFonts w:ascii="Palatino" w:hAnsi="Palatino"/>
          <w:vertAlign w:val="baseline"/>
        </w:rPr>
        <w:t>The new dwelling</w:t>
      </w:r>
      <w:r w:rsidRPr="00153033">
        <w:rPr>
          <w:rStyle w:val="FootnoteReference"/>
          <w:rFonts w:ascii="Palatino" w:hAnsi="Palatino"/>
          <w:vertAlign w:val="baseline"/>
        </w:rPr>
        <w:t xml:space="preserve"> category was previously referred to as ‘off-the-plan’.</w:t>
      </w:r>
      <w:bookmarkEnd w:id="36"/>
      <w:bookmarkEnd w:id="37"/>
    </w:p>
  </w:footnote>
  <w:footnote w:id="12">
    <w:p w:rsidR="00000000" w:rsidRDefault="004A3A4A">
      <w:pPr>
        <w:pStyle w:val="FootnoteText"/>
      </w:pPr>
      <w:r w:rsidRPr="00497EB1">
        <w:rPr>
          <w:rStyle w:val="FootnoteReference"/>
          <w:rFonts w:ascii="Palatino" w:hAnsi="Palatino"/>
          <w:vertAlign w:val="baseline"/>
        </w:rPr>
        <w:footnoteRef/>
      </w:r>
      <w:r w:rsidRPr="00497EB1">
        <w:rPr>
          <w:rFonts w:ascii="Palatino" w:hAnsi="Palatino"/>
        </w:rPr>
        <w:t xml:space="preserve"> </w:t>
      </w:r>
      <w:r w:rsidRPr="00497EB1">
        <w:rPr>
          <w:rFonts w:ascii="Palatino" w:hAnsi="Palatino"/>
        </w:rPr>
        <w:tab/>
      </w:r>
      <w:r>
        <w:t>Not to be confused with offshore takeover (see section on foreign</w:t>
      </w:r>
      <w:r>
        <w:noBreakHyphen/>
        <w:t>to</w:t>
      </w:r>
      <w:r>
        <w:noBreakHyphen/>
        <w:t>foreign transactions in Chapter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HeaderEven"/>
    </w:pPr>
    <w:r>
      <w:fldChar w:fldCharType="begin"/>
    </w:r>
    <w:r>
      <w:instrText xml:space="preserve"> PAGE  \* MERGEFORMAT </w:instrText>
    </w:r>
    <w:r>
      <w:fldChar w:fldCharType="separate"/>
    </w:r>
    <w:r>
      <w:rPr>
        <w:noProof/>
      </w:rPr>
      <w:t>16</w:t>
    </w:r>
    <w:r>
      <w:fldChar w:fldCharType="end"/>
    </w:r>
    <w:r>
      <w:t xml:space="preserve">  Foreign Investment Review Board Report 2002</w:t>
    </w:r>
    <w:r>
      <w:noBreakHyphen/>
      <w:t>03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framePr w:wrap="auto" w:hAnchor="page" w:x="14460" w:yAlign="bottom" w:anchorLock="1"/>
      <w:textDirection w:val="tbRl"/>
      <w:rPr>
        <w:rStyle w:val="FramedHeader"/>
        <w:color w:val="000080"/>
      </w:rPr>
    </w:pPr>
    <w:r>
      <w:rPr>
        <w:color w:val="000080"/>
      </w:rPr>
      <w:t>Chapter 2:  Foreign Investment Proposals   15</w:t>
    </w:r>
    <w:r>
      <w:rPr>
        <w:rStyle w:val="FramedHeader"/>
        <w:color w:val="000080"/>
      </w:rPr>
      <w:fldChar w:fldCharType="begin"/>
    </w:r>
    <w:r>
      <w:rPr>
        <w:rStyle w:val="FramedHeader"/>
        <w:color w:val="000080"/>
      </w:rPr>
      <w:instrText xml:space="preserve"> SUBJECT  \* MERGEFORMAT </w:instrText>
    </w:r>
    <w:r>
      <w:rPr>
        <w:rStyle w:val="FramedHeader"/>
        <w:color w:val="000080"/>
      </w:rPr>
      <w:fldChar w:fldCharType="end"/>
    </w:r>
  </w:p>
  <w:p w:rsidR="004A3A4A" w:rsidRPr="001E6755" w:rsidRDefault="004A3A4A" w:rsidP="00DD50B9">
    <w:pPr>
      <w:pStyle w:val="HeaderEven"/>
    </w:pPr>
    <w:r>
      <w:rPr>
        <w:rStyle w:val="PageNumber"/>
        <w:rFonts w:ascii="Arial" w:hAnsi="Arial"/>
      </w:rPr>
      <w:t>Foreign Investment Review Board Annual Report 2007-08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HeaderOdd"/>
    </w:pPr>
    <w:r>
      <w:t xml:space="preserve">Chapter 2: Foreign Investment Proposals  </w:t>
    </w:r>
    <w:r>
      <w:fldChar w:fldCharType="begin"/>
    </w:r>
    <w:r>
      <w:instrText xml:space="preserve"> PAGE  \* MERGEFORMAT </w:instrText>
    </w:r>
    <w:r>
      <w:fldChar w:fldCharType="separate"/>
    </w:r>
    <w:r>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HeaderEven"/>
    </w:pPr>
    <w:r>
      <w:t xml:space="preserve">Foreign Investment Review Board Annual Report </w:t>
    </w:r>
    <w:r w:rsidRPr="00FB5E35">
      <w:t>200</w:t>
    </w:r>
    <w:r>
      <w:t>7</w:t>
    </w:r>
    <w:r w:rsidRPr="00FB5E35">
      <w:noBreakHyphen/>
      <w:t>0</w:t>
    </w:r>
    <w: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HeaderOdd"/>
    </w:pPr>
    <w:r>
      <w:t>Chapter 2: Foreign investment proposals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framePr w:wrap="auto" w:hAnchor="page" w:x="14460" w:yAlign="bottom" w:anchorLock="1"/>
      <w:textDirection w:val="tbRl"/>
      <w:rPr>
        <w:rStyle w:val="FramedHeader"/>
        <w:color w:val="000080"/>
      </w:rPr>
    </w:pPr>
    <w:r>
      <w:rPr>
        <w:color w:val="000080"/>
      </w:rPr>
      <w:t>Chapter 2: Foreign Investment Proposals   15</w:t>
    </w:r>
    <w:r>
      <w:rPr>
        <w:rStyle w:val="FramedHeader"/>
        <w:color w:val="000080"/>
      </w:rPr>
      <w:fldChar w:fldCharType="begin"/>
    </w:r>
    <w:r>
      <w:rPr>
        <w:rStyle w:val="FramedHeader"/>
        <w:color w:val="000080"/>
      </w:rPr>
      <w:instrText xml:space="preserve"> SUBJECT  \* MERGEFORMAT </w:instrText>
    </w:r>
    <w:r>
      <w:rPr>
        <w:rStyle w:val="FramedHeader"/>
        <w:color w:val="000080"/>
      </w:rPr>
      <w:fldChar w:fldCharType="end"/>
    </w:r>
  </w:p>
  <w:p w:rsidR="004A3A4A" w:rsidRDefault="004A3A4A">
    <w:pPr>
      <w:pStyle w:val="HeaderEven"/>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Footer"/>
      <w:framePr w:h="241" w:hRule="exact" w:wrap="around" w:hAnchor="page" w:x="1889" w:yAlign="top" w:anchorLock="1"/>
      <w:textDirection w:val="tbRl"/>
      <w:rPr>
        <w:rStyle w:val="FramedFooter"/>
        <w:szCs w:val="18"/>
      </w:rPr>
    </w:pPr>
    <w:r>
      <w:rPr>
        <w:rStyle w:val="FramedFooter"/>
        <w:szCs w:val="18"/>
      </w:rPr>
      <w:fldChar w:fldCharType="begin"/>
    </w:r>
    <w:r>
      <w:rPr>
        <w:rStyle w:val="FramedFooter"/>
        <w:szCs w:val="18"/>
      </w:rPr>
      <w:instrText xml:space="preserve"> PAGE  \* MERGEFORMAT </w:instrText>
    </w:r>
    <w:r>
      <w:rPr>
        <w:rStyle w:val="FramedFooter"/>
        <w:szCs w:val="18"/>
      </w:rPr>
      <w:fldChar w:fldCharType="separate"/>
    </w:r>
    <w:r>
      <w:rPr>
        <w:rStyle w:val="FramedFooter"/>
        <w:noProof/>
        <w:szCs w:val="18"/>
      </w:rPr>
      <w:t>40</w:t>
    </w:r>
    <w:r>
      <w:rPr>
        <w:rStyle w:val="FramedFooter"/>
        <w:szCs w:val="18"/>
      </w:rPr>
      <w:fldChar w:fldCharType="end"/>
    </w:r>
  </w:p>
  <w:p w:rsidR="004A3A4A" w:rsidRDefault="004A3A4A">
    <w:pPr>
      <w:framePr w:wrap="around" w:hAnchor="page" w:x="14460" w:yAlign="top" w:anchorLock="1"/>
      <w:textDirection w:val="tbRl"/>
      <w:rPr>
        <w:rStyle w:val="FramedHeader"/>
      </w:rPr>
    </w:pPr>
    <w:r>
      <w:rPr>
        <w:rStyle w:val="FramedHeader"/>
      </w:rPr>
      <w:t>Foreign Investment Review Board Annual Report 2007-08</w:t>
    </w:r>
  </w:p>
  <w:p w:rsidR="004A3A4A" w:rsidRDefault="004A3A4A">
    <w:pPr>
      <w:pStyle w:val="HeaderEven"/>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Pr="00DD0AC2" w:rsidRDefault="004A3A4A">
    <w:pPr>
      <w:framePr w:wrap="around" w:hAnchor="page" w:x="14460" w:yAlign="bottom" w:anchorLock="1"/>
      <w:textDirection w:val="tbRl"/>
      <w:rPr>
        <w:rStyle w:val="FramedHeader"/>
      </w:rPr>
    </w:pPr>
    <w:r w:rsidRPr="00DD0AC2">
      <w:rPr>
        <w:rStyle w:val="FramedHeader"/>
      </w:rPr>
      <w:t>Chapter 2: Foreign investment proposals</w:t>
    </w:r>
  </w:p>
  <w:p w:rsidR="004A3A4A" w:rsidRDefault="004A3A4A">
    <w:pPr>
      <w:pStyle w:val="HeaderOd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4A" w:rsidRDefault="004A3A4A">
    <w:pPr>
      <w:pStyle w:val="Footer"/>
      <w:framePr w:h="241" w:hRule="exact" w:wrap="around" w:hAnchor="page" w:x="1889" w:yAlign="top" w:anchorLock="1"/>
      <w:textDirection w:val="tbRl"/>
      <w:rPr>
        <w:rStyle w:val="FramedFooter"/>
        <w:szCs w:val="18"/>
      </w:rPr>
    </w:pPr>
    <w:r>
      <w:rPr>
        <w:rStyle w:val="FramedFooter"/>
        <w:szCs w:val="18"/>
      </w:rPr>
      <w:t xml:space="preserve"> </w:t>
    </w:r>
    <w:r>
      <w:rPr>
        <w:rStyle w:val="FramedFooter"/>
        <w:szCs w:val="18"/>
      </w:rPr>
      <w:fldChar w:fldCharType="begin"/>
    </w:r>
    <w:r>
      <w:rPr>
        <w:rStyle w:val="FramedFooter"/>
        <w:szCs w:val="18"/>
      </w:rPr>
      <w:instrText xml:space="preserve"> PAGE  \* MERGEFORMAT </w:instrText>
    </w:r>
    <w:r>
      <w:rPr>
        <w:rStyle w:val="FramedFooter"/>
        <w:szCs w:val="18"/>
      </w:rPr>
      <w:fldChar w:fldCharType="separate"/>
    </w:r>
    <w:r w:rsidR="00D9184E">
      <w:rPr>
        <w:rStyle w:val="FramedFooter"/>
        <w:noProof/>
        <w:szCs w:val="18"/>
      </w:rPr>
      <w:t>40</w:t>
    </w:r>
    <w:r>
      <w:rPr>
        <w:rStyle w:val="FramedFooter"/>
        <w:szCs w:val="18"/>
      </w:rPr>
      <w:fldChar w:fldCharType="end"/>
    </w:r>
  </w:p>
  <w:p w:rsidR="004A3A4A" w:rsidRDefault="004A3A4A">
    <w:pPr>
      <w:framePr w:wrap="around" w:hAnchor="page" w:x="14460" w:yAlign="top" w:anchorLock="1"/>
      <w:textDirection w:val="tbRl"/>
      <w:rPr>
        <w:rStyle w:val="FramedHeader"/>
      </w:rPr>
    </w:pPr>
    <w:r>
      <w:rPr>
        <w:rStyle w:val="FramedHeader"/>
      </w:rPr>
      <w:t>Foreign Investment Review Board Annual Report 2007-08</w:t>
    </w:r>
  </w:p>
  <w:p w:rsidR="004A3A4A" w:rsidRDefault="004A3A4A">
    <w:pPr>
      <w:pStyle w:val="HeaderEv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4CD6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C483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CA0F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58CF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846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EB8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F8A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06D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AD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B6F6E0"/>
    <w:lvl w:ilvl="0">
      <w:start w:val="1"/>
      <w:numFmt w:val="bullet"/>
      <w:lvlText w:val=""/>
      <w:lvlJc w:val="left"/>
      <w:pPr>
        <w:tabs>
          <w:tab w:val="num" w:pos="360"/>
        </w:tabs>
        <w:ind w:left="360" w:hanging="360"/>
      </w:pPr>
      <w:rPr>
        <w:rFonts w:ascii="Symbol" w:hAnsi="Symbol" w:hint="default"/>
      </w:rPr>
    </w:lvl>
  </w:abstractNum>
  <w:abstractNum w:abstractNumId="10">
    <w:nsid w:val="01775260"/>
    <w:multiLevelType w:val="multilevel"/>
    <w:tmpl w:val="4BB0EFCC"/>
    <w:name w:val="BulletedList"/>
    <w:lvl w:ilvl="0">
      <w:start w:val="1"/>
      <w:numFmt w:val="bullet"/>
      <w:lvlRestart w:val="0"/>
      <w:lvlText w:val=""/>
      <w:lvlJc w:val="left"/>
      <w:pPr>
        <w:tabs>
          <w:tab w:val="num" w:pos="283"/>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B514344"/>
    <w:multiLevelType w:val="multilevel"/>
    <w:tmpl w:val="9560F99E"/>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nsid w:val="1A394106"/>
    <w:multiLevelType w:val="multilevel"/>
    <w:tmpl w:val="9560F99E"/>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1A7F290C"/>
    <w:multiLevelType w:val="singleLevel"/>
    <w:tmpl w:val="F39ADA40"/>
    <w:name w:val="ParagraphNumbered"/>
    <w:lvl w:ilvl="0">
      <w:start w:val="1"/>
      <w:numFmt w:val="decimal"/>
      <w:lvlRestart w:val="0"/>
      <w:lvlText w:val="%1."/>
      <w:lvlJc w:val="left"/>
      <w:pPr>
        <w:tabs>
          <w:tab w:val="num" w:pos="567"/>
        </w:tabs>
      </w:pPr>
      <w:rPr>
        <w:rFonts w:cs="Times New Roman"/>
      </w:rPr>
    </w:lvl>
  </w:abstractNum>
  <w:abstractNum w:abstractNumId="15">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22">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23">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5">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6">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7">
    <w:nsid w:val="4CE06931"/>
    <w:multiLevelType w:val="singleLevel"/>
    <w:tmpl w:val="4366EF18"/>
    <w:name w:val="ChartTableFootnoteAlpha"/>
    <w:lvl w:ilvl="0">
      <w:start w:val="1"/>
      <w:numFmt w:val="lowerLetter"/>
      <w:lvlRestart w:val="0"/>
      <w:lvlText w:val="(%1)"/>
      <w:lvlJc w:val="left"/>
      <w:pPr>
        <w:tabs>
          <w:tab w:val="num" w:pos="283"/>
        </w:tabs>
        <w:ind w:left="283" w:hanging="283"/>
      </w:pPr>
      <w:rPr>
        <w:rFonts w:ascii="Arial" w:hAnsi="Arial" w:cs="Arial" w:hint="default"/>
        <w:b w:val="0"/>
        <w:i w:val="0"/>
        <w:sz w:val="16"/>
      </w:rPr>
    </w:lvl>
  </w:abstractNum>
  <w:abstractNum w:abstractNumId="28">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9">
    <w:nsid w:val="52BA7462"/>
    <w:multiLevelType w:val="multilevel"/>
    <w:tmpl w:val="5A7A97A2"/>
    <w:name w:val="BulletedList1"/>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1">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3">
    <w:nsid w:val="66022277"/>
    <w:multiLevelType w:val="singleLevel"/>
    <w:tmpl w:val="E0EA1E8E"/>
    <w:name w:val="AlphaChartTableFootnoteList"/>
    <w:lvl w:ilvl="0">
      <w:start w:val="1"/>
      <w:numFmt w:val="lowerLetter"/>
      <w:lvlRestart w:val="0"/>
      <w:lvlText w:val="(%1)"/>
      <w:lvlJc w:val="left"/>
      <w:pPr>
        <w:tabs>
          <w:tab w:val="num" w:pos="283"/>
        </w:tabs>
        <w:ind w:left="283" w:hanging="283"/>
      </w:pPr>
      <w:rPr>
        <w:rFonts w:ascii="Arial" w:hAnsi="Arial" w:cs="Arial" w:hint="default"/>
        <w:b w:val="0"/>
        <w:bCs w:val="0"/>
        <w:i w:val="0"/>
        <w:iCs w:val="0"/>
        <w:sz w:val="16"/>
        <w:szCs w:val="16"/>
      </w:rPr>
    </w:lvl>
  </w:abstractNum>
  <w:abstractNum w:abstractNumId="34">
    <w:nsid w:val="6BDD5A97"/>
    <w:multiLevelType w:val="hybridMultilevel"/>
    <w:tmpl w:val="3F528110"/>
    <w:lvl w:ilvl="0" w:tplc="74DA5E74">
      <w:start w:val="1"/>
      <w:numFmt w:val="lowerLetter"/>
      <w:lvlRestart w:val="0"/>
      <w:lvlText w:val="(%1)"/>
      <w:lvlJc w:val="left"/>
      <w:pPr>
        <w:tabs>
          <w:tab w:val="num" w:pos="284"/>
        </w:tabs>
        <w:ind w:left="284" w:hanging="284"/>
      </w:pPr>
      <w:rPr>
        <w:rFonts w:ascii="Arial" w:hAnsi="Arial" w:cs="Times New Roman" w:hint="default"/>
        <w:b w:val="0"/>
        <w:i w:val="0"/>
        <w:sz w:val="1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FD20A93"/>
    <w:multiLevelType w:val="singleLevel"/>
    <w:tmpl w:val="14902BB6"/>
    <w:name w:val="AlphaChartTableFootnoteSmallList"/>
    <w:lvl w:ilvl="0">
      <w:start w:val="1"/>
      <w:numFmt w:val="lowerLetter"/>
      <w:lvlRestart w:val="0"/>
      <w:lvlText w:val="(%1)"/>
      <w:lvlJc w:val="left"/>
      <w:pPr>
        <w:tabs>
          <w:tab w:val="num" w:pos="283"/>
        </w:tabs>
        <w:ind w:left="283" w:hanging="283"/>
      </w:pPr>
      <w:rPr>
        <w:rFonts w:ascii="Tahoma" w:hAnsi="Tahoma" w:cs="Tahoma"/>
        <w:sz w:val="15"/>
        <w:szCs w:val="15"/>
      </w:rPr>
    </w:lvl>
  </w:abstractNum>
  <w:abstractNum w:abstractNumId="37">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33"/>
    <w:lvlOverride w:ilvl="0">
      <w:startOverride w:val="1"/>
    </w:lvlOverride>
  </w:num>
  <w:num w:numId="4">
    <w:abstractNumId w:val="33"/>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33"/>
    <w:lvlOverride w:ilvl="0">
      <w:startOverride w:val="1"/>
    </w:lvlOverride>
  </w:num>
  <w:num w:numId="8">
    <w:abstractNumId w:val="19"/>
  </w:num>
  <w:num w:numId="9">
    <w:abstractNumId w:val="18"/>
  </w:num>
  <w:num w:numId="10">
    <w:abstractNumId w:val="22"/>
  </w:num>
  <w:num w:numId="11">
    <w:abstractNumId w:val="27"/>
  </w:num>
  <w:num w:numId="12">
    <w:abstractNumId w:val="30"/>
  </w:num>
  <w:num w:numId="13">
    <w:abstractNumId w:val="12"/>
  </w:num>
  <w:num w:numId="14">
    <w:abstractNumId w:val="32"/>
  </w:num>
  <w:num w:numId="15">
    <w:abstractNumId w:val="28"/>
  </w:num>
  <w:num w:numId="16">
    <w:abstractNumId w:val="21"/>
  </w:num>
  <w:num w:numId="17">
    <w:abstractNumId w:val="27"/>
    <w:lvlOverride w:ilvl="0">
      <w:startOverride w:val="1"/>
    </w:lvlOverride>
  </w:num>
  <w:num w:numId="18">
    <w:abstractNumId w:val="34"/>
  </w:num>
  <w:num w:numId="19">
    <w:abstractNumId w:val="25"/>
  </w:num>
  <w:num w:numId="20">
    <w:abstractNumId w:val="11"/>
  </w:num>
  <w:num w:numId="21">
    <w:abstractNumId w:val="13"/>
  </w:num>
  <w:num w:numId="22">
    <w:abstractNumId w:val="17"/>
  </w:num>
  <w:num w:numId="23">
    <w:abstractNumId w:val="37"/>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24"/>
  </w:num>
  <w:num w:numId="34">
    <w:abstractNumId w:val="35"/>
  </w:num>
  <w:num w:numId="35">
    <w:abstractNumId w:val="31"/>
  </w:num>
  <w:num w:numId="36">
    <w:abstractNumId w:val="15"/>
  </w:num>
  <w:num w:numId="37">
    <w:abstractNumId w:val="26"/>
  </w:num>
  <w:num w:numId="38">
    <w:abstractNumId w:val="16"/>
  </w:num>
  <w:num w:numId="39">
    <w:abstractNumId w:val="23"/>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isplayHorizontalDrawingGridEvery w:val="2"/>
  <w:characterSpacingControl w:val="doNotCompress"/>
  <w:doNotValidateAgainstSchema/>
  <w:doNotDemarcateInvalidXml/>
  <w:footnotePr>
    <w:numStart w:val="3"/>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26"/>
    <w:rsid w:val="00000815"/>
    <w:rsid w:val="00001D8B"/>
    <w:rsid w:val="0000217C"/>
    <w:rsid w:val="0000307C"/>
    <w:rsid w:val="00004DFB"/>
    <w:rsid w:val="000060E3"/>
    <w:rsid w:val="00006BBD"/>
    <w:rsid w:val="00007ACA"/>
    <w:rsid w:val="000112DC"/>
    <w:rsid w:val="00011C94"/>
    <w:rsid w:val="000146D3"/>
    <w:rsid w:val="000153D2"/>
    <w:rsid w:val="000159B3"/>
    <w:rsid w:val="00015DC0"/>
    <w:rsid w:val="00016908"/>
    <w:rsid w:val="00016E9D"/>
    <w:rsid w:val="0001750B"/>
    <w:rsid w:val="00017B4D"/>
    <w:rsid w:val="00017B61"/>
    <w:rsid w:val="00021FE2"/>
    <w:rsid w:val="00023072"/>
    <w:rsid w:val="0002430D"/>
    <w:rsid w:val="0002484E"/>
    <w:rsid w:val="00025140"/>
    <w:rsid w:val="00025D55"/>
    <w:rsid w:val="000302EB"/>
    <w:rsid w:val="000330E9"/>
    <w:rsid w:val="00033709"/>
    <w:rsid w:val="00033886"/>
    <w:rsid w:val="00034130"/>
    <w:rsid w:val="000341BB"/>
    <w:rsid w:val="000345E6"/>
    <w:rsid w:val="00035A22"/>
    <w:rsid w:val="00035BFD"/>
    <w:rsid w:val="00035E9B"/>
    <w:rsid w:val="00044986"/>
    <w:rsid w:val="00045361"/>
    <w:rsid w:val="000457DE"/>
    <w:rsid w:val="00045816"/>
    <w:rsid w:val="0004687D"/>
    <w:rsid w:val="0004736B"/>
    <w:rsid w:val="00047ECF"/>
    <w:rsid w:val="000503AD"/>
    <w:rsid w:val="00052900"/>
    <w:rsid w:val="00052B3A"/>
    <w:rsid w:val="00056673"/>
    <w:rsid w:val="00056AB8"/>
    <w:rsid w:val="00057875"/>
    <w:rsid w:val="000620A5"/>
    <w:rsid w:val="000621A4"/>
    <w:rsid w:val="00063529"/>
    <w:rsid w:val="00063784"/>
    <w:rsid w:val="00065371"/>
    <w:rsid w:val="00065D56"/>
    <w:rsid w:val="000668CA"/>
    <w:rsid w:val="00070427"/>
    <w:rsid w:val="00073168"/>
    <w:rsid w:val="000739F5"/>
    <w:rsid w:val="00074908"/>
    <w:rsid w:val="00075E10"/>
    <w:rsid w:val="00075F52"/>
    <w:rsid w:val="00076A1B"/>
    <w:rsid w:val="00076B9C"/>
    <w:rsid w:val="00077B41"/>
    <w:rsid w:val="000803E8"/>
    <w:rsid w:val="00080996"/>
    <w:rsid w:val="000811B5"/>
    <w:rsid w:val="000815CE"/>
    <w:rsid w:val="00082934"/>
    <w:rsid w:val="0008305F"/>
    <w:rsid w:val="00083A3D"/>
    <w:rsid w:val="0008463D"/>
    <w:rsid w:val="00084975"/>
    <w:rsid w:val="000849BC"/>
    <w:rsid w:val="00085C9D"/>
    <w:rsid w:val="00086490"/>
    <w:rsid w:val="000870B1"/>
    <w:rsid w:val="00087937"/>
    <w:rsid w:val="00087C6D"/>
    <w:rsid w:val="000900EB"/>
    <w:rsid w:val="0009088D"/>
    <w:rsid w:val="00091FC5"/>
    <w:rsid w:val="000931C9"/>
    <w:rsid w:val="000938CA"/>
    <w:rsid w:val="000949B4"/>
    <w:rsid w:val="00095DE0"/>
    <w:rsid w:val="000975F9"/>
    <w:rsid w:val="00097649"/>
    <w:rsid w:val="000A0D5D"/>
    <w:rsid w:val="000A17FD"/>
    <w:rsid w:val="000A1EEA"/>
    <w:rsid w:val="000A200D"/>
    <w:rsid w:val="000A2507"/>
    <w:rsid w:val="000A4AEE"/>
    <w:rsid w:val="000A52B8"/>
    <w:rsid w:val="000A5FFC"/>
    <w:rsid w:val="000A7163"/>
    <w:rsid w:val="000A7583"/>
    <w:rsid w:val="000B0346"/>
    <w:rsid w:val="000B0DF0"/>
    <w:rsid w:val="000B3489"/>
    <w:rsid w:val="000B41F9"/>
    <w:rsid w:val="000B4517"/>
    <w:rsid w:val="000B4686"/>
    <w:rsid w:val="000B6546"/>
    <w:rsid w:val="000B70B4"/>
    <w:rsid w:val="000C01AA"/>
    <w:rsid w:val="000C0549"/>
    <w:rsid w:val="000C1302"/>
    <w:rsid w:val="000C1492"/>
    <w:rsid w:val="000C18E8"/>
    <w:rsid w:val="000C3BFE"/>
    <w:rsid w:val="000C419F"/>
    <w:rsid w:val="000C4B1A"/>
    <w:rsid w:val="000C5214"/>
    <w:rsid w:val="000C7363"/>
    <w:rsid w:val="000D1713"/>
    <w:rsid w:val="000D1FF7"/>
    <w:rsid w:val="000D33AE"/>
    <w:rsid w:val="000D44A1"/>
    <w:rsid w:val="000D4D8A"/>
    <w:rsid w:val="000D5570"/>
    <w:rsid w:val="000E153F"/>
    <w:rsid w:val="000E1839"/>
    <w:rsid w:val="000E260A"/>
    <w:rsid w:val="000E30E1"/>
    <w:rsid w:val="000E34B9"/>
    <w:rsid w:val="000E3732"/>
    <w:rsid w:val="000E3B3D"/>
    <w:rsid w:val="000E3C40"/>
    <w:rsid w:val="000E4FF5"/>
    <w:rsid w:val="000E6A5F"/>
    <w:rsid w:val="000F0647"/>
    <w:rsid w:val="000F132E"/>
    <w:rsid w:val="000F434C"/>
    <w:rsid w:val="000F4C90"/>
    <w:rsid w:val="000F6C7E"/>
    <w:rsid w:val="000F74A4"/>
    <w:rsid w:val="001008A3"/>
    <w:rsid w:val="00102640"/>
    <w:rsid w:val="00102BB7"/>
    <w:rsid w:val="0010339C"/>
    <w:rsid w:val="00103781"/>
    <w:rsid w:val="001048D4"/>
    <w:rsid w:val="00104CD5"/>
    <w:rsid w:val="001050E5"/>
    <w:rsid w:val="00106DDB"/>
    <w:rsid w:val="00106F59"/>
    <w:rsid w:val="00110415"/>
    <w:rsid w:val="001110B2"/>
    <w:rsid w:val="00111A4D"/>
    <w:rsid w:val="00111AD2"/>
    <w:rsid w:val="00112016"/>
    <w:rsid w:val="00112D35"/>
    <w:rsid w:val="00114764"/>
    <w:rsid w:val="00114B6A"/>
    <w:rsid w:val="0011543F"/>
    <w:rsid w:val="00116BE4"/>
    <w:rsid w:val="00117162"/>
    <w:rsid w:val="001172FF"/>
    <w:rsid w:val="00120281"/>
    <w:rsid w:val="00121E5D"/>
    <w:rsid w:val="0012320F"/>
    <w:rsid w:val="00124899"/>
    <w:rsid w:val="00125E0B"/>
    <w:rsid w:val="001265F1"/>
    <w:rsid w:val="001266B4"/>
    <w:rsid w:val="0012673B"/>
    <w:rsid w:val="001275A7"/>
    <w:rsid w:val="001277F6"/>
    <w:rsid w:val="00127E45"/>
    <w:rsid w:val="00131690"/>
    <w:rsid w:val="00132D8B"/>
    <w:rsid w:val="00133160"/>
    <w:rsid w:val="00134D76"/>
    <w:rsid w:val="00135CD0"/>
    <w:rsid w:val="00137BDB"/>
    <w:rsid w:val="00137DC7"/>
    <w:rsid w:val="00137E09"/>
    <w:rsid w:val="00140171"/>
    <w:rsid w:val="00141E6A"/>
    <w:rsid w:val="0014267D"/>
    <w:rsid w:val="00144266"/>
    <w:rsid w:val="00145708"/>
    <w:rsid w:val="00146062"/>
    <w:rsid w:val="00146CB5"/>
    <w:rsid w:val="00147160"/>
    <w:rsid w:val="00147C00"/>
    <w:rsid w:val="00150717"/>
    <w:rsid w:val="0015251E"/>
    <w:rsid w:val="001528D9"/>
    <w:rsid w:val="00152A27"/>
    <w:rsid w:val="00153033"/>
    <w:rsid w:val="00154530"/>
    <w:rsid w:val="00154D58"/>
    <w:rsid w:val="00155242"/>
    <w:rsid w:val="00156686"/>
    <w:rsid w:val="00163324"/>
    <w:rsid w:val="001648C8"/>
    <w:rsid w:val="00164CAC"/>
    <w:rsid w:val="00170215"/>
    <w:rsid w:val="00170E1D"/>
    <w:rsid w:val="001718EC"/>
    <w:rsid w:val="00171C58"/>
    <w:rsid w:val="001724B3"/>
    <w:rsid w:val="00172FDA"/>
    <w:rsid w:val="00173F9A"/>
    <w:rsid w:val="001745BB"/>
    <w:rsid w:val="0017474E"/>
    <w:rsid w:val="00177264"/>
    <w:rsid w:val="0018023C"/>
    <w:rsid w:val="00183392"/>
    <w:rsid w:val="00183933"/>
    <w:rsid w:val="0018567C"/>
    <w:rsid w:val="001860CF"/>
    <w:rsid w:val="00190365"/>
    <w:rsid w:val="0019113D"/>
    <w:rsid w:val="00192B58"/>
    <w:rsid w:val="00195158"/>
    <w:rsid w:val="00195E28"/>
    <w:rsid w:val="00196330"/>
    <w:rsid w:val="00197495"/>
    <w:rsid w:val="00197C8D"/>
    <w:rsid w:val="00197F25"/>
    <w:rsid w:val="001A03A1"/>
    <w:rsid w:val="001A1187"/>
    <w:rsid w:val="001A1D38"/>
    <w:rsid w:val="001A23AD"/>
    <w:rsid w:val="001A3508"/>
    <w:rsid w:val="001A6EB9"/>
    <w:rsid w:val="001A7697"/>
    <w:rsid w:val="001B0259"/>
    <w:rsid w:val="001B025C"/>
    <w:rsid w:val="001B07FE"/>
    <w:rsid w:val="001B0A47"/>
    <w:rsid w:val="001B0BE3"/>
    <w:rsid w:val="001B1301"/>
    <w:rsid w:val="001B2FBC"/>
    <w:rsid w:val="001B39FC"/>
    <w:rsid w:val="001B5B20"/>
    <w:rsid w:val="001B75B9"/>
    <w:rsid w:val="001C0257"/>
    <w:rsid w:val="001C0946"/>
    <w:rsid w:val="001C2652"/>
    <w:rsid w:val="001C2829"/>
    <w:rsid w:val="001C2FAE"/>
    <w:rsid w:val="001C40DE"/>
    <w:rsid w:val="001C42F2"/>
    <w:rsid w:val="001C7F38"/>
    <w:rsid w:val="001D0B3E"/>
    <w:rsid w:val="001D2C31"/>
    <w:rsid w:val="001D57DD"/>
    <w:rsid w:val="001D69BD"/>
    <w:rsid w:val="001D6EE4"/>
    <w:rsid w:val="001D7EB3"/>
    <w:rsid w:val="001E0D45"/>
    <w:rsid w:val="001E3AEF"/>
    <w:rsid w:val="001E6755"/>
    <w:rsid w:val="001F0403"/>
    <w:rsid w:val="001F0567"/>
    <w:rsid w:val="001F07F5"/>
    <w:rsid w:val="001F0BCF"/>
    <w:rsid w:val="001F20F9"/>
    <w:rsid w:val="001F68CF"/>
    <w:rsid w:val="001F68DA"/>
    <w:rsid w:val="001F7711"/>
    <w:rsid w:val="002005E2"/>
    <w:rsid w:val="002008D4"/>
    <w:rsid w:val="00201698"/>
    <w:rsid w:val="002044BE"/>
    <w:rsid w:val="00204E86"/>
    <w:rsid w:val="00206175"/>
    <w:rsid w:val="0020718E"/>
    <w:rsid w:val="00207350"/>
    <w:rsid w:val="00207749"/>
    <w:rsid w:val="002102C7"/>
    <w:rsid w:val="002104B8"/>
    <w:rsid w:val="00213ECF"/>
    <w:rsid w:val="002140E2"/>
    <w:rsid w:val="002148C5"/>
    <w:rsid w:val="002176B9"/>
    <w:rsid w:val="00217DF9"/>
    <w:rsid w:val="00220100"/>
    <w:rsid w:val="00220B0D"/>
    <w:rsid w:val="00222B10"/>
    <w:rsid w:val="00224577"/>
    <w:rsid w:val="00226052"/>
    <w:rsid w:val="00226081"/>
    <w:rsid w:val="0023090E"/>
    <w:rsid w:val="00230D6C"/>
    <w:rsid w:val="002310D9"/>
    <w:rsid w:val="00231250"/>
    <w:rsid w:val="00231A6D"/>
    <w:rsid w:val="00232A67"/>
    <w:rsid w:val="002332A2"/>
    <w:rsid w:val="0023483B"/>
    <w:rsid w:val="00237D94"/>
    <w:rsid w:val="0024084D"/>
    <w:rsid w:val="002433EB"/>
    <w:rsid w:val="00243560"/>
    <w:rsid w:val="002437C7"/>
    <w:rsid w:val="00245E3B"/>
    <w:rsid w:val="00246232"/>
    <w:rsid w:val="0024711F"/>
    <w:rsid w:val="00247AC9"/>
    <w:rsid w:val="00250D10"/>
    <w:rsid w:val="00251107"/>
    <w:rsid w:val="002522C4"/>
    <w:rsid w:val="00253EA1"/>
    <w:rsid w:val="00255C9E"/>
    <w:rsid w:val="00256CB9"/>
    <w:rsid w:val="00257DAA"/>
    <w:rsid w:val="002600D6"/>
    <w:rsid w:val="00260209"/>
    <w:rsid w:val="00263D4F"/>
    <w:rsid w:val="00265134"/>
    <w:rsid w:val="00265E16"/>
    <w:rsid w:val="00267779"/>
    <w:rsid w:val="002677B7"/>
    <w:rsid w:val="002703C3"/>
    <w:rsid w:val="00271301"/>
    <w:rsid w:val="00271BD4"/>
    <w:rsid w:val="00273809"/>
    <w:rsid w:val="00273BD3"/>
    <w:rsid w:val="0027433D"/>
    <w:rsid w:val="002748B3"/>
    <w:rsid w:val="00275053"/>
    <w:rsid w:val="0027691F"/>
    <w:rsid w:val="002803DE"/>
    <w:rsid w:val="002807D2"/>
    <w:rsid w:val="00283C75"/>
    <w:rsid w:val="0028608A"/>
    <w:rsid w:val="00286BD2"/>
    <w:rsid w:val="00286D8E"/>
    <w:rsid w:val="00286E19"/>
    <w:rsid w:val="00290141"/>
    <w:rsid w:val="00290C0A"/>
    <w:rsid w:val="002912E7"/>
    <w:rsid w:val="00291807"/>
    <w:rsid w:val="00291C84"/>
    <w:rsid w:val="002920B3"/>
    <w:rsid w:val="00295527"/>
    <w:rsid w:val="002A0279"/>
    <w:rsid w:val="002A28A7"/>
    <w:rsid w:val="002A2EC0"/>
    <w:rsid w:val="002A2F3A"/>
    <w:rsid w:val="002A4796"/>
    <w:rsid w:val="002A7188"/>
    <w:rsid w:val="002A73A8"/>
    <w:rsid w:val="002A7AFE"/>
    <w:rsid w:val="002B0843"/>
    <w:rsid w:val="002B0B82"/>
    <w:rsid w:val="002B1DB4"/>
    <w:rsid w:val="002B1FB5"/>
    <w:rsid w:val="002B2760"/>
    <w:rsid w:val="002B28B9"/>
    <w:rsid w:val="002B2B7E"/>
    <w:rsid w:val="002B2D32"/>
    <w:rsid w:val="002B2DBB"/>
    <w:rsid w:val="002B2FC7"/>
    <w:rsid w:val="002B3C56"/>
    <w:rsid w:val="002B5891"/>
    <w:rsid w:val="002B7612"/>
    <w:rsid w:val="002C08BC"/>
    <w:rsid w:val="002C0A49"/>
    <w:rsid w:val="002C0AF4"/>
    <w:rsid w:val="002C1DD4"/>
    <w:rsid w:val="002C21CC"/>
    <w:rsid w:val="002C3D0B"/>
    <w:rsid w:val="002C5BFE"/>
    <w:rsid w:val="002C6DCD"/>
    <w:rsid w:val="002C7077"/>
    <w:rsid w:val="002D0836"/>
    <w:rsid w:val="002D15A2"/>
    <w:rsid w:val="002D2548"/>
    <w:rsid w:val="002D2736"/>
    <w:rsid w:val="002D33A3"/>
    <w:rsid w:val="002D33B9"/>
    <w:rsid w:val="002D34EC"/>
    <w:rsid w:val="002D62F6"/>
    <w:rsid w:val="002D67CD"/>
    <w:rsid w:val="002D72BB"/>
    <w:rsid w:val="002E3521"/>
    <w:rsid w:val="002E3AB2"/>
    <w:rsid w:val="002E3FFF"/>
    <w:rsid w:val="002E4860"/>
    <w:rsid w:val="002E69C3"/>
    <w:rsid w:val="002E6C11"/>
    <w:rsid w:val="002F0864"/>
    <w:rsid w:val="002F0B84"/>
    <w:rsid w:val="002F0CA8"/>
    <w:rsid w:val="002F1A36"/>
    <w:rsid w:val="002F2EFD"/>
    <w:rsid w:val="002F3C78"/>
    <w:rsid w:val="002F72BE"/>
    <w:rsid w:val="002F7408"/>
    <w:rsid w:val="002F793F"/>
    <w:rsid w:val="003001B7"/>
    <w:rsid w:val="003008A7"/>
    <w:rsid w:val="00301DD9"/>
    <w:rsid w:val="0030292C"/>
    <w:rsid w:val="0030503D"/>
    <w:rsid w:val="003051DD"/>
    <w:rsid w:val="0030786A"/>
    <w:rsid w:val="00310514"/>
    <w:rsid w:val="0031139F"/>
    <w:rsid w:val="0031218A"/>
    <w:rsid w:val="00316975"/>
    <w:rsid w:val="0031779A"/>
    <w:rsid w:val="00322B76"/>
    <w:rsid w:val="0032356D"/>
    <w:rsid w:val="00325015"/>
    <w:rsid w:val="00326E01"/>
    <w:rsid w:val="00330431"/>
    <w:rsid w:val="00333310"/>
    <w:rsid w:val="00333DEC"/>
    <w:rsid w:val="00334112"/>
    <w:rsid w:val="003351E4"/>
    <w:rsid w:val="0033594B"/>
    <w:rsid w:val="00335A78"/>
    <w:rsid w:val="00335D7D"/>
    <w:rsid w:val="00336462"/>
    <w:rsid w:val="003402D5"/>
    <w:rsid w:val="003429EB"/>
    <w:rsid w:val="00343423"/>
    <w:rsid w:val="00344278"/>
    <w:rsid w:val="00345249"/>
    <w:rsid w:val="00345F80"/>
    <w:rsid w:val="0034724C"/>
    <w:rsid w:val="00347C6A"/>
    <w:rsid w:val="00350F55"/>
    <w:rsid w:val="0035264A"/>
    <w:rsid w:val="00355E40"/>
    <w:rsid w:val="00357ED1"/>
    <w:rsid w:val="00361ABE"/>
    <w:rsid w:val="00362070"/>
    <w:rsid w:val="00363037"/>
    <w:rsid w:val="00364063"/>
    <w:rsid w:val="00364A3F"/>
    <w:rsid w:val="00364D42"/>
    <w:rsid w:val="00366119"/>
    <w:rsid w:val="00366322"/>
    <w:rsid w:val="00367B71"/>
    <w:rsid w:val="003707FF"/>
    <w:rsid w:val="00370A08"/>
    <w:rsid w:val="00371A00"/>
    <w:rsid w:val="003721F5"/>
    <w:rsid w:val="0037375C"/>
    <w:rsid w:val="003743B3"/>
    <w:rsid w:val="00376392"/>
    <w:rsid w:val="003766AB"/>
    <w:rsid w:val="00376746"/>
    <w:rsid w:val="00376BBB"/>
    <w:rsid w:val="003810BB"/>
    <w:rsid w:val="003819F0"/>
    <w:rsid w:val="003846D8"/>
    <w:rsid w:val="003849E6"/>
    <w:rsid w:val="003855F3"/>
    <w:rsid w:val="00385909"/>
    <w:rsid w:val="00386ECF"/>
    <w:rsid w:val="0038773B"/>
    <w:rsid w:val="00387FC8"/>
    <w:rsid w:val="00390078"/>
    <w:rsid w:val="003917C6"/>
    <w:rsid w:val="0039198A"/>
    <w:rsid w:val="00391AF1"/>
    <w:rsid w:val="00392B8F"/>
    <w:rsid w:val="00392C7A"/>
    <w:rsid w:val="00394294"/>
    <w:rsid w:val="003945B1"/>
    <w:rsid w:val="00395E2C"/>
    <w:rsid w:val="003A038B"/>
    <w:rsid w:val="003A03D3"/>
    <w:rsid w:val="003A08C4"/>
    <w:rsid w:val="003A0ADA"/>
    <w:rsid w:val="003A1445"/>
    <w:rsid w:val="003A548D"/>
    <w:rsid w:val="003A680D"/>
    <w:rsid w:val="003A6C48"/>
    <w:rsid w:val="003B28EB"/>
    <w:rsid w:val="003B3CA1"/>
    <w:rsid w:val="003B619E"/>
    <w:rsid w:val="003B72EF"/>
    <w:rsid w:val="003C037A"/>
    <w:rsid w:val="003C0A28"/>
    <w:rsid w:val="003C0A4D"/>
    <w:rsid w:val="003C12EB"/>
    <w:rsid w:val="003C16CB"/>
    <w:rsid w:val="003C1BDC"/>
    <w:rsid w:val="003C24C9"/>
    <w:rsid w:val="003C3439"/>
    <w:rsid w:val="003C4496"/>
    <w:rsid w:val="003C50BD"/>
    <w:rsid w:val="003C6E70"/>
    <w:rsid w:val="003D064C"/>
    <w:rsid w:val="003D1C97"/>
    <w:rsid w:val="003D1D78"/>
    <w:rsid w:val="003D29C0"/>
    <w:rsid w:val="003D33F1"/>
    <w:rsid w:val="003D5419"/>
    <w:rsid w:val="003D79FF"/>
    <w:rsid w:val="003E05DE"/>
    <w:rsid w:val="003E1B48"/>
    <w:rsid w:val="003E35B8"/>
    <w:rsid w:val="003E35DC"/>
    <w:rsid w:val="003F2975"/>
    <w:rsid w:val="003F371D"/>
    <w:rsid w:val="003F4CB8"/>
    <w:rsid w:val="003F7E93"/>
    <w:rsid w:val="004010D0"/>
    <w:rsid w:val="00401501"/>
    <w:rsid w:val="004039DF"/>
    <w:rsid w:val="00403A2C"/>
    <w:rsid w:val="004049E1"/>
    <w:rsid w:val="00405D1D"/>
    <w:rsid w:val="0040682E"/>
    <w:rsid w:val="00412C04"/>
    <w:rsid w:val="00413BB2"/>
    <w:rsid w:val="00414F5C"/>
    <w:rsid w:val="00416C1D"/>
    <w:rsid w:val="00417618"/>
    <w:rsid w:val="0041765D"/>
    <w:rsid w:val="0041787F"/>
    <w:rsid w:val="00420EE7"/>
    <w:rsid w:val="00421258"/>
    <w:rsid w:val="00421EBC"/>
    <w:rsid w:val="00422EE1"/>
    <w:rsid w:val="00422F37"/>
    <w:rsid w:val="0042373B"/>
    <w:rsid w:val="004242A8"/>
    <w:rsid w:val="004255B5"/>
    <w:rsid w:val="00425BD5"/>
    <w:rsid w:val="00425E9B"/>
    <w:rsid w:val="00426D24"/>
    <w:rsid w:val="00431779"/>
    <w:rsid w:val="00432F75"/>
    <w:rsid w:val="00433012"/>
    <w:rsid w:val="004334A1"/>
    <w:rsid w:val="004339FA"/>
    <w:rsid w:val="004346F3"/>
    <w:rsid w:val="00434E38"/>
    <w:rsid w:val="00436635"/>
    <w:rsid w:val="0043668A"/>
    <w:rsid w:val="00437449"/>
    <w:rsid w:val="00441019"/>
    <w:rsid w:val="0044422C"/>
    <w:rsid w:val="004451EC"/>
    <w:rsid w:val="00445D52"/>
    <w:rsid w:val="00447612"/>
    <w:rsid w:val="00447C7A"/>
    <w:rsid w:val="00450743"/>
    <w:rsid w:val="00450D76"/>
    <w:rsid w:val="00451B7B"/>
    <w:rsid w:val="00454101"/>
    <w:rsid w:val="004545E5"/>
    <w:rsid w:val="0045589B"/>
    <w:rsid w:val="00455D57"/>
    <w:rsid w:val="00455E7B"/>
    <w:rsid w:val="004563D8"/>
    <w:rsid w:val="0045659D"/>
    <w:rsid w:val="004575D0"/>
    <w:rsid w:val="004575FA"/>
    <w:rsid w:val="0046028A"/>
    <w:rsid w:val="00460CDB"/>
    <w:rsid w:val="0046187A"/>
    <w:rsid w:val="0046190E"/>
    <w:rsid w:val="00462539"/>
    <w:rsid w:val="0046267E"/>
    <w:rsid w:val="004654A7"/>
    <w:rsid w:val="00467351"/>
    <w:rsid w:val="004673E3"/>
    <w:rsid w:val="0047121A"/>
    <w:rsid w:val="00473354"/>
    <w:rsid w:val="00473AB1"/>
    <w:rsid w:val="004741DA"/>
    <w:rsid w:val="00475224"/>
    <w:rsid w:val="00475926"/>
    <w:rsid w:val="004764F3"/>
    <w:rsid w:val="004803BB"/>
    <w:rsid w:val="00480516"/>
    <w:rsid w:val="0048237E"/>
    <w:rsid w:val="00482D22"/>
    <w:rsid w:val="0048420C"/>
    <w:rsid w:val="004854F1"/>
    <w:rsid w:val="004856A1"/>
    <w:rsid w:val="00485745"/>
    <w:rsid w:val="00490081"/>
    <w:rsid w:val="00490B09"/>
    <w:rsid w:val="004947CE"/>
    <w:rsid w:val="00494D0B"/>
    <w:rsid w:val="00496106"/>
    <w:rsid w:val="004965E2"/>
    <w:rsid w:val="00497EB1"/>
    <w:rsid w:val="00497EED"/>
    <w:rsid w:val="004A0006"/>
    <w:rsid w:val="004A07AC"/>
    <w:rsid w:val="004A1F1C"/>
    <w:rsid w:val="004A2E6E"/>
    <w:rsid w:val="004A2F8D"/>
    <w:rsid w:val="004A3A4A"/>
    <w:rsid w:val="004A588D"/>
    <w:rsid w:val="004A69BF"/>
    <w:rsid w:val="004A6AFE"/>
    <w:rsid w:val="004A6C9C"/>
    <w:rsid w:val="004A7173"/>
    <w:rsid w:val="004B008C"/>
    <w:rsid w:val="004B1259"/>
    <w:rsid w:val="004B15D1"/>
    <w:rsid w:val="004B187B"/>
    <w:rsid w:val="004B25C2"/>
    <w:rsid w:val="004B327D"/>
    <w:rsid w:val="004B3E58"/>
    <w:rsid w:val="004B40EA"/>
    <w:rsid w:val="004B4778"/>
    <w:rsid w:val="004B75B8"/>
    <w:rsid w:val="004C41CF"/>
    <w:rsid w:val="004C4CFF"/>
    <w:rsid w:val="004C53E0"/>
    <w:rsid w:val="004C544B"/>
    <w:rsid w:val="004C7840"/>
    <w:rsid w:val="004D02C3"/>
    <w:rsid w:val="004D084E"/>
    <w:rsid w:val="004D102E"/>
    <w:rsid w:val="004D409C"/>
    <w:rsid w:val="004D4CB1"/>
    <w:rsid w:val="004D59C5"/>
    <w:rsid w:val="004D5DEB"/>
    <w:rsid w:val="004D6AB0"/>
    <w:rsid w:val="004D73E6"/>
    <w:rsid w:val="004E1310"/>
    <w:rsid w:val="004E17DA"/>
    <w:rsid w:val="004E3143"/>
    <w:rsid w:val="004E50CF"/>
    <w:rsid w:val="004E5658"/>
    <w:rsid w:val="004E5C3A"/>
    <w:rsid w:val="004E7DC2"/>
    <w:rsid w:val="004F05F1"/>
    <w:rsid w:val="004F269B"/>
    <w:rsid w:val="004F2A9E"/>
    <w:rsid w:val="004F3F4E"/>
    <w:rsid w:val="004F482F"/>
    <w:rsid w:val="004F55F5"/>
    <w:rsid w:val="004F6ED8"/>
    <w:rsid w:val="004F7D7E"/>
    <w:rsid w:val="0050321C"/>
    <w:rsid w:val="005034CE"/>
    <w:rsid w:val="005047AB"/>
    <w:rsid w:val="00506FA1"/>
    <w:rsid w:val="00507104"/>
    <w:rsid w:val="00507223"/>
    <w:rsid w:val="00507D10"/>
    <w:rsid w:val="0051204C"/>
    <w:rsid w:val="0051262B"/>
    <w:rsid w:val="00513482"/>
    <w:rsid w:val="0051438D"/>
    <w:rsid w:val="005145F4"/>
    <w:rsid w:val="005156F9"/>
    <w:rsid w:val="00516154"/>
    <w:rsid w:val="00517983"/>
    <w:rsid w:val="005209BE"/>
    <w:rsid w:val="0052153F"/>
    <w:rsid w:val="00522A3A"/>
    <w:rsid w:val="00523436"/>
    <w:rsid w:val="005236EF"/>
    <w:rsid w:val="00523C2A"/>
    <w:rsid w:val="0052511B"/>
    <w:rsid w:val="00526218"/>
    <w:rsid w:val="00527EAB"/>
    <w:rsid w:val="0053250C"/>
    <w:rsid w:val="0053339E"/>
    <w:rsid w:val="00534138"/>
    <w:rsid w:val="005355F1"/>
    <w:rsid w:val="00535ECA"/>
    <w:rsid w:val="00535FD3"/>
    <w:rsid w:val="00537914"/>
    <w:rsid w:val="005400E9"/>
    <w:rsid w:val="00542033"/>
    <w:rsid w:val="00545789"/>
    <w:rsid w:val="005467BB"/>
    <w:rsid w:val="00546DBC"/>
    <w:rsid w:val="00550352"/>
    <w:rsid w:val="0055064E"/>
    <w:rsid w:val="00550D95"/>
    <w:rsid w:val="005516DA"/>
    <w:rsid w:val="00551AEE"/>
    <w:rsid w:val="00552DA4"/>
    <w:rsid w:val="005548C1"/>
    <w:rsid w:val="00556C02"/>
    <w:rsid w:val="0055755F"/>
    <w:rsid w:val="005579A1"/>
    <w:rsid w:val="00557CCE"/>
    <w:rsid w:val="00562AC1"/>
    <w:rsid w:val="0056360D"/>
    <w:rsid w:val="00565045"/>
    <w:rsid w:val="00565C59"/>
    <w:rsid w:val="00567983"/>
    <w:rsid w:val="00570AA3"/>
    <w:rsid w:val="0057227F"/>
    <w:rsid w:val="00575437"/>
    <w:rsid w:val="0057698D"/>
    <w:rsid w:val="00577A34"/>
    <w:rsid w:val="00577EA6"/>
    <w:rsid w:val="0058040E"/>
    <w:rsid w:val="00580545"/>
    <w:rsid w:val="00580BFD"/>
    <w:rsid w:val="005818A6"/>
    <w:rsid w:val="0058329E"/>
    <w:rsid w:val="00583E00"/>
    <w:rsid w:val="00583FFF"/>
    <w:rsid w:val="00585452"/>
    <w:rsid w:val="00587693"/>
    <w:rsid w:val="005877B4"/>
    <w:rsid w:val="0059134C"/>
    <w:rsid w:val="00591DCA"/>
    <w:rsid w:val="00592EC1"/>
    <w:rsid w:val="00593E1D"/>
    <w:rsid w:val="0059534E"/>
    <w:rsid w:val="005A05CD"/>
    <w:rsid w:val="005A0630"/>
    <w:rsid w:val="005A0CD5"/>
    <w:rsid w:val="005A1B21"/>
    <w:rsid w:val="005A1EE1"/>
    <w:rsid w:val="005A3033"/>
    <w:rsid w:val="005A36C8"/>
    <w:rsid w:val="005A66B4"/>
    <w:rsid w:val="005A7384"/>
    <w:rsid w:val="005A7E65"/>
    <w:rsid w:val="005B13D9"/>
    <w:rsid w:val="005B21BA"/>
    <w:rsid w:val="005B2363"/>
    <w:rsid w:val="005B2446"/>
    <w:rsid w:val="005B2607"/>
    <w:rsid w:val="005B37DA"/>
    <w:rsid w:val="005B4A9D"/>
    <w:rsid w:val="005B4B4B"/>
    <w:rsid w:val="005B5ACE"/>
    <w:rsid w:val="005B7408"/>
    <w:rsid w:val="005B7AFE"/>
    <w:rsid w:val="005B7D76"/>
    <w:rsid w:val="005C0D89"/>
    <w:rsid w:val="005C19AF"/>
    <w:rsid w:val="005C2DE7"/>
    <w:rsid w:val="005C3EE6"/>
    <w:rsid w:val="005C4AF2"/>
    <w:rsid w:val="005C4B7B"/>
    <w:rsid w:val="005C4E84"/>
    <w:rsid w:val="005C566D"/>
    <w:rsid w:val="005C5BB3"/>
    <w:rsid w:val="005C6F5D"/>
    <w:rsid w:val="005C7A5B"/>
    <w:rsid w:val="005C7DA0"/>
    <w:rsid w:val="005D1998"/>
    <w:rsid w:val="005D2D6F"/>
    <w:rsid w:val="005D3782"/>
    <w:rsid w:val="005D3A00"/>
    <w:rsid w:val="005D3A0C"/>
    <w:rsid w:val="005D3AEE"/>
    <w:rsid w:val="005D45EC"/>
    <w:rsid w:val="005D63A9"/>
    <w:rsid w:val="005D65B0"/>
    <w:rsid w:val="005D6BF4"/>
    <w:rsid w:val="005D77A8"/>
    <w:rsid w:val="005E06D1"/>
    <w:rsid w:val="005E0A1B"/>
    <w:rsid w:val="005E0BA9"/>
    <w:rsid w:val="005E1151"/>
    <w:rsid w:val="005E37A4"/>
    <w:rsid w:val="005E38A1"/>
    <w:rsid w:val="005E48B5"/>
    <w:rsid w:val="005E50AA"/>
    <w:rsid w:val="005E6279"/>
    <w:rsid w:val="005F001D"/>
    <w:rsid w:val="005F0160"/>
    <w:rsid w:val="005F0B8D"/>
    <w:rsid w:val="005F3033"/>
    <w:rsid w:val="005F318E"/>
    <w:rsid w:val="005F3AB3"/>
    <w:rsid w:val="005F3FF3"/>
    <w:rsid w:val="005F58D8"/>
    <w:rsid w:val="005F5BF9"/>
    <w:rsid w:val="005F6094"/>
    <w:rsid w:val="005F765A"/>
    <w:rsid w:val="005F7CA9"/>
    <w:rsid w:val="006015A1"/>
    <w:rsid w:val="0060316B"/>
    <w:rsid w:val="00603619"/>
    <w:rsid w:val="00606090"/>
    <w:rsid w:val="006066C4"/>
    <w:rsid w:val="0060761A"/>
    <w:rsid w:val="00611429"/>
    <w:rsid w:val="00611657"/>
    <w:rsid w:val="006117B6"/>
    <w:rsid w:val="0061314A"/>
    <w:rsid w:val="0061372D"/>
    <w:rsid w:val="00613F65"/>
    <w:rsid w:val="00614D92"/>
    <w:rsid w:val="00614FA9"/>
    <w:rsid w:val="00616AA6"/>
    <w:rsid w:val="00617237"/>
    <w:rsid w:val="00617736"/>
    <w:rsid w:val="00617AC3"/>
    <w:rsid w:val="00617E9B"/>
    <w:rsid w:val="006209E5"/>
    <w:rsid w:val="00621420"/>
    <w:rsid w:val="00622912"/>
    <w:rsid w:val="00623C2F"/>
    <w:rsid w:val="006250A0"/>
    <w:rsid w:val="00626540"/>
    <w:rsid w:val="0063046F"/>
    <w:rsid w:val="00630A28"/>
    <w:rsid w:val="00631F54"/>
    <w:rsid w:val="00631FC5"/>
    <w:rsid w:val="00631FC8"/>
    <w:rsid w:val="00632B87"/>
    <w:rsid w:val="00632E3A"/>
    <w:rsid w:val="006334BF"/>
    <w:rsid w:val="00633CE1"/>
    <w:rsid w:val="00633D0E"/>
    <w:rsid w:val="00633E4A"/>
    <w:rsid w:val="00633F81"/>
    <w:rsid w:val="0063446C"/>
    <w:rsid w:val="006345A7"/>
    <w:rsid w:val="00635728"/>
    <w:rsid w:val="00636290"/>
    <w:rsid w:val="00640842"/>
    <w:rsid w:val="00640A1C"/>
    <w:rsid w:val="00643242"/>
    <w:rsid w:val="00644188"/>
    <w:rsid w:val="006445AB"/>
    <w:rsid w:val="00644A25"/>
    <w:rsid w:val="0064506D"/>
    <w:rsid w:val="006469B4"/>
    <w:rsid w:val="00646DD3"/>
    <w:rsid w:val="00650B30"/>
    <w:rsid w:val="00653867"/>
    <w:rsid w:val="006547DA"/>
    <w:rsid w:val="006552D6"/>
    <w:rsid w:val="00656960"/>
    <w:rsid w:val="00656C2A"/>
    <w:rsid w:val="00657197"/>
    <w:rsid w:val="006607AE"/>
    <w:rsid w:val="0066087E"/>
    <w:rsid w:val="00660C18"/>
    <w:rsid w:val="006624A7"/>
    <w:rsid w:val="0066275B"/>
    <w:rsid w:val="00664882"/>
    <w:rsid w:val="006656A6"/>
    <w:rsid w:val="006659E1"/>
    <w:rsid w:val="00665E93"/>
    <w:rsid w:val="006665EC"/>
    <w:rsid w:val="00666D37"/>
    <w:rsid w:val="00666ED6"/>
    <w:rsid w:val="00667611"/>
    <w:rsid w:val="00667BAD"/>
    <w:rsid w:val="00667D2F"/>
    <w:rsid w:val="00671B20"/>
    <w:rsid w:val="00674C5A"/>
    <w:rsid w:val="006768E0"/>
    <w:rsid w:val="00676B50"/>
    <w:rsid w:val="006772D8"/>
    <w:rsid w:val="00677464"/>
    <w:rsid w:val="006776E0"/>
    <w:rsid w:val="00681B04"/>
    <w:rsid w:val="00681D58"/>
    <w:rsid w:val="0068258A"/>
    <w:rsid w:val="006831EE"/>
    <w:rsid w:val="00684D55"/>
    <w:rsid w:val="0068573F"/>
    <w:rsid w:val="00686684"/>
    <w:rsid w:val="006866C2"/>
    <w:rsid w:val="0068746C"/>
    <w:rsid w:val="00687BEB"/>
    <w:rsid w:val="006902B1"/>
    <w:rsid w:val="006913AE"/>
    <w:rsid w:val="00692153"/>
    <w:rsid w:val="006922DC"/>
    <w:rsid w:val="00692641"/>
    <w:rsid w:val="0069277B"/>
    <w:rsid w:val="006942F9"/>
    <w:rsid w:val="00695112"/>
    <w:rsid w:val="006964B3"/>
    <w:rsid w:val="0069679A"/>
    <w:rsid w:val="006969C9"/>
    <w:rsid w:val="00697027"/>
    <w:rsid w:val="006A024E"/>
    <w:rsid w:val="006A05E2"/>
    <w:rsid w:val="006A15A5"/>
    <w:rsid w:val="006A2068"/>
    <w:rsid w:val="006A6615"/>
    <w:rsid w:val="006A6DB5"/>
    <w:rsid w:val="006A70DE"/>
    <w:rsid w:val="006B07D5"/>
    <w:rsid w:val="006B191D"/>
    <w:rsid w:val="006B2238"/>
    <w:rsid w:val="006B513E"/>
    <w:rsid w:val="006B535A"/>
    <w:rsid w:val="006B6059"/>
    <w:rsid w:val="006C055C"/>
    <w:rsid w:val="006C1A6F"/>
    <w:rsid w:val="006C3F91"/>
    <w:rsid w:val="006C4E36"/>
    <w:rsid w:val="006C5F4A"/>
    <w:rsid w:val="006C7FD7"/>
    <w:rsid w:val="006D13A6"/>
    <w:rsid w:val="006D1FD8"/>
    <w:rsid w:val="006D28FD"/>
    <w:rsid w:val="006D4C58"/>
    <w:rsid w:val="006D59A0"/>
    <w:rsid w:val="006D707C"/>
    <w:rsid w:val="006E00E1"/>
    <w:rsid w:val="006E11D5"/>
    <w:rsid w:val="006E2542"/>
    <w:rsid w:val="006E2FBE"/>
    <w:rsid w:val="006E3C39"/>
    <w:rsid w:val="006E3DD8"/>
    <w:rsid w:val="006E6786"/>
    <w:rsid w:val="006E7288"/>
    <w:rsid w:val="006E775B"/>
    <w:rsid w:val="006E77FF"/>
    <w:rsid w:val="006F1A4A"/>
    <w:rsid w:val="006F20CE"/>
    <w:rsid w:val="006F233F"/>
    <w:rsid w:val="006F2A89"/>
    <w:rsid w:val="006F2BAC"/>
    <w:rsid w:val="006F3FB8"/>
    <w:rsid w:val="006F4E23"/>
    <w:rsid w:val="006F4F83"/>
    <w:rsid w:val="006F5A49"/>
    <w:rsid w:val="006F5F51"/>
    <w:rsid w:val="006F6CEE"/>
    <w:rsid w:val="00700CC7"/>
    <w:rsid w:val="00702946"/>
    <w:rsid w:val="0070426B"/>
    <w:rsid w:val="00704B08"/>
    <w:rsid w:val="00704B5E"/>
    <w:rsid w:val="0070576D"/>
    <w:rsid w:val="00707594"/>
    <w:rsid w:val="0071085D"/>
    <w:rsid w:val="00710B58"/>
    <w:rsid w:val="0071174D"/>
    <w:rsid w:val="007123D8"/>
    <w:rsid w:val="00712C4D"/>
    <w:rsid w:val="00713842"/>
    <w:rsid w:val="00713DA5"/>
    <w:rsid w:val="00717469"/>
    <w:rsid w:val="00717719"/>
    <w:rsid w:val="007179FA"/>
    <w:rsid w:val="00717B35"/>
    <w:rsid w:val="00720187"/>
    <w:rsid w:val="007201AC"/>
    <w:rsid w:val="007204BB"/>
    <w:rsid w:val="00721452"/>
    <w:rsid w:val="007236C4"/>
    <w:rsid w:val="007244C2"/>
    <w:rsid w:val="00724538"/>
    <w:rsid w:val="00725978"/>
    <w:rsid w:val="00725F16"/>
    <w:rsid w:val="00726C15"/>
    <w:rsid w:val="0073059A"/>
    <w:rsid w:val="00730CB0"/>
    <w:rsid w:val="00731F07"/>
    <w:rsid w:val="00732277"/>
    <w:rsid w:val="00733536"/>
    <w:rsid w:val="007352F7"/>
    <w:rsid w:val="007354BB"/>
    <w:rsid w:val="007368EB"/>
    <w:rsid w:val="0073745B"/>
    <w:rsid w:val="00737A12"/>
    <w:rsid w:val="007411AF"/>
    <w:rsid w:val="007453AE"/>
    <w:rsid w:val="007465D7"/>
    <w:rsid w:val="00747F2D"/>
    <w:rsid w:val="007509E9"/>
    <w:rsid w:val="007513D8"/>
    <w:rsid w:val="00752341"/>
    <w:rsid w:val="00752396"/>
    <w:rsid w:val="0075264F"/>
    <w:rsid w:val="00753446"/>
    <w:rsid w:val="00754AAC"/>
    <w:rsid w:val="00755BFD"/>
    <w:rsid w:val="00760C09"/>
    <w:rsid w:val="007620E5"/>
    <w:rsid w:val="0076251F"/>
    <w:rsid w:val="00762A69"/>
    <w:rsid w:val="007667B8"/>
    <w:rsid w:val="00766B4E"/>
    <w:rsid w:val="007714CD"/>
    <w:rsid w:val="00773035"/>
    <w:rsid w:val="00773077"/>
    <w:rsid w:val="007731C7"/>
    <w:rsid w:val="0077340D"/>
    <w:rsid w:val="0077597D"/>
    <w:rsid w:val="007764F7"/>
    <w:rsid w:val="0077734B"/>
    <w:rsid w:val="00780491"/>
    <w:rsid w:val="0078069F"/>
    <w:rsid w:val="007807C7"/>
    <w:rsid w:val="00781808"/>
    <w:rsid w:val="00781A8E"/>
    <w:rsid w:val="00782421"/>
    <w:rsid w:val="007827AB"/>
    <w:rsid w:val="007839F6"/>
    <w:rsid w:val="0078488A"/>
    <w:rsid w:val="007851F7"/>
    <w:rsid w:val="0079024C"/>
    <w:rsid w:val="007917FC"/>
    <w:rsid w:val="00793975"/>
    <w:rsid w:val="00796573"/>
    <w:rsid w:val="007A01B1"/>
    <w:rsid w:val="007A13F6"/>
    <w:rsid w:val="007A1AE3"/>
    <w:rsid w:val="007A1D22"/>
    <w:rsid w:val="007A2313"/>
    <w:rsid w:val="007A26F2"/>
    <w:rsid w:val="007A2DAA"/>
    <w:rsid w:val="007A30C4"/>
    <w:rsid w:val="007A4859"/>
    <w:rsid w:val="007A4A12"/>
    <w:rsid w:val="007A5151"/>
    <w:rsid w:val="007A6272"/>
    <w:rsid w:val="007A6CC4"/>
    <w:rsid w:val="007A6DA6"/>
    <w:rsid w:val="007B0C35"/>
    <w:rsid w:val="007B1A9D"/>
    <w:rsid w:val="007B2537"/>
    <w:rsid w:val="007B25A2"/>
    <w:rsid w:val="007B300F"/>
    <w:rsid w:val="007B445D"/>
    <w:rsid w:val="007B4769"/>
    <w:rsid w:val="007B47F2"/>
    <w:rsid w:val="007B490E"/>
    <w:rsid w:val="007B5886"/>
    <w:rsid w:val="007B5B77"/>
    <w:rsid w:val="007B686B"/>
    <w:rsid w:val="007B7317"/>
    <w:rsid w:val="007C073A"/>
    <w:rsid w:val="007C18B2"/>
    <w:rsid w:val="007C1F42"/>
    <w:rsid w:val="007C474C"/>
    <w:rsid w:val="007C507E"/>
    <w:rsid w:val="007C6833"/>
    <w:rsid w:val="007C7096"/>
    <w:rsid w:val="007D00F8"/>
    <w:rsid w:val="007D36D8"/>
    <w:rsid w:val="007D37E2"/>
    <w:rsid w:val="007D49B2"/>
    <w:rsid w:val="007D4CD8"/>
    <w:rsid w:val="007D5D1A"/>
    <w:rsid w:val="007D5DCA"/>
    <w:rsid w:val="007D5E68"/>
    <w:rsid w:val="007D6335"/>
    <w:rsid w:val="007D76F1"/>
    <w:rsid w:val="007E0B68"/>
    <w:rsid w:val="007E3238"/>
    <w:rsid w:val="007E50D8"/>
    <w:rsid w:val="007E5341"/>
    <w:rsid w:val="007E543D"/>
    <w:rsid w:val="007E54A1"/>
    <w:rsid w:val="007E5ED8"/>
    <w:rsid w:val="007E7143"/>
    <w:rsid w:val="007F16A3"/>
    <w:rsid w:val="007F1F50"/>
    <w:rsid w:val="007F212D"/>
    <w:rsid w:val="007F7015"/>
    <w:rsid w:val="007F7ACD"/>
    <w:rsid w:val="00801093"/>
    <w:rsid w:val="00801222"/>
    <w:rsid w:val="00801D54"/>
    <w:rsid w:val="0080387F"/>
    <w:rsid w:val="0080562C"/>
    <w:rsid w:val="0080595D"/>
    <w:rsid w:val="00806CCF"/>
    <w:rsid w:val="00807370"/>
    <w:rsid w:val="008077C3"/>
    <w:rsid w:val="00807A37"/>
    <w:rsid w:val="00811517"/>
    <w:rsid w:val="008115AB"/>
    <w:rsid w:val="00813460"/>
    <w:rsid w:val="0081600E"/>
    <w:rsid w:val="00820EEA"/>
    <w:rsid w:val="00820FB5"/>
    <w:rsid w:val="00821064"/>
    <w:rsid w:val="00821483"/>
    <w:rsid w:val="00821679"/>
    <w:rsid w:val="00821AB1"/>
    <w:rsid w:val="00821DB1"/>
    <w:rsid w:val="0082316F"/>
    <w:rsid w:val="00823EA9"/>
    <w:rsid w:val="0082434E"/>
    <w:rsid w:val="008272FD"/>
    <w:rsid w:val="0082750D"/>
    <w:rsid w:val="0083557D"/>
    <w:rsid w:val="00837008"/>
    <w:rsid w:val="0083713E"/>
    <w:rsid w:val="0083761F"/>
    <w:rsid w:val="008400AA"/>
    <w:rsid w:val="008400BC"/>
    <w:rsid w:val="0084048D"/>
    <w:rsid w:val="00840B67"/>
    <w:rsid w:val="008410CE"/>
    <w:rsid w:val="00842DDA"/>
    <w:rsid w:val="00845824"/>
    <w:rsid w:val="00846A03"/>
    <w:rsid w:val="00846EA1"/>
    <w:rsid w:val="008478BC"/>
    <w:rsid w:val="00847F78"/>
    <w:rsid w:val="008506ED"/>
    <w:rsid w:val="00850F55"/>
    <w:rsid w:val="008511C8"/>
    <w:rsid w:val="00851330"/>
    <w:rsid w:val="00851607"/>
    <w:rsid w:val="00851CB0"/>
    <w:rsid w:val="00852965"/>
    <w:rsid w:val="008529A1"/>
    <w:rsid w:val="00852ACB"/>
    <w:rsid w:val="00852B47"/>
    <w:rsid w:val="00853539"/>
    <w:rsid w:val="00854C67"/>
    <w:rsid w:val="00854D5D"/>
    <w:rsid w:val="00854FAE"/>
    <w:rsid w:val="0085502E"/>
    <w:rsid w:val="008558B8"/>
    <w:rsid w:val="00856A8B"/>
    <w:rsid w:val="008572C2"/>
    <w:rsid w:val="00860245"/>
    <w:rsid w:val="008620C5"/>
    <w:rsid w:val="008621E9"/>
    <w:rsid w:val="00862856"/>
    <w:rsid w:val="0086413A"/>
    <w:rsid w:val="00864E1C"/>
    <w:rsid w:val="00865004"/>
    <w:rsid w:val="00865787"/>
    <w:rsid w:val="008663C3"/>
    <w:rsid w:val="00867043"/>
    <w:rsid w:val="008672EB"/>
    <w:rsid w:val="00867908"/>
    <w:rsid w:val="00867F40"/>
    <w:rsid w:val="008707B1"/>
    <w:rsid w:val="0087094D"/>
    <w:rsid w:val="00871FC9"/>
    <w:rsid w:val="00873718"/>
    <w:rsid w:val="0087568F"/>
    <w:rsid w:val="0087693D"/>
    <w:rsid w:val="00885FCE"/>
    <w:rsid w:val="0088709C"/>
    <w:rsid w:val="008900D8"/>
    <w:rsid w:val="00891113"/>
    <w:rsid w:val="00891F16"/>
    <w:rsid w:val="008958E8"/>
    <w:rsid w:val="008A0B5C"/>
    <w:rsid w:val="008A109D"/>
    <w:rsid w:val="008A14AE"/>
    <w:rsid w:val="008A1CDD"/>
    <w:rsid w:val="008A1F23"/>
    <w:rsid w:val="008A42F9"/>
    <w:rsid w:val="008A4520"/>
    <w:rsid w:val="008A54F4"/>
    <w:rsid w:val="008A5FC8"/>
    <w:rsid w:val="008A6726"/>
    <w:rsid w:val="008A71F9"/>
    <w:rsid w:val="008A74C6"/>
    <w:rsid w:val="008B070A"/>
    <w:rsid w:val="008B18E4"/>
    <w:rsid w:val="008B21CE"/>
    <w:rsid w:val="008B333C"/>
    <w:rsid w:val="008B3B39"/>
    <w:rsid w:val="008B574B"/>
    <w:rsid w:val="008B58E1"/>
    <w:rsid w:val="008B65D0"/>
    <w:rsid w:val="008B7C20"/>
    <w:rsid w:val="008C0206"/>
    <w:rsid w:val="008C06DB"/>
    <w:rsid w:val="008C0812"/>
    <w:rsid w:val="008C0AB6"/>
    <w:rsid w:val="008C2193"/>
    <w:rsid w:val="008C3506"/>
    <w:rsid w:val="008C44CE"/>
    <w:rsid w:val="008C48CF"/>
    <w:rsid w:val="008C5AA7"/>
    <w:rsid w:val="008C670A"/>
    <w:rsid w:val="008D0311"/>
    <w:rsid w:val="008D106C"/>
    <w:rsid w:val="008D1B0F"/>
    <w:rsid w:val="008D1D02"/>
    <w:rsid w:val="008D1F4E"/>
    <w:rsid w:val="008D3448"/>
    <w:rsid w:val="008D37C7"/>
    <w:rsid w:val="008D3B34"/>
    <w:rsid w:val="008D42D5"/>
    <w:rsid w:val="008D48D2"/>
    <w:rsid w:val="008E01EC"/>
    <w:rsid w:val="008E14E7"/>
    <w:rsid w:val="008E2133"/>
    <w:rsid w:val="008E2531"/>
    <w:rsid w:val="008E2541"/>
    <w:rsid w:val="008E32CD"/>
    <w:rsid w:val="008E37A0"/>
    <w:rsid w:val="008E4369"/>
    <w:rsid w:val="008E631D"/>
    <w:rsid w:val="008E64C0"/>
    <w:rsid w:val="008E68A8"/>
    <w:rsid w:val="008E69A4"/>
    <w:rsid w:val="008E6EAF"/>
    <w:rsid w:val="008F06AE"/>
    <w:rsid w:val="008F07A8"/>
    <w:rsid w:val="008F1590"/>
    <w:rsid w:val="008F332B"/>
    <w:rsid w:val="008F3C78"/>
    <w:rsid w:val="008F4A33"/>
    <w:rsid w:val="008F6B9C"/>
    <w:rsid w:val="008F6E6B"/>
    <w:rsid w:val="009006B2"/>
    <w:rsid w:val="009007EE"/>
    <w:rsid w:val="0090113E"/>
    <w:rsid w:val="00901EA5"/>
    <w:rsid w:val="00901EF3"/>
    <w:rsid w:val="009021C1"/>
    <w:rsid w:val="00902206"/>
    <w:rsid w:val="00902A33"/>
    <w:rsid w:val="00903FE9"/>
    <w:rsid w:val="009054C5"/>
    <w:rsid w:val="00905860"/>
    <w:rsid w:val="009058F0"/>
    <w:rsid w:val="00906E0E"/>
    <w:rsid w:val="0090716F"/>
    <w:rsid w:val="00910C4E"/>
    <w:rsid w:val="00911862"/>
    <w:rsid w:val="00911DAD"/>
    <w:rsid w:val="00912170"/>
    <w:rsid w:val="00912386"/>
    <w:rsid w:val="009166BC"/>
    <w:rsid w:val="00916881"/>
    <w:rsid w:val="00916E3C"/>
    <w:rsid w:val="00920A4E"/>
    <w:rsid w:val="009210CB"/>
    <w:rsid w:val="00923368"/>
    <w:rsid w:val="00923697"/>
    <w:rsid w:val="009248E8"/>
    <w:rsid w:val="00924D63"/>
    <w:rsid w:val="00925028"/>
    <w:rsid w:val="00925AC5"/>
    <w:rsid w:val="009304E9"/>
    <w:rsid w:val="00931601"/>
    <w:rsid w:val="0093342C"/>
    <w:rsid w:val="009338F9"/>
    <w:rsid w:val="00934059"/>
    <w:rsid w:val="00934BE7"/>
    <w:rsid w:val="00935364"/>
    <w:rsid w:val="00935BF5"/>
    <w:rsid w:val="00935D95"/>
    <w:rsid w:val="00935E1A"/>
    <w:rsid w:val="00936869"/>
    <w:rsid w:val="00941BCE"/>
    <w:rsid w:val="00943130"/>
    <w:rsid w:val="00946480"/>
    <w:rsid w:val="009502CC"/>
    <w:rsid w:val="00950820"/>
    <w:rsid w:val="0095134E"/>
    <w:rsid w:val="00951F8E"/>
    <w:rsid w:val="00951F9B"/>
    <w:rsid w:val="0095299D"/>
    <w:rsid w:val="00952B4A"/>
    <w:rsid w:val="00952FF3"/>
    <w:rsid w:val="00953458"/>
    <w:rsid w:val="009535F7"/>
    <w:rsid w:val="00953CA0"/>
    <w:rsid w:val="009545F3"/>
    <w:rsid w:val="00955AD5"/>
    <w:rsid w:val="00956A57"/>
    <w:rsid w:val="00961897"/>
    <w:rsid w:val="00964518"/>
    <w:rsid w:val="00965981"/>
    <w:rsid w:val="00966264"/>
    <w:rsid w:val="009702BC"/>
    <w:rsid w:val="00970CD1"/>
    <w:rsid w:val="00970E87"/>
    <w:rsid w:val="00971779"/>
    <w:rsid w:val="0097204E"/>
    <w:rsid w:val="00972145"/>
    <w:rsid w:val="00972B82"/>
    <w:rsid w:val="00972C86"/>
    <w:rsid w:val="00975636"/>
    <w:rsid w:val="00975E02"/>
    <w:rsid w:val="009777B4"/>
    <w:rsid w:val="00980647"/>
    <w:rsid w:val="00983A78"/>
    <w:rsid w:val="00983CEA"/>
    <w:rsid w:val="00984335"/>
    <w:rsid w:val="00984F80"/>
    <w:rsid w:val="00984FB9"/>
    <w:rsid w:val="0098720C"/>
    <w:rsid w:val="0099017C"/>
    <w:rsid w:val="009909EA"/>
    <w:rsid w:val="00990FAD"/>
    <w:rsid w:val="00991840"/>
    <w:rsid w:val="00991A68"/>
    <w:rsid w:val="0099235A"/>
    <w:rsid w:val="00992B3D"/>
    <w:rsid w:val="00992C3E"/>
    <w:rsid w:val="00992F7E"/>
    <w:rsid w:val="0099557B"/>
    <w:rsid w:val="0099566E"/>
    <w:rsid w:val="009962EE"/>
    <w:rsid w:val="00996C7C"/>
    <w:rsid w:val="00997939"/>
    <w:rsid w:val="00997979"/>
    <w:rsid w:val="00997FEF"/>
    <w:rsid w:val="009A0285"/>
    <w:rsid w:val="009A0BD5"/>
    <w:rsid w:val="009A1CC6"/>
    <w:rsid w:val="009A294E"/>
    <w:rsid w:val="009A35B1"/>
    <w:rsid w:val="009A60FB"/>
    <w:rsid w:val="009A63F4"/>
    <w:rsid w:val="009A7BAF"/>
    <w:rsid w:val="009B0724"/>
    <w:rsid w:val="009B08E1"/>
    <w:rsid w:val="009B288E"/>
    <w:rsid w:val="009B36E0"/>
    <w:rsid w:val="009B3B51"/>
    <w:rsid w:val="009B3C83"/>
    <w:rsid w:val="009B4F14"/>
    <w:rsid w:val="009B65A2"/>
    <w:rsid w:val="009B768C"/>
    <w:rsid w:val="009B7909"/>
    <w:rsid w:val="009C0A76"/>
    <w:rsid w:val="009C1185"/>
    <w:rsid w:val="009C2653"/>
    <w:rsid w:val="009C6348"/>
    <w:rsid w:val="009C7260"/>
    <w:rsid w:val="009C77D1"/>
    <w:rsid w:val="009D0ABC"/>
    <w:rsid w:val="009D1463"/>
    <w:rsid w:val="009D2739"/>
    <w:rsid w:val="009D4496"/>
    <w:rsid w:val="009D6EDA"/>
    <w:rsid w:val="009D7DE2"/>
    <w:rsid w:val="009E0DC1"/>
    <w:rsid w:val="009E2701"/>
    <w:rsid w:val="009E3F39"/>
    <w:rsid w:val="009E4315"/>
    <w:rsid w:val="009E4A42"/>
    <w:rsid w:val="009E4C74"/>
    <w:rsid w:val="009E51B0"/>
    <w:rsid w:val="009F02A2"/>
    <w:rsid w:val="009F14AF"/>
    <w:rsid w:val="009F23DC"/>
    <w:rsid w:val="009F35F7"/>
    <w:rsid w:val="009F3B22"/>
    <w:rsid w:val="009F4C3E"/>
    <w:rsid w:val="009F69F0"/>
    <w:rsid w:val="00A00325"/>
    <w:rsid w:val="00A022EE"/>
    <w:rsid w:val="00A02C7F"/>
    <w:rsid w:val="00A02D57"/>
    <w:rsid w:val="00A039FE"/>
    <w:rsid w:val="00A0403A"/>
    <w:rsid w:val="00A058B6"/>
    <w:rsid w:val="00A10076"/>
    <w:rsid w:val="00A128A7"/>
    <w:rsid w:val="00A12BA7"/>
    <w:rsid w:val="00A13BDC"/>
    <w:rsid w:val="00A13D6C"/>
    <w:rsid w:val="00A14C00"/>
    <w:rsid w:val="00A159D0"/>
    <w:rsid w:val="00A16D0F"/>
    <w:rsid w:val="00A20C9C"/>
    <w:rsid w:val="00A21EC5"/>
    <w:rsid w:val="00A229BC"/>
    <w:rsid w:val="00A24882"/>
    <w:rsid w:val="00A269A8"/>
    <w:rsid w:val="00A27AD5"/>
    <w:rsid w:val="00A31B58"/>
    <w:rsid w:val="00A31FB3"/>
    <w:rsid w:val="00A32D4F"/>
    <w:rsid w:val="00A3306C"/>
    <w:rsid w:val="00A35CF6"/>
    <w:rsid w:val="00A3658F"/>
    <w:rsid w:val="00A36733"/>
    <w:rsid w:val="00A371F5"/>
    <w:rsid w:val="00A37B14"/>
    <w:rsid w:val="00A4013A"/>
    <w:rsid w:val="00A40782"/>
    <w:rsid w:val="00A40FFF"/>
    <w:rsid w:val="00A41091"/>
    <w:rsid w:val="00A414BF"/>
    <w:rsid w:val="00A42A46"/>
    <w:rsid w:val="00A42DA7"/>
    <w:rsid w:val="00A43205"/>
    <w:rsid w:val="00A4457C"/>
    <w:rsid w:val="00A44E26"/>
    <w:rsid w:val="00A45873"/>
    <w:rsid w:val="00A45BB7"/>
    <w:rsid w:val="00A461BF"/>
    <w:rsid w:val="00A4709E"/>
    <w:rsid w:val="00A479EC"/>
    <w:rsid w:val="00A47F35"/>
    <w:rsid w:val="00A50E09"/>
    <w:rsid w:val="00A53047"/>
    <w:rsid w:val="00A53C97"/>
    <w:rsid w:val="00A54B19"/>
    <w:rsid w:val="00A55F62"/>
    <w:rsid w:val="00A57D6D"/>
    <w:rsid w:val="00A61F9A"/>
    <w:rsid w:val="00A62496"/>
    <w:rsid w:val="00A62FE9"/>
    <w:rsid w:val="00A6391B"/>
    <w:rsid w:val="00A63A2C"/>
    <w:rsid w:val="00A67AB1"/>
    <w:rsid w:val="00A7012E"/>
    <w:rsid w:val="00A72A9F"/>
    <w:rsid w:val="00A73D41"/>
    <w:rsid w:val="00A745C6"/>
    <w:rsid w:val="00A777DC"/>
    <w:rsid w:val="00A810B0"/>
    <w:rsid w:val="00A81256"/>
    <w:rsid w:val="00A82C3F"/>
    <w:rsid w:val="00A840E4"/>
    <w:rsid w:val="00A84A9F"/>
    <w:rsid w:val="00A85617"/>
    <w:rsid w:val="00A85E8F"/>
    <w:rsid w:val="00A86D94"/>
    <w:rsid w:val="00A90050"/>
    <w:rsid w:val="00A90E7E"/>
    <w:rsid w:val="00A90ED6"/>
    <w:rsid w:val="00A90F3F"/>
    <w:rsid w:val="00A91254"/>
    <w:rsid w:val="00A91F11"/>
    <w:rsid w:val="00A92767"/>
    <w:rsid w:val="00A92B42"/>
    <w:rsid w:val="00A92BD1"/>
    <w:rsid w:val="00A938A8"/>
    <w:rsid w:val="00A94674"/>
    <w:rsid w:val="00A94AC0"/>
    <w:rsid w:val="00A94CF1"/>
    <w:rsid w:val="00A958B3"/>
    <w:rsid w:val="00A966BA"/>
    <w:rsid w:val="00A96BE2"/>
    <w:rsid w:val="00AA2F51"/>
    <w:rsid w:val="00AA55F6"/>
    <w:rsid w:val="00AA6016"/>
    <w:rsid w:val="00AA6241"/>
    <w:rsid w:val="00AB0FE1"/>
    <w:rsid w:val="00AB2483"/>
    <w:rsid w:val="00AB325D"/>
    <w:rsid w:val="00AB3269"/>
    <w:rsid w:val="00AB3661"/>
    <w:rsid w:val="00AB3AF9"/>
    <w:rsid w:val="00AB4F98"/>
    <w:rsid w:val="00AB5785"/>
    <w:rsid w:val="00AB5EA1"/>
    <w:rsid w:val="00AC03AC"/>
    <w:rsid w:val="00AC191A"/>
    <w:rsid w:val="00AC298B"/>
    <w:rsid w:val="00AC3400"/>
    <w:rsid w:val="00AC3734"/>
    <w:rsid w:val="00AC39B7"/>
    <w:rsid w:val="00AC3B61"/>
    <w:rsid w:val="00AC407D"/>
    <w:rsid w:val="00AC4B92"/>
    <w:rsid w:val="00AC5D15"/>
    <w:rsid w:val="00AC7132"/>
    <w:rsid w:val="00AC746C"/>
    <w:rsid w:val="00AC7A08"/>
    <w:rsid w:val="00AC7F79"/>
    <w:rsid w:val="00AD0D5F"/>
    <w:rsid w:val="00AD1CD7"/>
    <w:rsid w:val="00AD2C54"/>
    <w:rsid w:val="00AD4504"/>
    <w:rsid w:val="00AD5C24"/>
    <w:rsid w:val="00AD651F"/>
    <w:rsid w:val="00AD754B"/>
    <w:rsid w:val="00AD7D98"/>
    <w:rsid w:val="00AE0270"/>
    <w:rsid w:val="00AE0F93"/>
    <w:rsid w:val="00AE1BAE"/>
    <w:rsid w:val="00AE2777"/>
    <w:rsid w:val="00AE2C81"/>
    <w:rsid w:val="00AE30F3"/>
    <w:rsid w:val="00AE3CF2"/>
    <w:rsid w:val="00AE5644"/>
    <w:rsid w:val="00AE6B87"/>
    <w:rsid w:val="00AE6C10"/>
    <w:rsid w:val="00AE7832"/>
    <w:rsid w:val="00AF2156"/>
    <w:rsid w:val="00AF2817"/>
    <w:rsid w:val="00AF2FEA"/>
    <w:rsid w:val="00AF4464"/>
    <w:rsid w:val="00AF4A6A"/>
    <w:rsid w:val="00AF4CB7"/>
    <w:rsid w:val="00AF51F5"/>
    <w:rsid w:val="00AF6BFE"/>
    <w:rsid w:val="00B00FA6"/>
    <w:rsid w:val="00B03B84"/>
    <w:rsid w:val="00B03CA0"/>
    <w:rsid w:val="00B044A6"/>
    <w:rsid w:val="00B05D71"/>
    <w:rsid w:val="00B06634"/>
    <w:rsid w:val="00B069DC"/>
    <w:rsid w:val="00B074B3"/>
    <w:rsid w:val="00B07D4C"/>
    <w:rsid w:val="00B10236"/>
    <w:rsid w:val="00B12A90"/>
    <w:rsid w:val="00B13007"/>
    <w:rsid w:val="00B131DA"/>
    <w:rsid w:val="00B1349B"/>
    <w:rsid w:val="00B1379D"/>
    <w:rsid w:val="00B13E3D"/>
    <w:rsid w:val="00B1465F"/>
    <w:rsid w:val="00B1559C"/>
    <w:rsid w:val="00B15602"/>
    <w:rsid w:val="00B15C04"/>
    <w:rsid w:val="00B1732F"/>
    <w:rsid w:val="00B200C0"/>
    <w:rsid w:val="00B20AA3"/>
    <w:rsid w:val="00B22518"/>
    <w:rsid w:val="00B231BE"/>
    <w:rsid w:val="00B23A9F"/>
    <w:rsid w:val="00B24375"/>
    <w:rsid w:val="00B25686"/>
    <w:rsid w:val="00B26524"/>
    <w:rsid w:val="00B30CF6"/>
    <w:rsid w:val="00B31152"/>
    <w:rsid w:val="00B31F80"/>
    <w:rsid w:val="00B327BC"/>
    <w:rsid w:val="00B32EB9"/>
    <w:rsid w:val="00B34915"/>
    <w:rsid w:val="00B34E95"/>
    <w:rsid w:val="00B36D74"/>
    <w:rsid w:val="00B377ED"/>
    <w:rsid w:val="00B40AEF"/>
    <w:rsid w:val="00B40CE9"/>
    <w:rsid w:val="00B40D25"/>
    <w:rsid w:val="00B419D6"/>
    <w:rsid w:val="00B41D44"/>
    <w:rsid w:val="00B4372E"/>
    <w:rsid w:val="00B51DA9"/>
    <w:rsid w:val="00B546B0"/>
    <w:rsid w:val="00B54830"/>
    <w:rsid w:val="00B55475"/>
    <w:rsid w:val="00B569BC"/>
    <w:rsid w:val="00B56E46"/>
    <w:rsid w:val="00B5773A"/>
    <w:rsid w:val="00B5784D"/>
    <w:rsid w:val="00B610D0"/>
    <w:rsid w:val="00B61103"/>
    <w:rsid w:val="00B623B5"/>
    <w:rsid w:val="00B62D99"/>
    <w:rsid w:val="00B648AE"/>
    <w:rsid w:val="00B64EED"/>
    <w:rsid w:val="00B671C6"/>
    <w:rsid w:val="00B678A4"/>
    <w:rsid w:val="00B67DE9"/>
    <w:rsid w:val="00B710EC"/>
    <w:rsid w:val="00B71A6D"/>
    <w:rsid w:val="00B72504"/>
    <w:rsid w:val="00B74725"/>
    <w:rsid w:val="00B74B20"/>
    <w:rsid w:val="00B74ED1"/>
    <w:rsid w:val="00B76EB5"/>
    <w:rsid w:val="00B77D9A"/>
    <w:rsid w:val="00B80F94"/>
    <w:rsid w:val="00B81237"/>
    <w:rsid w:val="00B81F6A"/>
    <w:rsid w:val="00B82D3D"/>
    <w:rsid w:val="00B8540C"/>
    <w:rsid w:val="00B86CD6"/>
    <w:rsid w:val="00B87400"/>
    <w:rsid w:val="00B916A4"/>
    <w:rsid w:val="00B91D88"/>
    <w:rsid w:val="00B926A6"/>
    <w:rsid w:val="00B92C67"/>
    <w:rsid w:val="00B93E23"/>
    <w:rsid w:val="00B9403D"/>
    <w:rsid w:val="00B9405E"/>
    <w:rsid w:val="00B94211"/>
    <w:rsid w:val="00B960F6"/>
    <w:rsid w:val="00BA0697"/>
    <w:rsid w:val="00BA0865"/>
    <w:rsid w:val="00BA4314"/>
    <w:rsid w:val="00BA541A"/>
    <w:rsid w:val="00BA5A29"/>
    <w:rsid w:val="00BA65C5"/>
    <w:rsid w:val="00BA7044"/>
    <w:rsid w:val="00BB0625"/>
    <w:rsid w:val="00BB44CF"/>
    <w:rsid w:val="00BB50A8"/>
    <w:rsid w:val="00BB54C2"/>
    <w:rsid w:val="00BB5B8E"/>
    <w:rsid w:val="00BB5E84"/>
    <w:rsid w:val="00BB63BB"/>
    <w:rsid w:val="00BB6636"/>
    <w:rsid w:val="00BC0D8E"/>
    <w:rsid w:val="00BC1BAA"/>
    <w:rsid w:val="00BC1E2E"/>
    <w:rsid w:val="00BC24C8"/>
    <w:rsid w:val="00BC4CDB"/>
    <w:rsid w:val="00BC5957"/>
    <w:rsid w:val="00BC5BD1"/>
    <w:rsid w:val="00BC6C1E"/>
    <w:rsid w:val="00BC7170"/>
    <w:rsid w:val="00BC71FC"/>
    <w:rsid w:val="00BD24F8"/>
    <w:rsid w:val="00BD36AC"/>
    <w:rsid w:val="00BD3E86"/>
    <w:rsid w:val="00BD44B1"/>
    <w:rsid w:val="00BD4CBF"/>
    <w:rsid w:val="00BD4E92"/>
    <w:rsid w:val="00BD57E9"/>
    <w:rsid w:val="00BD67DD"/>
    <w:rsid w:val="00BD6DBB"/>
    <w:rsid w:val="00BE0815"/>
    <w:rsid w:val="00BE13C3"/>
    <w:rsid w:val="00BE169E"/>
    <w:rsid w:val="00BE1E59"/>
    <w:rsid w:val="00BE2978"/>
    <w:rsid w:val="00BE354C"/>
    <w:rsid w:val="00BE3F44"/>
    <w:rsid w:val="00BE3FCD"/>
    <w:rsid w:val="00BE4CC2"/>
    <w:rsid w:val="00BE4F4B"/>
    <w:rsid w:val="00BE5738"/>
    <w:rsid w:val="00BE605C"/>
    <w:rsid w:val="00BE6943"/>
    <w:rsid w:val="00BE7ACC"/>
    <w:rsid w:val="00BF2420"/>
    <w:rsid w:val="00BF3992"/>
    <w:rsid w:val="00BF3B06"/>
    <w:rsid w:val="00BF4B19"/>
    <w:rsid w:val="00BF5116"/>
    <w:rsid w:val="00BF6C55"/>
    <w:rsid w:val="00BF74D0"/>
    <w:rsid w:val="00BF7AC7"/>
    <w:rsid w:val="00BF7E5D"/>
    <w:rsid w:val="00C006E3"/>
    <w:rsid w:val="00C01FD4"/>
    <w:rsid w:val="00C03285"/>
    <w:rsid w:val="00C03907"/>
    <w:rsid w:val="00C05E7C"/>
    <w:rsid w:val="00C06FB3"/>
    <w:rsid w:val="00C07CAA"/>
    <w:rsid w:val="00C1024C"/>
    <w:rsid w:val="00C1031A"/>
    <w:rsid w:val="00C10D49"/>
    <w:rsid w:val="00C10ECB"/>
    <w:rsid w:val="00C11094"/>
    <w:rsid w:val="00C148EB"/>
    <w:rsid w:val="00C15BE9"/>
    <w:rsid w:val="00C16125"/>
    <w:rsid w:val="00C16C68"/>
    <w:rsid w:val="00C176D6"/>
    <w:rsid w:val="00C21DFD"/>
    <w:rsid w:val="00C22B49"/>
    <w:rsid w:val="00C22CDA"/>
    <w:rsid w:val="00C22DBB"/>
    <w:rsid w:val="00C22DDE"/>
    <w:rsid w:val="00C27883"/>
    <w:rsid w:val="00C30566"/>
    <w:rsid w:val="00C30C8F"/>
    <w:rsid w:val="00C310BB"/>
    <w:rsid w:val="00C31AEA"/>
    <w:rsid w:val="00C3476B"/>
    <w:rsid w:val="00C35157"/>
    <w:rsid w:val="00C35176"/>
    <w:rsid w:val="00C3518F"/>
    <w:rsid w:val="00C35588"/>
    <w:rsid w:val="00C37B28"/>
    <w:rsid w:val="00C403AC"/>
    <w:rsid w:val="00C40C95"/>
    <w:rsid w:val="00C40CFD"/>
    <w:rsid w:val="00C42760"/>
    <w:rsid w:val="00C4409A"/>
    <w:rsid w:val="00C4450E"/>
    <w:rsid w:val="00C44544"/>
    <w:rsid w:val="00C44C8D"/>
    <w:rsid w:val="00C450A2"/>
    <w:rsid w:val="00C454B7"/>
    <w:rsid w:val="00C459D4"/>
    <w:rsid w:val="00C4636D"/>
    <w:rsid w:val="00C476B9"/>
    <w:rsid w:val="00C50664"/>
    <w:rsid w:val="00C50ED1"/>
    <w:rsid w:val="00C51125"/>
    <w:rsid w:val="00C55301"/>
    <w:rsid w:val="00C57CB5"/>
    <w:rsid w:val="00C57FCB"/>
    <w:rsid w:val="00C6060C"/>
    <w:rsid w:val="00C627CF"/>
    <w:rsid w:val="00C634AB"/>
    <w:rsid w:val="00C65145"/>
    <w:rsid w:val="00C65889"/>
    <w:rsid w:val="00C6620A"/>
    <w:rsid w:val="00C67938"/>
    <w:rsid w:val="00C70829"/>
    <w:rsid w:val="00C71D92"/>
    <w:rsid w:val="00C72C1F"/>
    <w:rsid w:val="00C74437"/>
    <w:rsid w:val="00C75577"/>
    <w:rsid w:val="00C75598"/>
    <w:rsid w:val="00C75DA7"/>
    <w:rsid w:val="00C768D2"/>
    <w:rsid w:val="00C77BBF"/>
    <w:rsid w:val="00C803A5"/>
    <w:rsid w:val="00C847EB"/>
    <w:rsid w:val="00C8696E"/>
    <w:rsid w:val="00C86BCA"/>
    <w:rsid w:val="00C87C9A"/>
    <w:rsid w:val="00C91237"/>
    <w:rsid w:val="00C9145B"/>
    <w:rsid w:val="00C92512"/>
    <w:rsid w:val="00C92FFC"/>
    <w:rsid w:val="00C943A1"/>
    <w:rsid w:val="00C94B39"/>
    <w:rsid w:val="00C95BF0"/>
    <w:rsid w:val="00C961F7"/>
    <w:rsid w:val="00C9769B"/>
    <w:rsid w:val="00CA1CCC"/>
    <w:rsid w:val="00CA2B45"/>
    <w:rsid w:val="00CA3580"/>
    <w:rsid w:val="00CA4B92"/>
    <w:rsid w:val="00CA55B0"/>
    <w:rsid w:val="00CA6024"/>
    <w:rsid w:val="00CA6AB3"/>
    <w:rsid w:val="00CA6B78"/>
    <w:rsid w:val="00CB08F9"/>
    <w:rsid w:val="00CB14C0"/>
    <w:rsid w:val="00CB2DE6"/>
    <w:rsid w:val="00CB46D1"/>
    <w:rsid w:val="00CB5351"/>
    <w:rsid w:val="00CB62E4"/>
    <w:rsid w:val="00CB6ECF"/>
    <w:rsid w:val="00CB701A"/>
    <w:rsid w:val="00CB792A"/>
    <w:rsid w:val="00CB7E0E"/>
    <w:rsid w:val="00CC00A4"/>
    <w:rsid w:val="00CC3D6C"/>
    <w:rsid w:val="00CC4C49"/>
    <w:rsid w:val="00CC4DD6"/>
    <w:rsid w:val="00CC7129"/>
    <w:rsid w:val="00CD00BD"/>
    <w:rsid w:val="00CD158B"/>
    <w:rsid w:val="00CD29AB"/>
    <w:rsid w:val="00CD311D"/>
    <w:rsid w:val="00CD35BE"/>
    <w:rsid w:val="00CD3788"/>
    <w:rsid w:val="00CD4A0B"/>
    <w:rsid w:val="00CD4F6C"/>
    <w:rsid w:val="00CE0E9A"/>
    <w:rsid w:val="00CE455A"/>
    <w:rsid w:val="00CE774E"/>
    <w:rsid w:val="00CE7A8C"/>
    <w:rsid w:val="00CF188C"/>
    <w:rsid w:val="00CF1959"/>
    <w:rsid w:val="00CF1DEF"/>
    <w:rsid w:val="00CF1FFD"/>
    <w:rsid w:val="00CF4202"/>
    <w:rsid w:val="00CF59D5"/>
    <w:rsid w:val="00D006E1"/>
    <w:rsid w:val="00D00C0C"/>
    <w:rsid w:val="00D01BAF"/>
    <w:rsid w:val="00D02528"/>
    <w:rsid w:val="00D0418B"/>
    <w:rsid w:val="00D0497F"/>
    <w:rsid w:val="00D051A0"/>
    <w:rsid w:val="00D054E8"/>
    <w:rsid w:val="00D05ADF"/>
    <w:rsid w:val="00D104BB"/>
    <w:rsid w:val="00D107DC"/>
    <w:rsid w:val="00D10E98"/>
    <w:rsid w:val="00D11D87"/>
    <w:rsid w:val="00D12245"/>
    <w:rsid w:val="00D12757"/>
    <w:rsid w:val="00D13E59"/>
    <w:rsid w:val="00D14B2D"/>
    <w:rsid w:val="00D15BE7"/>
    <w:rsid w:val="00D16E9D"/>
    <w:rsid w:val="00D20269"/>
    <w:rsid w:val="00D20B29"/>
    <w:rsid w:val="00D21D20"/>
    <w:rsid w:val="00D2292E"/>
    <w:rsid w:val="00D23E50"/>
    <w:rsid w:val="00D24555"/>
    <w:rsid w:val="00D278BA"/>
    <w:rsid w:val="00D27D8A"/>
    <w:rsid w:val="00D30FA2"/>
    <w:rsid w:val="00D3170B"/>
    <w:rsid w:val="00D31895"/>
    <w:rsid w:val="00D31A91"/>
    <w:rsid w:val="00D32637"/>
    <w:rsid w:val="00D32D08"/>
    <w:rsid w:val="00D33C49"/>
    <w:rsid w:val="00D3445D"/>
    <w:rsid w:val="00D3454A"/>
    <w:rsid w:val="00D34C57"/>
    <w:rsid w:val="00D34FE2"/>
    <w:rsid w:val="00D402B7"/>
    <w:rsid w:val="00D4051C"/>
    <w:rsid w:val="00D405C4"/>
    <w:rsid w:val="00D43030"/>
    <w:rsid w:val="00D4499E"/>
    <w:rsid w:val="00D44A33"/>
    <w:rsid w:val="00D44A49"/>
    <w:rsid w:val="00D44AF9"/>
    <w:rsid w:val="00D46EE1"/>
    <w:rsid w:val="00D5008A"/>
    <w:rsid w:val="00D50BE7"/>
    <w:rsid w:val="00D51EFD"/>
    <w:rsid w:val="00D52EB9"/>
    <w:rsid w:val="00D53B10"/>
    <w:rsid w:val="00D5439C"/>
    <w:rsid w:val="00D54420"/>
    <w:rsid w:val="00D578BC"/>
    <w:rsid w:val="00D57A39"/>
    <w:rsid w:val="00D6042C"/>
    <w:rsid w:val="00D61152"/>
    <w:rsid w:val="00D616F6"/>
    <w:rsid w:val="00D62101"/>
    <w:rsid w:val="00D6215F"/>
    <w:rsid w:val="00D6271B"/>
    <w:rsid w:val="00D62E08"/>
    <w:rsid w:val="00D632A7"/>
    <w:rsid w:val="00D64EA8"/>
    <w:rsid w:val="00D6632E"/>
    <w:rsid w:val="00D66566"/>
    <w:rsid w:val="00D72334"/>
    <w:rsid w:val="00D7342B"/>
    <w:rsid w:val="00D74705"/>
    <w:rsid w:val="00D770BB"/>
    <w:rsid w:val="00D806E3"/>
    <w:rsid w:val="00D83446"/>
    <w:rsid w:val="00D83DC8"/>
    <w:rsid w:val="00D860C0"/>
    <w:rsid w:val="00D86796"/>
    <w:rsid w:val="00D86799"/>
    <w:rsid w:val="00D87DF1"/>
    <w:rsid w:val="00D90FB9"/>
    <w:rsid w:val="00D91613"/>
    <w:rsid w:val="00D9184E"/>
    <w:rsid w:val="00D92E6F"/>
    <w:rsid w:val="00D935F2"/>
    <w:rsid w:val="00D93EA8"/>
    <w:rsid w:val="00D953CA"/>
    <w:rsid w:val="00D962CE"/>
    <w:rsid w:val="00D97789"/>
    <w:rsid w:val="00D97D5A"/>
    <w:rsid w:val="00DA1B9B"/>
    <w:rsid w:val="00DA1BD9"/>
    <w:rsid w:val="00DA1D26"/>
    <w:rsid w:val="00DA2AB0"/>
    <w:rsid w:val="00DA2EF5"/>
    <w:rsid w:val="00DA3C91"/>
    <w:rsid w:val="00DA4097"/>
    <w:rsid w:val="00DA4CB7"/>
    <w:rsid w:val="00DA63B3"/>
    <w:rsid w:val="00DB0C44"/>
    <w:rsid w:val="00DB1C79"/>
    <w:rsid w:val="00DB2B25"/>
    <w:rsid w:val="00DB421E"/>
    <w:rsid w:val="00DB44A6"/>
    <w:rsid w:val="00DB46B7"/>
    <w:rsid w:val="00DB5882"/>
    <w:rsid w:val="00DB5E02"/>
    <w:rsid w:val="00DB7E5D"/>
    <w:rsid w:val="00DC06D4"/>
    <w:rsid w:val="00DC17E9"/>
    <w:rsid w:val="00DC2806"/>
    <w:rsid w:val="00DC3F58"/>
    <w:rsid w:val="00DC4F8F"/>
    <w:rsid w:val="00DC5592"/>
    <w:rsid w:val="00DD09F6"/>
    <w:rsid w:val="00DD0AC2"/>
    <w:rsid w:val="00DD3C07"/>
    <w:rsid w:val="00DD3F53"/>
    <w:rsid w:val="00DD4A81"/>
    <w:rsid w:val="00DD50B9"/>
    <w:rsid w:val="00DD7B0C"/>
    <w:rsid w:val="00DD7B34"/>
    <w:rsid w:val="00DE0C50"/>
    <w:rsid w:val="00DE1BA0"/>
    <w:rsid w:val="00DE27A0"/>
    <w:rsid w:val="00DE2C3B"/>
    <w:rsid w:val="00DE3A3D"/>
    <w:rsid w:val="00DE3FAA"/>
    <w:rsid w:val="00DE7193"/>
    <w:rsid w:val="00DE78C4"/>
    <w:rsid w:val="00DE7F83"/>
    <w:rsid w:val="00DF0B2F"/>
    <w:rsid w:val="00DF10E5"/>
    <w:rsid w:val="00DF16A1"/>
    <w:rsid w:val="00DF1F6D"/>
    <w:rsid w:val="00DF442F"/>
    <w:rsid w:val="00DF5538"/>
    <w:rsid w:val="00DF5A91"/>
    <w:rsid w:val="00E00B73"/>
    <w:rsid w:val="00E022FD"/>
    <w:rsid w:val="00E03108"/>
    <w:rsid w:val="00E04992"/>
    <w:rsid w:val="00E054EE"/>
    <w:rsid w:val="00E05510"/>
    <w:rsid w:val="00E0562F"/>
    <w:rsid w:val="00E060C1"/>
    <w:rsid w:val="00E11B8D"/>
    <w:rsid w:val="00E123AB"/>
    <w:rsid w:val="00E12B65"/>
    <w:rsid w:val="00E12C51"/>
    <w:rsid w:val="00E13B23"/>
    <w:rsid w:val="00E13DF6"/>
    <w:rsid w:val="00E1625F"/>
    <w:rsid w:val="00E16D9E"/>
    <w:rsid w:val="00E209D6"/>
    <w:rsid w:val="00E234C7"/>
    <w:rsid w:val="00E24360"/>
    <w:rsid w:val="00E244F5"/>
    <w:rsid w:val="00E2590C"/>
    <w:rsid w:val="00E25ECC"/>
    <w:rsid w:val="00E3056F"/>
    <w:rsid w:val="00E319D6"/>
    <w:rsid w:val="00E319E2"/>
    <w:rsid w:val="00E32101"/>
    <w:rsid w:val="00E33900"/>
    <w:rsid w:val="00E345AF"/>
    <w:rsid w:val="00E34DA9"/>
    <w:rsid w:val="00E3502D"/>
    <w:rsid w:val="00E3518A"/>
    <w:rsid w:val="00E35344"/>
    <w:rsid w:val="00E365D7"/>
    <w:rsid w:val="00E37A34"/>
    <w:rsid w:val="00E40C4A"/>
    <w:rsid w:val="00E41545"/>
    <w:rsid w:val="00E41F17"/>
    <w:rsid w:val="00E4268D"/>
    <w:rsid w:val="00E42F16"/>
    <w:rsid w:val="00E43A3D"/>
    <w:rsid w:val="00E44C7D"/>
    <w:rsid w:val="00E46299"/>
    <w:rsid w:val="00E465AF"/>
    <w:rsid w:val="00E46970"/>
    <w:rsid w:val="00E47A5C"/>
    <w:rsid w:val="00E47A7E"/>
    <w:rsid w:val="00E505A1"/>
    <w:rsid w:val="00E50708"/>
    <w:rsid w:val="00E51272"/>
    <w:rsid w:val="00E51654"/>
    <w:rsid w:val="00E519B4"/>
    <w:rsid w:val="00E51A62"/>
    <w:rsid w:val="00E51E7E"/>
    <w:rsid w:val="00E52EC4"/>
    <w:rsid w:val="00E60FC4"/>
    <w:rsid w:val="00E6250E"/>
    <w:rsid w:val="00E62AFC"/>
    <w:rsid w:val="00E657AE"/>
    <w:rsid w:val="00E6593C"/>
    <w:rsid w:val="00E660A7"/>
    <w:rsid w:val="00E66E7D"/>
    <w:rsid w:val="00E7543D"/>
    <w:rsid w:val="00E77AF7"/>
    <w:rsid w:val="00E77E34"/>
    <w:rsid w:val="00E8002F"/>
    <w:rsid w:val="00E80F40"/>
    <w:rsid w:val="00E8160A"/>
    <w:rsid w:val="00E841BF"/>
    <w:rsid w:val="00E8459B"/>
    <w:rsid w:val="00E84F03"/>
    <w:rsid w:val="00E84F6A"/>
    <w:rsid w:val="00E85BC8"/>
    <w:rsid w:val="00E864F5"/>
    <w:rsid w:val="00E87179"/>
    <w:rsid w:val="00E878E9"/>
    <w:rsid w:val="00E90312"/>
    <w:rsid w:val="00E90CA8"/>
    <w:rsid w:val="00E9136A"/>
    <w:rsid w:val="00E9396D"/>
    <w:rsid w:val="00E95621"/>
    <w:rsid w:val="00E961D4"/>
    <w:rsid w:val="00E96B68"/>
    <w:rsid w:val="00E96DDC"/>
    <w:rsid w:val="00E96E7F"/>
    <w:rsid w:val="00EA06EC"/>
    <w:rsid w:val="00EA18A2"/>
    <w:rsid w:val="00EA22B8"/>
    <w:rsid w:val="00EA4318"/>
    <w:rsid w:val="00EA47DD"/>
    <w:rsid w:val="00EA56BF"/>
    <w:rsid w:val="00EA6FCE"/>
    <w:rsid w:val="00EB22D4"/>
    <w:rsid w:val="00EB4A3B"/>
    <w:rsid w:val="00EB590D"/>
    <w:rsid w:val="00EB6CEA"/>
    <w:rsid w:val="00EB7336"/>
    <w:rsid w:val="00EC1309"/>
    <w:rsid w:val="00EC24C8"/>
    <w:rsid w:val="00EC3B12"/>
    <w:rsid w:val="00EC4B12"/>
    <w:rsid w:val="00EC4CB4"/>
    <w:rsid w:val="00EC4CBE"/>
    <w:rsid w:val="00ED0E96"/>
    <w:rsid w:val="00ED14A4"/>
    <w:rsid w:val="00ED15ED"/>
    <w:rsid w:val="00ED355D"/>
    <w:rsid w:val="00ED3643"/>
    <w:rsid w:val="00ED3A37"/>
    <w:rsid w:val="00ED4664"/>
    <w:rsid w:val="00ED55A3"/>
    <w:rsid w:val="00ED5B8F"/>
    <w:rsid w:val="00ED67F6"/>
    <w:rsid w:val="00EE0A64"/>
    <w:rsid w:val="00EE1C37"/>
    <w:rsid w:val="00EE1DFA"/>
    <w:rsid w:val="00EE2F51"/>
    <w:rsid w:val="00EE4D67"/>
    <w:rsid w:val="00EE510B"/>
    <w:rsid w:val="00EE5740"/>
    <w:rsid w:val="00EE612E"/>
    <w:rsid w:val="00EE69A5"/>
    <w:rsid w:val="00EE77DD"/>
    <w:rsid w:val="00EE78D1"/>
    <w:rsid w:val="00EE7DF1"/>
    <w:rsid w:val="00EF0128"/>
    <w:rsid w:val="00EF084F"/>
    <w:rsid w:val="00EF0FA3"/>
    <w:rsid w:val="00EF1318"/>
    <w:rsid w:val="00EF42F1"/>
    <w:rsid w:val="00EF4FF3"/>
    <w:rsid w:val="00EF57B6"/>
    <w:rsid w:val="00EF70C4"/>
    <w:rsid w:val="00F0012A"/>
    <w:rsid w:val="00F00837"/>
    <w:rsid w:val="00F02903"/>
    <w:rsid w:val="00F02AFF"/>
    <w:rsid w:val="00F03D24"/>
    <w:rsid w:val="00F04C8B"/>
    <w:rsid w:val="00F068CE"/>
    <w:rsid w:val="00F06B75"/>
    <w:rsid w:val="00F06DFB"/>
    <w:rsid w:val="00F07F1B"/>
    <w:rsid w:val="00F10BC6"/>
    <w:rsid w:val="00F127FC"/>
    <w:rsid w:val="00F13F6F"/>
    <w:rsid w:val="00F146A8"/>
    <w:rsid w:val="00F14D9D"/>
    <w:rsid w:val="00F161F9"/>
    <w:rsid w:val="00F16828"/>
    <w:rsid w:val="00F220FE"/>
    <w:rsid w:val="00F22261"/>
    <w:rsid w:val="00F22D3A"/>
    <w:rsid w:val="00F2735E"/>
    <w:rsid w:val="00F277C9"/>
    <w:rsid w:val="00F3319D"/>
    <w:rsid w:val="00F336E3"/>
    <w:rsid w:val="00F34723"/>
    <w:rsid w:val="00F355E8"/>
    <w:rsid w:val="00F36010"/>
    <w:rsid w:val="00F361F3"/>
    <w:rsid w:val="00F364DF"/>
    <w:rsid w:val="00F367F6"/>
    <w:rsid w:val="00F37393"/>
    <w:rsid w:val="00F37CB4"/>
    <w:rsid w:val="00F40C41"/>
    <w:rsid w:val="00F41A8C"/>
    <w:rsid w:val="00F41E9B"/>
    <w:rsid w:val="00F41F4D"/>
    <w:rsid w:val="00F42B81"/>
    <w:rsid w:val="00F42BD2"/>
    <w:rsid w:val="00F4310C"/>
    <w:rsid w:val="00F43313"/>
    <w:rsid w:val="00F5031F"/>
    <w:rsid w:val="00F51242"/>
    <w:rsid w:val="00F5189C"/>
    <w:rsid w:val="00F53081"/>
    <w:rsid w:val="00F53872"/>
    <w:rsid w:val="00F54024"/>
    <w:rsid w:val="00F5768B"/>
    <w:rsid w:val="00F57B0F"/>
    <w:rsid w:val="00F60E01"/>
    <w:rsid w:val="00F620AF"/>
    <w:rsid w:val="00F626EA"/>
    <w:rsid w:val="00F63133"/>
    <w:rsid w:val="00F658EE"/>
    <w:rsid w:val="00F65ADB"/>
    <w:rsid w:val="00F65D8E"/>
    <w:rsid w:val="00F67482"/>
    <w:rsid w:val="00F67981"/>
    <w:rsid w:val="00F7147D"/>
    <w:rsid w:val="00F71FB7"/>
    <w:rsid w:val="00F72264"/>
    <w:rsid w:val="00F73370"/>
    <w:rsid w:val="00F74BB6"/>
    <w:rsid w:val="00F75250"/>
    <w:rsid w:val="00F806E0"/>
    <w:rsid w:val="00F82222"/>
    <w:rsid w:val="00F8228C"/>
    <w:rsid w:val="00F82455"/>
    <w:rsid w:val="00F82F0B"/>
    <w:rsid w:val="00F85327"/>
    <w:rsid w:val="00F86301"/>
    <w:rsid w:val="00F8712C"/>
    <w:rsid w:val="00F87AE3"/>
    <w:rsid w:val="00F904BE"/>
    <w:rsid w:val="00F90DA1"/>
    <w:rsid w:val="00F92A40"/>
    <w:rsid w:val="00F92E86"/>
    <w:rsid w:val="00F92ECC"/>
    <w:rsid w:val="00F9436D"/>
    <w:rsid w:val="00F94F8A"/>
    <w:rsid w:val="00F95CB2"/>
    <w:rsid w:val="00F96510"/>
    <w:rsid w:val="00FA0BCB"/>
    <w:rsid w:val="00FA31AC"/>
    <w:rsid w:val="00FA32F4"/>
    <w:rsid w:val="00FA337E"/>
    <w:rsid w:val="00FA4868"/>
    <w:rsid w:val="00FA5144"/>
    <w:rsid w:val="00FA63FD"/>
    <w:rsid w:val="00FA7741"/>
    <w:rsid w:val="00FB02CE"/>
    <w:rsid w:val="00FB1E53"/>
    <w:rsid w:val="00FB520F"/>
    <w:rsid w:val="00FB528D"/>
    <w:rsid w:val="00FB5E35"/>
    <w:rsid w:val="00FC0F9D"/>
    <w:rsid w:val="00FC169B"/>
    <w:rsid w:val="00FC17A5"/>
    <w:rsid w:val="00FC2AFA"/>
    <w:rsid w:val="00FC30DB"/>
    <w:rsid w:val="00FC3585"/>
    <w:rsid w:val="00FC581D"/>
    <w:rsid w:val="00FC7B5C"/>
    <w:rsid w:val="00FD148D"/>
    <w:rsid w:val="00FD1AB2"/>
    <w:rsid w:val="00FD268E"/>
    <w:rsid w:val="00FD2792"/>
    <w:rsid w:val="00FD329E"/>
    <w:rsid w:val="00FD3547"/>
    <w:rsid w:val="00FD36ED"/>
    <w:rsid w:val="00FD39B1"/>
    <w:rsid w:val="00FD566A"/>
    <w:rsid w:val="00FD65E7"/>
    <w:rsid w:val="00FD6BF5"/>
    <w:rsid w:val="00FD70B8"/>
    <w:rsid w:val="00FD74D7"/>
    <w:rsid w:val="00FD76CD"/>
    <w:rsid w:val="00FE0DD4"/>
    <w:rsid w:val="00FE1524"/>
    <w:rsid w:val="00FE24BA"/>
    <w:rsid w:val="00FE268A"/>
    <w:rsid w:val="00FE373E"/>
    <w:rsid w:val="00FE4EBA"/>
    <w:rsid w:val="00FE6A33"/>
    <w:rsid w:val="00FF001D"/>
    <w:rsid w:val="00FF1457"/>
    <w:rsid w:val="00FF2C1A"/>
    <w:rsid w:val="00FF63F6"/>
    <w:rsid w:val="00FF66D0"/>
    <w:rsid w:val="00FF7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19"/>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3D5419"/>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3D5419"/>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3D5419"/>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3D5419"/>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3D5419"/>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3D5419"/>
    <w:pPr>
      <w:keepNext/>
      <w:spacing w:after="120"/>
      <w:outlineLvl w:val="5"/>
    </w:pPr>
    <w:rPr>
      <w:bCs/>
      <w:szCs w:val="22"/>
    </w:rPr>
  </w:style>
  <w:style w:type="paragraph" w:styleId="Heading7">
    <w:name w:val="heading 7"/>
    <w:basedOn w:val="Heading2"/>
    <w:next w:val="Normal"/>
    <w:link w:val="Heading7Char"/>
    <w:uiPriority w:val="99"/>
    <w:qFormat/>
    <w:rsid w:val="003D5419"/>
    <w:pPr>
      <w:jc w:val="right"/>
      <w:outlineLvl w:val="6"/>
    </w:pPr>
  </w:style>
  <w:style w:type="paragraph" w:styleId="Heading8">
    <w:name w:val="heading 8"/>
    <w:basedOn w:val="HeadingBase"/>
    <w:next w:val="Normal"/>
    <w:link w:val="Heading8Char"/>
    <w:uiPriority w:val="99"/>
    <w:qFormat/>
    <w:rsid w:val="003D5419"/>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3D5419"/>
    <w:pPr>
      <w:keepNext/>
      <w:spacing w:before="170" w:after="113" w:line="320" w:lineRule="exact"/>
      <w:jc w:val="right"/>
      <w:outlineLvl w:val="8"/>
    </w:pPr>
    <w:rPr>
      <w:rFonts w:cs="Arial"/>
      <w:b/>
      <w:sz w:val="28"/>
      <w:szCs w:val="22"/>
    </w:rPr>
  </w:style>
  <w:style w:type="character" w:default="1" w:styleId="DefaultParagraphFont">
    <w:name w:val="Default Paragraph Font"/>
    <w:link w:val="CharCharCharCharCharChar"/>
    <w:uiPriority w:val="99"/>
    <w:locked/>
    <w:rsid w:val="003D54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HeadingBaseChar"/>
    <w:link w:val="Heading3"/>
    <w:uiPriority w:val="99"/>
    <w:locked/>
    <w:rsid w:val="003D79FF"/>
    <w:rPr>
      <w:rFonts w:ascii="Arial" w:hAnsi="Arial" w:cs="Arial"/>
      <w:b/>
      <w:bCs/>
      <w:color w:val="2B7C32"/>
      <w:sz w:val="26"/>
      <w:szCs w:val="26"/>
      <w:lang w:val="en-AU" w:eastAsia="en-AU"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HeadingBase">
    <w:name w:val="Heading Base"/>
    <w:next w:val="Normal"/>
    <w:link w:val="HeadingBaseChar"/>
    <w:uiPriority w:val="99"/>
    <w:rsid w:val="003D5419"/>
    <w:pPr>
      <w:spacing w:after="0" w:line="240" w:lineRule="auto"/>
    </w:pPr>
    <w:rPr>
      <w:rFonts w:ascii="Arial" w:hAnsi="Arial"/>
      <w:color w:val="2B7C32"/>
      <w:sz w:val="20"/>
      <w:szCs w:val="20"/>
    </w:rPr>
  </w:style>
  <w:style w:type="paragraph" w:customStyle="1" w:styleId="Bullet">
    <w:name w:val="Bullet"/>
    <w:basedOn w:val="Normal"/>
    <w:uiPriority w:val="99"/>
    <w:rsid w:val="003D5419"/>
    <w:pPr>
      <w:numPr>
        <w:numId w:val="8"/>
      </w:numPr>
      <w:ind w:left="284" w:hanging="284"/>
    </w:pPr>
  </w:style>
  <w:style w:type="paragraph" w:customStyle="1" w:styleId="ChartandTableFootnote">
    <w:name w:val="Chart and Table Footnote"/>
    <w:basedOn w:val="HeadingBase"/>
    <w:next w:val="Normal"/>
    <w:uiPriority w:val="99"/>
    <w:pPr>
      <w:ind w:left="284" w:hanging="284"/>
    </w:pPr>
    <w:rPr>
      <w:color w:val="000000"/>
      <w:sz w:val="16"/>
      <w:szCs w:val="16"/>
    </w:rPr>
  </w:style>
  <w:style w:type="paragraph" w:customStyle="1" w:styleId="ChartandTableFootnoteAlpha">
    <w:name w:val="Chart and Table Footnote Alpha"/>
    <w:uiPriority w:val="99"/>
    <w:rsid w:val="003D5419"/>
    <w:pPr>
      <w:numPr>
        <w:numId w:val="11"/>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3D5419"/>
    <w:pPr>
      <w:jc w:val="center"/>
    </w:pPr>
  </w:style>
  <w:style w:type="paragraph" w:customStyle="1" w:styleId="ChartHeading">
    <w:name w:val="Chart Heading"/>
    <w:basedOn w:val="HeadingBase"/>
    <w:next w:val="ChartGraphic"/>
    <w:uiPriority w:val="99"/>
    <w:pPr>
      <w:keepNext/>
      <w:spacing w:before="170" w:after="113" w:line="240" w:lineRule="exact"/>
      <w:jc w:val="center"/>
    </w:pPr>
    <w:rPr>
      <w:b/>
      <w:bCs/>
      <w:sz w:val="22"/>
      <w:szCs w:val="22"/>
    </w:rPr>
  </w:style>
  <w:style w:type="paragraph" w:customStyle="1" w:styleId="ChartSecondHeading">
    <w:name w:val="Chart Second Heading"/>
    <w:basedOn w:val="HeadingBase"/>
    <w:next w:val="ChartGraphic"/>
    <w:uiPriority w:val="99"/>
    <w:rsid w:val="003D5419"/>
    <w:pPr>
      <w:keepNext/>
      <w:spacing w:after="20"/>
      <w:jc w:val="center"/>
    </w:p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customStyle="1" w:styleId="ContentsHeading">
    <w:name w:val="Contents Heading"/>
    <w:basedOn w:val="HeadingBase"/>
    <w:next w:val="Normal"/>
    <w:uiPriority w:val="99"/>
    <w:rsid w:val="003D5419"/>
    <w:pPr>
      <w:spacing w:after="360"/>
    </w:pPr>
    <w:rPr>
      <w:smallCaps/>
      <w:sz w:val="36"/>
      <w:szCs w:val="36"/>
    </w:rPr>
  </w:style>
  <w:style w:type="paragraph" w:styleId="BlockText">
    <w:name w:val="Block Text"/>
    <w:basedOn w:val="Normal"/>
    <w:uiPriority w:val="99"/>
    <w:pPr>
      <w:spacing w:after="120"/>
      <w:ind w:left="1440" w:right="1440"/>
    </w:pPr>
  </w:style>
  <w:style w:type="paragraph" w:customStyle="1" w:styleId="Dash">
    <w:name w:val="Dash"/>
    <w:basedOn w:val="Normal"/>
    <w:uiPriority w:val="99"/>
    <w:rsid w:val="003D5419"/>
    <w:pPr>
      <w:numPr>
        <w:ilvl w:val="1"/>
        <w:numId w:val="8"/>
      </w:numPr>
      <w:ind w:left="568"/>
    </w:pPr>
  </w:style>
  <w:style w:type="paragraph" w:customStyle="1" w:styleId="DoubleDot">
    <w:name w:val="Double Dot"/>
    <w:basedOn w:val="Normal"/>
    <w:uiPriority w:val="99"/>
    <w:rsid w:val="003D5419"/>
    <w:pPr>
      <w:numPr>
        <w:ilvl w:val="2"/>
        <w:numId w:val="8"/>
      </w:numPr>
    </w:pPr>
  </w:style>
  <w:style w:type="paragraph" w:customStyle="1" w:styleId="FileProperties">
    <w:name w:val="File Properties"/>
    <w:basedOn w:val="Normal"/>
    <w:uiPriority w:val="99"/>
    <w:rPr>
      <w:i/>
      <w:iCs/>
    </w:rPr>
  </w:style>
  <w:style w:type="paragraph" w:customStyle="1" w:styleId="FooterBase">
    <w:name w:val="Footer Base"/>
    <w:uiPriority w:val="99"/>
    <w:pPr>
      <w:spacing w:after="0" w:line="240" w:lineRule="auto"/>
    </w:pPr>
    <w:rPr>
      <w:rFonts w:ascii="Arial" w:hAnsi="Arial" w:cs="Arial"/>
      <w:color w:val="000080"/>
      <w:kern w:val="28"/>
      <w:sz w:val="18"/>
      <w:szCs w:val="18"/>
    </w:rPr>
  </w:style>
  <w:style w:type="character" w:customStyle="1" w:styleId="FramedHeader">
    <w:name w:val="Framed Header"/>
    <w:basedOn w:val="DefaultParagraphFont"/>
    <w:uiPriority w:val="99"/>
    <w:rsid w:val="003D5419"/>
    <w:rPr>
      <w:rFonts w:ascii="Arial" w:hAnsi="Arial" w:cs="Times New Roman"/>
      <w:color w:val="2B7C32"/>
      <w:sz w:val="18"/>
      <w:szCs w:val="18"/>
      <w:vertAlign w:val="baseline"/>
    </w:rPr>
  </w:style>
  <w:style w:type="paragraph" w:customStyle="1" w:styleId="HeaderBase">
    <w:name w:val="Header Base"/>
    <w:uiPriority w:val="99"/>
    <w:pPr>
      <w:spacing w:after="0" w:line="240" w:lineRule="auto"/>
    </w:pPr>
    <w:rPr>
      <w:rFonts w:ascii="Arial" w:hAnsi="Arial" w:cs="Arial"/>
      <w:color w:val="000080"/>
      <w:kern w:val="28"/>
      <w:sz w:val="18"/>
      <w:szCs w:val="18"/>
    </w:rPr>
  </w:style>
  <w:style w:type="paragraph" w:customStyle="1" w:styleId="HeaderEven">
    <w:name w:val="Header Even"/>
    <w:basedOn w:val="Header"/>
    <w:uiPriority w:val="99"/>
    <w:rsid w:val="003D5419"/>
  </w:style>
  <w:style w:type="paragraph" w:customStyle="1" w:styleId="HeaderOdd">
    <w:name w:val="Header Odd"/>
    <w:basedOn w:val="Header"/>
    <w:uiPriority w:val="99"/>
    <w:rsid w:val="003D5419"/>
    <w:pPr>
      <w:jc w:val="right"/>
    </w:pPr>
  </w:style>
  <w:style w:type="paragraph" w:customStyle="1" w:styleId="NumberedParagraph">
    <w:name w:val="Numbered Paragraph"/>
    <w:basedOn w:val="Normal"/>
    <w:uiPriority w:val="99"/>
    <w:rsid w:val="003D5419"/>
    <w:pPr>
      <w:numPr>
        <w:numId w:val="16"/>
      </w:numPr>
    </w:pPr>
  </w:style>
  <w:style w:type="paragraph" w:customStyle="1" w:styleId="TableTextRight">
    <w:name w:val="Table Text Right"/>
    <w:basedOn w:val="TableTextBase"/>
    <w:uiPriority w:val="99"/>
    <w:rsid w:val="003D5419"/>
    <w:pPr>
      <w:jc w:val="right"/>
    </w:pPr>
  </w:style>
  <w:style w:type="paragraph" w:customStyle="1" w:styleId="TableTextBase">
    <w:name w:val="Table Text Base"/>
    <w:uiPriority w:val="99"/>
    <w:rsid w:val="003D5419"/>
    <w:pPr>
      <w:spacing w:before="40" w:after="40" w:line="240" w:lineRule="auto"/>
    </w:pPr>
    <w:rPr>
      <w:rFonts w:ascii="Arial" w:hAnsi="Arial"/>
      <w:color w:val="000000"/>
      <w:sz w:val="16"/>
      <w:szCs w:val="20"/>
    </w:rPr>
  </w:style>
  <w:style w:type="paragraph" w:customStyle="1" w:styleId="TableGraphic">
    <w:name w:val="Table Graphic"/>
    <w:basedOn w:val="HeadingBase"/>
    <w:next w:val="Normal"/>
    <w:uiPriority w:val="99"/>
    <w:rsid w:val="003D5419"/>
    <w:pPr>
      <w:spacing w:after="20"/>
      <w:ind w:right="-113"/>
    </w:pPr>
    <w:rPr>
      <w:rFonts w:ascii="Helvetica" w:hAnsi="Helvetica"/>
    </w:rPr>
  </w:style>
  <w:style w:type="paragraph" w:customStyle="1" w:styleId="TableHeading">
    <w:name w:val="Table Heading"/>
    <w:basedOn w:val="HeadingBase"/>
    <w:next w:val="TableGraphic"/>
    <w:uiPriority w:val="99"/>
    <w:pPr>
      <w:keepNext/>
      <w:spacing w:before="170" w:after="113" w:line="240" w:lineRule="exact"/>
    </w:pPr>
    <w:rPr>
      <w:b/>
      <w:bCs/>
      <w:sz w:val="22"/>
      <w:szCs w:val="22"/>
    </w:rPr>
  </w:style>
  <w:style w:type="paragraph" w:customStyle="1" w:styleId="TableHeadingcontinued">
    <w:name w:val="Table Heading continued"/>
    <w:basedOn w:val="HeadingBase"/>
    <w:next w:val="TableGraphic"/>
    <w:uiPriority w:val="99"/>
    <w:pPr>
      <w:keepNext/>
      <w:spacing w:before="170" w:after="113" w:line="240" w:lineRule="exact"/>
    </w:pPr>
    <w:rPr>
      <w:b/>
      <w:bCs/>
      <w:sz w:val="22"/>
      <w:szCs w:val="22"/>
    </w:rPr>
  </w:style>
  <w:style w:type="paragraph" w:styleId="Footer">
    <w:name w:val="footer"/>
    <w:basedOn w:val="HeadingBase"/>
    <w:link w:val="FooterChar"/>
    <w:uiPriority w:val="99"/>
    <w:rsid w:val="003D5419"/>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styleId="Header">
    <w:name w:val="header"/>
    <w:basedOn w:val="HeadingBase"/>
    <w:link w:val="HeaderChar"/>
    <w:uiPriority w:val="99"/>
    <w:rsid w:val="003D5419"/>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character" w:styleId="PageNumber">
    <w:name w:val="page number"/>
    <w:basedOn w:val="DefaultParagraphFont"/>
    <w:uiPriority w:val="99"/>
    <w:rsid w:val="003D5419"/>
    <w:rPr>
      <w:rFonts w:ascii="Times" w:hAnsi="Times" w:cs="Times New Roman"/>
      <w:color w:val="2B7C32"/>
      <w:sz w:val="18"/>
      <w:szCs w:val="18"/>
    </w:rPr>
  </w:style>
  <w:style w:type="character" w:styleId="FootnoteReference">
    <w:name w:val="footnote reference"/>
    <w:basedOn w:val="DefaultParagraphFont"/>
    <w:uiPriority w:val="99"/>
    <w:rsid w:val="003D5419"/>
    <w:rPr>
      <w:rFonts w:cs="Times New Roman"/>
      <w:vertAlign w:val="superscript"/>
    </w:rPr>
  </w:style>
  <w:style w:type="paragraph" w:styleId="FootnoteText">
    <w:name w:val="footnote text"/>
    <w:basedOn w:val="Normal"/>
    <w:link w:val="FootnoteTextChar"/>
    <w:uiPriority w:val="99"/>
    <w:rsid w:val="003D5419"/>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Pr>
      <w:rFonts w:ascii="Book Antiqua" w:hAnsi="Book Antiqua" w:cs="Times New Roman"/>
      <w:color w:val="000000"/>
      <w:sz w:val="18"/>
      <w:lang w:val="en-AU" w:eastAsia="en-AU" w:bidi="ar-SA"/>
    </w:rPr>
  </w:style>
  <w:style w:type="paragraph" w:styleId="Index1">
    <w:name w:val="index 1"/>
    <w:basedOn w:val="Normal"/>
    <w:next w:val="Normal"/>
    <w:autoRedefine/>
    <w:uiPriority w:val="99"/>
    <w:rsid w:val="003D5419"/>
    <w:pPr>
      <w:ind w:left="200" w:hanging="200"/>
    </w:pPr>
  </w:style>
  <w:style w:type="paragraph" w:styleId="Index2">
    <w:name w:val="index 2"/>
    <w:basedOn w:val="Normal"/>
    <w:next w:val="Normal"/>
    <w:autoRedefine/>
    <w:uiPriority w:val="99"/>
    <w:rsid w:val="003D5419"/>
    <w:pPr>
      <w:ind w:left="400" w:hanging="200"/>
    </w:pPr>
  </w:style>
  <w:style w:type="paragraph" w:styleId="Index3">
    <w:name w:val="index 3"/>
    <w:basedOn w:val="Normal"/>
    <w:next w:val="Normal"/>
    <w:autoRedefine/>
    <w:uiPriority w:val="99"/>
    <w:rsid w:val="003D5419"/>
    <w:pPr>
      <w:ind w:left="600" w:hanging="200"/>
    </w:pPr>
  </w:style>
  <w:style w:type="paragraph" w:styleId="IndexHeading">
    <w:name w:val="index heading"/>
    <w:basedOn w:val="Normal"/>
    <w:next w:val="Index1"/>
    <w:uiPriority w:val="99"/>
    <w:rsid w:val="003D5419"/>
    <w:rPr>
      <w:rFonts w:ascii="Arial" w:hAnsi="Arial" w:cs="Arial"/>
      <w:b/>
      <w:bCs/>
      <w:color w:val="2B7C32"/>
    </w:rPr>
  </w:style>
  <w:style w:type="paragraph" w:styleId="TOC1">
    <w:name w:val="toc 1"/>
    <w:basedOn w:val="HeadingBase"/>
    <w:next w:val="Normal"/>
    <w:uiPriority w:val="99"/>
    <w:rsid w:val="003D5419"/>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3D5419"/>
    <w:pPr>
      <w:tabs>
        <w:tab w:val="left" w:pos="1247"/>
        <w:tab w:val="right" w:leader="dot" w:pos="7700"/>
      </w:tabs>
      <w:spacing w:after="0"/>
      <w:ind w:right="851"/>
    </w:pPr>
    <w:rPr>
      <w:noProof/>
    </w:rPr>
  </w:style>
  <w:style w:type="paragraph" w:styleId="TOC3">
    <w:name w:val="toc 3"/>
    <w:basedOn w:val="Normal"/>
    <w:next w:val="Normal"/>
    <w:uiPriority w:val="99"/>
    <w:rsid w:val="003D5419"/>
    <w:pPr>
      <w:tabs>
        <w:tab w:val="right" w:leader="dot" w:pos="7700"/>
      </w:tabs>
      <w:spacing w:after="0" w:line="240" w:lineRule="auto"/>
      <w:ind w:left="284" w:right="851"/>
    </w:pPr>
    <w:rPr>
      <w:noProof/>
    </w:rPr>
  </w:style>
  <w:style w:type="paragraph" w:styleId="TOC4">
    <w:name w:val="toc 4"/>
    <w:basedOn w:val="Normal"/>
    <w:next w:val="Normal"/>
    <w:uiPriority w:val="99"/>
    <w:rsid w:val="003D5419"/>
    <w:pPr>
      <w:tabs>
        <w:tab w:val="left" w:pos="1080"/>
        <w:tab w:val="right" w:leader="dot" w:pos="7700"/>
      </w:tabs>
      <w:spacing w:after="0" w:line="240" w:lineRule="auto"/>
      <w:ind w:left="1080" w:right="851" w:hanging="1080"/>
    </w:pPr>
    <w:rPr>
      <w:noProof/>
    </w:rPr>
  </w:style>
  <w:style w:type="paragraph" w:customStyle="1" w:styleId="TableTextLeft">
    <w:name w:val="Table Text Left"/>
    <w:basedOn w:val="TableTextBase"/>
    <w:uiPriority w:val="99"/>
    <w:rsid w:val="003D5419"/>
  </w:style>
  <w:style w:type="paragraph" w:customStyle="1" w:styleId="SingleParagraph">
    <w:name w:val="Single Paragraph"/>
    <w:basedOn w:val="Normal"/>
    <w:uiPriority w:val="99"/>
    <w:rsid w:val="003D5419"/>
    <w:pPr>
      <w:spacing w:after="0"/>
    </w:pPr>
  </w:style>
  <w:style w:type="paragraph" w:styleId="TOC5">
    <w:name w:val="toc 5"/>
    <w:basedOn w:val="TOC2"/>
    <w:next w:val="Normal"/>
    <w:autoRedefine/>
    <w:uiPriority w:val="99"/>
    <w:rsid w:val="003D5419"/>
    <w:pPr>
      <w:ind w:left="1260" w:hanging="1260"/>
    </w:pPr>
  </w:style>
  <w:style w:type="paragraph" w:styleId="TOC6">
    <w:name w:val="toc 6"/>
    <w:basedOn w:val="Normal"/>
    <w:next w:val="Normal"/>
    <w:autoRedefine/>
    <w:uiPriority w:val="99"/>
    <w:rsid w:val="003D5419"/>
    <w:pPr>
      <w:ind w:left="1000"/>
    </w:pPr>
  </w:style>
  <w:style w:type="paragraph" w:styleId="TOC7">
    <w:name w:val="toc 7"/>
    <w:basedOn w:val="Normal"/>
    <w:next w:val="Normal"/>
    <w:autoRedefine/>
    <w:uiPriority w:val="99"/>
    <w:rsid w:val="003D5419"/>
    <w:pPr>
      <w:ind w:left="1200"/>
    </w:pPr>
  </w:style>
  <w:style w:type="paragraph" w:styleId="TOC8">
    <w:name w:val="toc 8"/>
    <w:basedOn w:val="Normal"/>
    <w:next w:val="Normal"/>
    <w:autoRedefine/>
    <w:uiPriority w:val="99"/>
    <w:rsid w:val="003D5419"/>
    <w:pPr>
      <w:ind w:left="1400"/>
    </w:pPr>
  </w:style>
  <w:style w:type="paragraph" w:styleId="TOC9">
    <w:name w:val="toc 9"/>
    <w:basedOn w:val="Normal"/>
    <w:next w:val="Normal"/>
    <w:autoRedefine/>
    <w:uiPriority w:val="99"/>
    <w:rsid w:val="003D5419"/>
    <w:pPr>
      <w:ind w:left="1600"/>
    </w:pPr>
  </w:style>
  <w:style w:type="paragraph" w:customStyle="1" w:styleId="TableTextColumnHeadingLeft">
    <w:name w:val="Table Text Column Heading Left"/>
    <w:basedOn w:val="TableTextBase"/>
    <w:uiPriority w:val="99"/>
    <w:rPr>
      <w:rFonts w:ascii="Arial Bold" w:hAnsi="Arial Bold" w:cs="Arial Bold"/>
      <w:b/>
      <w:bCs/>
    </w:rPr>
  </w:style>
  <w:style w:type="paragraph" w:customStyle="1" w:styleId="ChartandTableFootnoteSmall">
    <w:name w:val="Chart and Table Footnote Small"/>
    <w:basedOn w:val="ChartandTableFootnote"/>
    <w:uiPriority w:val="99"/>
    <w:rPr>
      <w:sz w:val="15"/>
      <w:szCs w:val="15"/>
    </w:rPr>
  </w:style>
  <w:style w:type="paragraph" w:customStyle="1" w:styleId="ChartandTableFootnoteAlphaSmall">
    <w:name w:val="Chart and Table Footnote Alpha Small"/>
    <w:basedOn w:val="ChartandTableFootnoteAlpha"/>
    <w:uiPriority w:val="99"/>
    <w:pPr>
      <w:numPr>
        <w:numId w:val="1"/>
      </w:numPr>
      <w:tabs>
        <w:tab w:val="clear" w:pos="360"/>
        <w:tab w:val="num" w:pos="283"/>
      </w:tabs>
      <w:ind w:left="284" w:hanging="284"/>
    </w:pPr>
    <w:rPr>
      <w:sz w:val="15"/>
      <w:szCs w:val="15"/>
    </w:rPr>
  </w:style>
  <w:style w:type="character" w:customStyle="1" w:styleId="FramedFooter">
    <w:name w:val="Framed Footer"/>
    <w:uiPriority w:val="99"/>
    <w:rsid w:val="003D5419"/>
    <w:rPr>
      <w:rFonts w:ascii="Arial" w:hAnsi="Arial"/>
      <w:color w:val="2B7C32"/>
      <w:sz w:val="18"/>
    </w:rPr>
  </w:style>
  <w:style w:type="paragraph" w:customStyle="1" w:styleId="Source">
    <w:name w:val="Source"/>
    <w:basedOn w:val="HeadingBase"/>
    <w:next w:val="Normal"/>
    <w:uiPriority w:val="99"/>
    <w:rPr>
      <w:color w:val="000000"/>
      <w:sz w:val="16"/>
      <w:szCs w:val="16"/>
    </w:rPr>
  </w:style>
  <w:style w:type="paragraph" w:customStyle="1" w:styleId="TableTextColumnHeadingRight">
    <w:name w:val="Table Text Column Heading Right"/>
    <w:basedOn w:val="TableTextBase"/>
    <w:uiPriority w:val="99"/>
    <w:pPr>
      <w:jc w:val="right"/>
    </w:pPr>
    <w:rPr>
      <w:b/>
      <w:bCs/>
    </w:rPr>
  </w:style>
  <w:style w:type="character" w:styleId="Strong">
    <w:name w:val="Strong"/>
    <w:basedOn w:val="DefaultParagraphFont"/>
    <w:uiPriority w:val="99"/>
    <w:qFormat/>
    <w:rPr>
      <w:rFonts w:cs="Times New Roman"/>
      <w:b/>
      <w:bCs/>
    </w:rPr>
  </w:style>
  <w:style w:type="paragraph" w:customStyle="1" w:styleId="Title2">
    <w:name w:val="Title 2"/>
    <w:basedOn w:val="HeadingBase"/>
    <w:uiPriority w:val="99"/>
    <w:pPr>
      <w:spacing w:after="360"/>
      <w:jc w:val="center"/>
    </w:pPr>
    <w:rPr>
      <w:sz w:val="36"/>
      <w:szCs w:val="36"/>
    </w:rPr>
  </w:style>
  <w:style w:type="paragraph" w:styleId="NormalIndent">
    <w:name w:val="Normal Indent"/>
    <w:basedOn w:val="Normal"/>
    <w:uiPriority w:val="99"/>
    <w:rsid w:val="003D5419"/>
    <w:pPr>
      <w:ind w:left="567"/>
    </w:pPr>
  </w:style>
  <w:style w:type="paragraph" w:customStyle="1" w:styleId="FooterEven">
    <w:name w:val="Footer Even"/>
    <w:basedOn w:val="Footer"/>
    <w:uiPriority w:val="99"/>
    <w:rsid w:val="003D5419"/>
  </w:style>
  <w:style w:type="paragraph" w:customStyle="1" w:styleId="FooterOdd">
    <w:name w:val="Footer Odd"/>
    <w:basedOn w:val="Footer"/>
    <w:uiPriority w:val="99"/>
    <w:rsid w:val="003D5419"/>
    <w:pPr>
      <w:jc w:val="right"/>
    </w:pPr>
  </w:style>
  <w:style w:type="paragraph" w:styleId="ListNumber">
    <w:name w:val="List Number"/>
    <w:basedOn w:val="Normal"/>
    <w:uiPriority w:val="99"/>
    <w:pPr>
      <w:numPr>
        <w:numId w:val="1"/>
      </w:numPr>
      <w:tabs>
        <w:tab w:val="clear" w:pos="360"/>
        <w:tab w:val="num" w:pos="1492"/>
      </w:tabs>
    </w:pPr>
  </w:style>
  <w:style w:type="paragraph" w:customStyle="1" w:styleId="TableTextIndent">
    <w:name w:val="Table Text Indent"/>
    <w:basedOn w:val="TableTextBase"/>
    <w:uiPriority w:val="99"/>
    <w:pPr>
      <w:ind w:left="284"/>
    </w:pPr>
  </w:style>
  <w:style w:type="paragraph" w:styleId="Title">
    <w:name w:val="Title"/>
    <w:basedOn w:val="HeadingBase"/>
    <w:link w:val="TitleChar"/>
    <w:uiPriority w:val="99"/>
    <w:qFormat/>
    <w:pPr>
      <w:spacing w:after="480"/>
      <w:jc w:val="center"/>
    </w:pPr>
    <w:rPr>
      <w:b/>
      <w:bCs/>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MacroText">
    <w:name w:val="macro"/>
    <w:link w:val="MacroTextChar"/>
    <w:uiPriority w:val="99"/>
    <w:rsid w:val="003D541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customStyle="1" w:styleId="Classification">
    <w:name w:val="Classification"/>
    <w:basedOn w:val="HeadingBase"/>
    <w:next w:val="Footer"/>
    <w:uiPriority w:val="99"/>
    <w:rsid w:val="003D5419"/>
    <w:pPr>
      <w:spacing w:after="120"/>
      <w:jc w:val="center"/>
    </w:pPr>
    <w:rPr>
      <w:b/>
      <w:smallCaps/>
    </w:rPr>
  </w:style>
  <w:style w:type="paragraph" w:customStyle="1" w:styleId="TableTextColumnHeadingCentre">
    <w:name w:val="Table Text Column Heading Centre"/>
    <w:basedOn w:val="TableTextBase"/>
    <w:uiPriority w:val="99"/>
    <w:pPr>
      <w:jc w:val="center"/>
    </w:pPr>
    <w:rPr>
      <w:b/>
      <w:bCs/>
    </w:rPr>
  </w:style>
  <w:style w:type="paragraph" w:customStyle="1" w:styleId="Normalbold">
    <w:name w:val="Normal bold"/>
    <w:basedOn w:val="Normal"/>
    <w:uiPriority w:val="99"/>
    <w:pPr>
      <w:jc w:val="left"/>
    </w:pPr>
    <w:rPr>
      <w:b/>
      <w:bCs/>
    </w:rPr>
  </w:style>
  <w:style w:type="character" w:customStyle="1" w:styleId="Normalitalics">
    <w:name w:val="Normal italics"/>
    <w:basedOn w:val="DefaultParagraphFont"/>
    <w:uiPriority w:val="99"/>
    <w:rPr>
      <w:rFonts w:cs="Times New Roman"/>
      <w:i/>
      <w:iCs/>
    </w:rPr>
  </w:style>
  <w:style w:type="paragraph" w:styleId="NoteHeading">
    <w:name w:val="Note Heading"/>
    <w:basedOn w:val="HeadingBase"/>
    <w:next w:val="Normal"/>
    <w:link w:val="NoteHeadingChar"/>
    <w:uiPriority w:val="99"/>
    <w:rPr>
      <w:color w:val="000000"/>
      <w:sz w:val="16"/>
      <w:szCs w:val="16"/>
    </w:rPr>
  </w:style>
  <w:style w:type="character" w:customStyle="1" w:styleId="NoteHeadingChar">
    <w:name w:val="Note Heading Char"/>
    <w:basedOn w:val="DefaultParagraphFont"/>
    <w:link w:val="NoteHeading"/>
    <w:uiPriority w:val="99"/>
    <w:semiHidden/>
    <w:rPr>
      <w:rFonts w:ascii="Book Antiqua" w:hAnsi="Book Antiqua"/>
      <w:color w:val="000000"/>
      <w:sz w:val="20"/>
      <w:szCs w:val="20"/>
    </w:rPr>
  </w:style>
  <w:style w:type="paragraph" w:customStyle="1" w:styleId="ChapterHeaderTitle">
    <w:name w:val="Chapter Header Title"/>
    <w:basedOn w:val="HeadingBase"/>
    <w:uiPriority w:val="99"/>
    <w:pPr>
      <w:spacing w:before="284" w:after="113"/>
    </w:pPr>
    <w:rPr>
      <w:color w:val="FFFFFF"/>
      <w:sz w:val="48"/>
      <w:szCs w:val="48"/>
    </w:rPr>
  </w:style>
  <w:style w:type="paragraph" w:customStyle="1" w:styleId="ChapterHeaderNo">
    <w:name w:val="Chapter Header No"/>
    <w:basedOn w:val="Header"/>
    <w:uiPriority w:val="99"/>
    <w:pPr>
      <w:jc w:val="center"/>
    </w:pPr>
    <w:rPr>
      <w:rFonts w:ascii="Arial Bold" w:hAnsi="Arial Bold" w:cs="Arial Bold"/>
      <w:b/>
      <w:bCs/>
      <w:color w:val="000080"/>
      <w:sz w:val="32"/>
      <w:szCs w:val="32"/>
    </w:rPr>
  </w:style>
  <w:style w:type="paragraph" w:customStyle="1" w:styleId="Contents">
    <w:name w:val="Contents"/>
    <w:basedOn w:val="Normal"/>
    <w:next w:val="TOC1"/>
    <w:uiPriority w:val="99"/>
    <w:pPr>
      <w:keepNext/>
      <w:spacing w:after="120" w:line="240" w:lineRule="auto"/>
    </w:pPr>
    <w:rPr>
      <w:rFonts w:ascii="Arial Bold" w:hAnsi="Arial Bold" w:cs="Arial Bold"/>
      <w:b/>
      <w:bCs/>
      <w:smallCaps/>
      <w:color w:val="000080"/>
      <w:sz w:val="36"/>
      <w:szCs w:val="36"/>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semiHidden/>
    <w:rPr>
      <w:rFonts w:ascii="Book Antiqua" w:hAnsi="Book Antiqua"/>
      <w:color w:val="000000"/>
      <w:sz w:val="16"/>
      <w:szCs w:val="16"/>
    </w:rPr>
  </w:style>
  <w:style w:type="paragraph" w:customStyle="1" w:styleId="ChapterNo">
    <w:name w:val="Chapter No"/>
    <w:basedOn w:val="HeadingBase"/>
    <w:next w:val="Heading1"/>
    <w:uiPriority w:val="99"/>
    <w:pPr>
      <w:pBdr>
        <w:bottom w:val="single" w:sz="4" w:space="1" w:color="auto"/>
      </w:pBdr>
    </w:pPr>
    <w:rPr>
      <w:caps/>
      <w:color w:val="000000"/>
      <w:sz w:val="16"/>
      <w:szCs w:val="16"/>
    </w:rPr>
  </w:style>
  <w:style w:type="paragraph" w:styleId="DocumentMap">
    <w:name w:val="Document Map"/>
    <w:basedOn w:val="Normal"/>
    <w:link w:val="DocumentMapChar"/>
    <w:uiPriority w:val="99"/>
    <w:rsid w:val="003D541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paragraph" w:styleId="BalloonText">
    <w:name w:val="Balloon Text"/>
    <w:basedOn w:val="Normal"/>
    <w:link w:val="BalloonTextChar"/>
    <w:uiPriority w:val="99"/>
    <w:rsid w:val="003D541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Hyperlink">
    <w:name w:val="Hyperlink"/>
    <w:basedOn w:val="DefaultParagraphFont"/>
    <w:uiPriority w:val="99"/>
    <w:rsid w:val="003D5419"/>
    <w:rPr>
      <w:rFonts w:cs="Times New Roman"/>
      <w:color w:val="000000"/>
      <w:u w:val="none"/>
    </w:rPr>
  </w:style>
  <w:style w:type="paragraph" w:customStyle="1" w:styleId="OutlineNumbered1">
    <w:name w:val="Outline Numbered 1"/>
    <w:basedOn w:val="Normal"/>
    <w:uiPriority w:val="99"/>
    <w:rsid w:val="003D5419"/>
    <w:pPr>
      <w:numPr>
        <w:numId w:val="9"/>
      </w:numPr>
    </w:pPr>
  </w:style>
  <w:style w:type="paragraph" w:customStyle="1" w:styleId="OutlineNumbered2">
    <w:name w:val="Outline Numbered 2"/>
    <w:basedOn w:val="Normal"/>
    <w:uiPriority w:val="99"/>
    <w:rsid w:val="003D5419"/>
    <w:pPr>
      <w:numPr>
        <w:ilvl w:val="1"/>
        <w:numId w:val="9"/>
      </w:numPr>
    </w:pPr>
  </w:style>
  <w:style w:type="paragraph" w:customStyle="1" w:styleId="OutlineNumbered3">
    <w:name w:val="Outline Numbered 3"/>
    <w:basedOn w:val="Normal"/>
    <w:uiPriority w:val="99"/>
    <w:rsid w:val="003D5419"/>
    <w:pPr>
      <w:numPr>
        <w:ilvl w:val="2"/>
        <w:numId w:val="9"/>
      </w:numPr>
    </w:pPr>
  </w:style>
  <w:style w:type="paragraph" w:customStyle="1" w:styleId="AlphaParagraph">
    <w:name w:val="Alpha Paragraph"/>
    <w:basedOn w:val="Normal"/>
    <w:uiPriority w:val="99"/>
    <w:rsid w:val="003D5419"/>
    <w:pPr>
      <w:numPr>
        <w:numId w:val="10"/>
      </w:numPr>
    </w:pPr>
  </w:style>
  <w:style w:type="paragraph" w:customStyle="1" w:styleId="AppendixHeading">
    <w:name w:val="Appendix Heading"/>
    <w:basedOn w:val="HeadingBase"/>
    <w:next w:val="Normal"/>
    <w:uiPriority w:val="99"/>
    <w:rsid w:val="003D5419"/>
    <w:pPr>
      <w:spacing w:before="720" w:after="360"/>
    </w:pPr>
    <w:rPr>
      <w:rFonts w:ascii="Arial Bold" w:hAnsi="Arial Bold"/>
      <w:b/>
      <w:smallCaps/>
      <w:sz w:val="36"/>
      <w:szCs w:val="36"/>
    </w:rPr>
  </w:style>
  <w:style w:type="character" w:customStyle="1" w:styleId="Bold">
    <w:name w:val="Bold"/>
    <w:basedOn w:val="DefaultParagraphFont"/>
    <w:uiPriority w:val="99"/>
    <w:rsid w:val="003D5419"/>
    <w:rPr>
      <w:rFonts w:cs="Times New Roman"/>
      <w:b/>
    </w:rPr>
  </w:style>
  <w:style w:type="paragraph" w:customStyle="1" w:styleId="BoxHeading">
    <w:name w:val="Box Heading"/>
    <w:basedOn w:val="HeadingBase"/>
    <w:next w:val="BoxText"/>
    <w:uiPriority w:val="99"/>
    <w:rsid w:val="003D5419"/>
    <w:pPr>
      <w:spacing w:before="120" w:after="120"/>
    </w:pPr>
    <w:rPr>
      <w:b/>
      <w:sz w:val="22"/>
    </w:rPr>
  </w:style>
  <w:style w:type="paragraph" w:customStyle="1" w:styleId="BoxTextBase">
    <w:name w:val="Box Text Base"/>
    <w:basedOn w:val="Normal"/>
    <w:uiPriority w:val="99"/>
    <w:rsid w:val="003D5419"/>
    <w:pPr>
      <w:spacing w:before="120" w:after="120" w:line="240" w:lineRule="auto"/>
    </w:pPr>
  </w:style>
  <w:style w:type="paragraph" w:customStyle="1" w:styleId="ChartMainHeading">
    <w:name w:val="Chart Main Heading"/>
    <w:basedOn w:val="HeadingBase"/>
    <w:next w:val="ChartGraphic"/>
    <w:uiPriority w:val="99"/>
    <w:rsid w:val="003D5419"/>
    <w:pPr>
      <w:keepNext/>
      <w:spacing w:before="170" w:after="113"/>
      <w:jc w:val="center"/>
    </w:pPr>
    <w:rPr>
      <w:b/>
      <w:sz w:val="22"/>
    </w:rPr>
  </w:style>
  <w:style w:type="paragraph" w:customStyle="1" w:styleId="ChartorTableNote">
    <w:name w:val="Chart or Table Note"/>
    <w:next w:val="Normal"/>
    <w:uiPriority w:val="99"/>
    <w:rsid w:val="003D5419"/>
    <w:pPr>
      <w:spacing w:after="0" w:line="240" w:lineRule="auto"/>
      <w:jc w:val="both"/>
    </w:pPr>
    <w:rPr>
      <w:rFonts w:ascii="Arial" w:hAnsi="Arial"/>
      <w:color w:val="000000"/>
      <w:sz w:val="16"/>
      <w:szCs w:val="20"/>
    </w:rPr>
  </w:style>
  <w:style w:type="paragraph" w:customStyle="1" w:styleId="CoverTitleMain">
    <w:name w:val="Cover Title Main"/>
    <w:basedOn w:val="HeadingBase"/>
    <w:next w:val="Normal"/>
    <w:uiPriority w:val="99"/>
    <w:rsid w:val="003D5419"/>
    <w:pPr>
      <w:spacing w:after="360"/>
      <w:jc w:val="right"/>
    </w:pPr>
    <w:rPr>
      <w:b/>
      <w:sz w:val="44"/>
    </w:rPr>
  </w:style>
  <w:style w:type="paragraph" w:customStyle="1" w:styleId="CoverTitleSub">
    <w:name w:val="Cover Title Sub"/>
    <w:basedOn w:val="HeadingBase"/>
    <w:uiPriority w:val="99"/>
    <w:rsid w:val="003D5419"/>
    <w:pPr>
      <w:spacing w:after="360"/>
      <w:jc w:val="center"/>
    </w:pPr>
    <w:rPr>
      <w:sz w:val="36"/>
    </w:rPr>
  </w:style>
  <w:style w:type="paragraph" w:customStyle="1" w:styleId="FooterCentered">
    <w:name w:val="Footer Centered"/>
    <w:basedOn w:val="Footer"/>
    <w:uiPriority w:val="99"/>
    <w:rsid w:val="003D5419"/>
    <w:pPr>
      <w:jc w:val="center"/>
    </w:pPr>
  </w:style>
  <w:style w:type="paragraph" w:customStyle="1" w:styleId="RecommendationHeading">
    <w:name w:val="Recommendation Heading"/>
    <w:basedOn w:val="HeadingBase"/>
    <w:next w:val="RecommendationText"/>
    <w:uiPriority w:val="99"/>
    <w:rsid w:val="003D5419"/>
    <w:pPr>
      <w:spacing w:after="240"/>
    </w:pPr>
    <w:rPr>
      <w:b/>
      <w:sz w:val="22"/>
    </w:rPr>
  </w:style>
  <w:style w:type="paragraph" w:customStyle="1" w:styleId="RecommendationBaseText">
    <w:name w:val="Recommendation Base Text"/>
    <w:basedOn w:val="Normal"/>
    <w:uiPriority w:val="99"/>
    <w:rsid w:val="003D5419"/>
  </w:style>
  <w:style w:type="paragraph" w:customStyle="1" w:styleId="RecommendationText">
    <w:name w:val="Recommendation Text"/>
    <w:basedOn w:val="RecommendationBaseText"/>
    <w:uiPriority w:val="99"/>
    <w:rsid w:val="003D5419"/>
  </w:style>
  <w:style w:type="paragraph" w:customStyle="1" w:styleId="TableColumnHeadingCentred">
    <w:name w:val="Table Column Heading Centred"/>
    <w:basedOn w:val="TableTextBase"/>
    <w:uiPriority w:val="99"/>
    <w:rsid w:val="003D5419"/>
    <w:pPr>
      <w:jc w:val="center"/>
    </w:pPr>
    <w:rPr>
      <w:b/>
    </w:rPr>
  </w:style>
  <w:style w:type="paragraph" w:customStyle="1" w:styleId="TableColumnHeadingLeft">
    <w:name w:val="Table Column Heading Left"/>
    <w:basedOn w:val="TableTextBase"/>
    <w:uiPriority w:val="99"/>
    <w:rsid w:val="003D5419"/>
    <w:rPr>
      <w:b/>
    </w:rPr>
  </w:style>
  <w:style w:type="paragraph" w:customStyle="1" w:styleId="TableColumnHeadingRight">
    <w:name w:val="Table Column Heading Right"/>
    <w:basedOn w:val="TableTextBase"/>
    <w:uiPriority w:val="99"/>
    <w:rsid w:val="003D5419"/>
    <w:pPr>
      <w:jc w:val="right"/>
    </w:pPr>
    <w:rPr>
      <w:b/>
    </w:rPr>
  </w:style>
  <w:style w:type="paragraph" w:customStyle="1" w:styleId="TableMainHeading">
    <w:name w:val="Table Main Heading"/>
    <w:basedOn w:val="HeadingBase"/>
    <w:next w:val="TableGraphic"/>
    <w:uiPriority w:val="99"/>
    <w:rsid w:val="003D5419"/>
    <w:pPr>
      <w:keepNext/>
      <w:spacing w:before="170" w:after="113"/>
    </w:pPr>
    <w:rPr>
      <w:b/>
      <w:sz w:val="22"/>
    </w:rPr>
  </w:style>
  <w:style w:type="paragraph" w:customStyle="1" w:styleId="TableMainHeadingContd">
    <w:name w:val="Table Main Heading Contd"/>
    <w:basedOn w:val="HeadingBase"/>
    <w:next w:val="TableGraphic"/>
    <w:uiPriority w:val="99"/>
    <w:rsid w:val="003D5419"/>
    <w:pPr>
      <w:keepNext/>
      <w:spacing w:after="20"/>
    </w:pPr>
    <w:rPr>
      <w:b/>
      <w:sz w:val="22"/>
    </w:rPr>
  </w:style>
  <w:style w:type="paragraph" w:customStyle="1" w:styleId="TableSecondHeading">
    <w:name w:val="Table Second Heading"/>
    <w:basedOn w:val="HeadingBase"/>
    <w:next w:val="TableGraphic"/>
    <w:uiPriority w:val="99"/>
    <w:rsid w:val="003D5419"/>
    <w:pPr>
      <w:keepNext/>
      <w:spacing w:after="20"/>
    </w:pPr>
  </w:style>
  <w:style w:type="paragraph" w:customStyle="1" w:styleId="TableTextCentered">
    <w:name w:val="Table Text Centered"/>
    <w:basedOn w:val="TableTextBase"/>
    <w:uiPriority w:val="99"/>
    <w:rsid w:val="003D5419"/>
    <w:pPr>
      <w:jc w:val="center"/>
    </w:pPr>
  </w:style>
  <w:style w:type="paragraph" w:customStyle="1" w:styleId="TableTextIndented">
    <w:name w:val="Table Text Indented"/>
    <w:basedOn w:val="TableTextBase"/>
    <w:uiPriority w:val="99"/>
    <w:rsid w:val="003D5419"/>
    <w:pPr>
      <w:ind w:left="284"/>
    </w:pPr>
  </w:style>
  <w:style w:type="character" w:customStyle="1" w:styleId="Italic">
    <w:name w:val="Italic"/>
    <w:basedOn w:val="DefaultParagraphFont"/>
    <w:uiPriority w:val="99"/>
    <w:rsid w:val="003D5419"/>
    <w:rPr>
      <w:rFonts w:cs="Times New Roman"/>
      <w:i/>
    </w:rPr>
  </w:style>
  <w:style w:type="paragraph" w:customStyle="1" w:styleId="OneLevelNumberedParagraph">
    <w:name w:val="One Level Numbered Paragraph"/>
    <w:basedOn w:val="Normal"/>
    <w:uiPriority w:val="99"/>
    <w:rsid w:val="003D5419"/>
    <w:pPr>
      <w:numPr>
        <w:numId w:val="13"/>
      </w:numPr>
    </w:pPr>
  </w:style>
  <w:style w:type="paragraph" w:customStyle="1" w:styleId="BoxText">
    <w:name w:val="Box Text"/>
    <w:basedOn w:val="BoxTextBase"/>
    <w:uiPriority w:val="99"/>
    <w:rsid w:val="003D5419"/>
  </w:style>
  <w:style w:type="paragraph" w:customStyle="1" w:styleId="BoxBullet">
    <w:name w:val="Box Bullet"/>
    <w:basedOn w:val="BoxTextBase"/>
    <w:uiPriority w:val="99"/>
    <w:rsid w:val="003D5419"/>
    <w:pPr>
      <w:numPr>
        <w:numId w:val="12"/>
      </w:numPr>
    </w:pPr>
  </w:style>
  <w:style w:type="paragraph" w:customStyle="1" w:styleId="BoxDash">
    <w:name w:val="Box Dash"/>
    <w:basedOn w:val="Normal"/>
    <w:uiPriority w:val="99"/>
    <w:rsid w:val="003D5419"/>
    <w:pPr>
      <w:numPr>
        <w:ilvl w:val="1"/>
        <w:numId w:val="12"/>
      </w:numPr>
    </w:pPr>
  </w:style>
  <w:style w:type="paragraph" w:customStyle="1" w:styleId="BoxDoubleDot">
    <w:name w:val="Box Double Dot"/>
    <w:basedOn w:val="BoxTextBase"/>
    <w:uiPriority w:val="99"/>
    <w:rsid w:val="003D5419"/>
    <w:pPr>
      <w:numPr>
        <w:ilvl w:val="2"/>
        <w:numId w:val="12"/>
      </w:numPr>
    </w:pPr>
  </w:style>
  <w:style w:type="paragraph" w:customStyle="1" w:styleId="RecommendationBullet">
    <w:name w:val="Recommendation Bullet"/>
    <w:basedOn w:val="RecommendationBaseText"/>
    <w:uiPriority w:val="99"/>
    <w:rsid w:val="003D5419"/>
    <w:pPr>
      <w:numPr>
        <w:numId w:val="14"/>
      </w:numPr>
    </w:pPr>
  </w:style>
  <w:style w:type="paragraph" w:customStyle="1" w:styleId="RecommendationDash">
    <w:name w:val="Recommendation Dash"/>
    <w:basedOn w:val="RecommendationBaseText"/>
    <w:uiPriority w:val="99"/>
    <w:rsid w:val="003D5419"/>
    <w:pPr>
      <w:numPr>
        <w:ilvl w:val="1"/>
        <w:numId w:val="14"/>
      </w:numPr>
    </w:pPr>
  </w:style>
  <w:style w:type="paragraph" w:customStyle="1" w:styleId="RecommendationDoubleDot">
    <w:name w:val="Recommendation Double Dot"/>
    <w:basedOn w:val="RecommendationBaseText"/>
    <w:uiPriority w:val="99"/>
    <w:rsid w:val="003D5419"/>
    <w:pPr>
      <w:numPr>
        <w:ilvl w:val="2"/>
        <w:numId w:val="14"/>
      </w:numPr>
    </w:pPr>
  </w:style>
  <w:style w:type="character" w:customStyle="1" w:styleId="Boldanditalic">
    <w:name w:val="Bold and italic"/>
    <w:basedOn w:val="DefaultParagraphFont"/>
    <w:uiPriority w:val="99"/>
    <w:rsid w:val="003D5419"/>
    <w:rPr>
      <w:rFonts w:cs="Times New Roman"/>
      <w:b/>
      <w:i/>
    </w:rPr>
  </w:style>
  <w:style w:type="paragraph" w:styleId="Caption">
    <w:name w:val="caption"/>
    <w:basedOn w:val="Normal"/>
    <w:next w:val="Normal"/>
    <w:uiPriority w:val="99"/>
    <w:qFormat/>
    <w:rsid w:val="003D5419"/>
    <w:pPr>
      <w:spacing w:before="120" w:after="120"/>
    </w:pPr>
    <w:rPr>
      <w:b/>
      <w:bCs/>
    </w:rPr>
  </w:style>
  <w:style w:type="character" w:styleId="CommentReference">
    <w:name w:val="annotation reference"/>
    <w:basedOn w:val="DefaultParagraphFont"/>
    <w:uiPriority w:val="99"/>
    <w:rsid w:val="003D5419"/>
    <w:rPr>
      <w:rFonts w:cs="Times New Roman"/>
      <w:sz w:val="16"/>
      <w:szCs w:val="16"/>
    </w:rPr>
  </w:style>
  <w:style w:type="paragraph" w:styleId="CommentText">
    <w:name w:val="annotation text"/>
    <w:basedOn w:val="Normal"/>
    <w:link w:val="CommentTextChar"/>
    <w:uiPriority w:val="99"/>
    <w:rsid w:val="003D5419"/>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3D5419"/>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character" w:styleId="EndnoteReference">
    <w:name w:val="endnote reference"/>
    <w:basedOn w:val="DefaultParagraphFont"/>
    <w:uiPriority w:val="99"/>
    <w:rsid w:val="003D5419"/>
    <w:rPr>
      <w:rFonts w:cs="Times New Roman"/>
      <w:vertAlign w:val="superscript"/>
    </w:rPr>
  </w:style>
  <w:style w:type="paragraph" w:styleId="EndnoteText">
    <w:name w:val="endnote text"/>
    <w:basedOn w:val="Normal"/>
    <w:link w:val="EndnoteTextChar"/>
    <w:uiPriority w:val="99"/>
    <w:rsid w:val="003D5419"/>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4">
    <w:name w:val="index 4"/>
    <w:basedOn w:val="Normal"/>
    <w:next w:val="Normal"/>
    <w:autoRedefine/>
    <w:uiPriority w:val="99"/>
    <w:rsid w:val="003D5419"/>
    <w:pPr>
      <w:ind w:left="800" w:hanging="200"/>
    </w:pPr>
  </w:style>
  <w:style w:type="paragraph" w:styleId="Index5">
    <w:name w:val="index 5"/>
    <w:basedOn w:val="Normal"/>
    <w:next w:val="Normal"/>
    <w:autoRedefine/>
    <w:uiPriority w:val="99"/>
    <w:rsid w:val="003D5419"/>
    <w:pPr>
      <w:ind w:left="1000" w:hanging="200"/>
    </w:pPr>
  </w:style>
  <w:style w:type="paragraph" w:styleId="Index6">
    <w:name w:val="index 6"/>
    <w:basedOn w:val="Normal"/>
    <w:next w:val="Normal"/>
    <w:autoRedefine/>
    <w:uiPriority w:val="99"/>
    <w:rsid w:val="003D5419"/>
    <w:pPr>
      <w:ind w:left="1200" w:hanging="200"/>
    </w:pPr>
  </w:style>
  <w:style w:type="paragraph" w:styleId="Index7">
    <w:name w:val="index 7"/>
    <w:basedOn w:val="Normal"/>
    <w:next w:val="Normal"/>
    <w:autoRedefine/>
    <w:uiPriority w:val="99"/>
    <w:rsid w:val="003D5419"/>
    <w:pPr>
      <w:ind w:left="1400" w:hanging="200"/>
    </w:pPr>
  </w:style>
  <w:style w:type="paragraph" w:styleId="Index8">
    <w:name w:val="index 8"/>
    <w:basedOn w:val="Normal"/>
    <w:next w:val="Normal"/>
    <w:autoRedefine/>
    <w:uiPriority w:val="99"/>
    <w:rsid w:val="003D5419"/>
    <w:pPr>
      <w:ind w:left="1600" w:hanging="200"/>
    </w:pPr>
  </w:style>
  <w:style w:type="paragraph" w:styleId="Index9">
    <w:name w:val="index 9"/>
    <w:basedOn w:val="Normal"/>
    <w:next w:val="Normal"/>
    <w:autoRedefine/>
    <w:uiPriority w:val="99"/>
    <w:rsid w:val="003D5419"/>
    <w:pPr>
      <w:ind w:left="1800" w:hanging="200"/>
    </w:pPr>
  </w:style>
  <w:style w:type="paragraph" w:styleId="TableofAuthorities">
    <w:name w:val="table of authorities"/>
    <w:basedOn w:val="Normal"/>
    <w:next w:val="Normal"/>
    <w:uiPriority w:val="99"/>
    <w:rsid w:val="003D5419"/>
    <w:pPr>
      <w:ind w:left="200" w:hanging="200"/>
    </w:pPr>
  </w:style>
  <w:style w:type="paragraph" w:styleId="TableofFigures">
    <w:name w:val="table of figures"/>
    <w:basedOn w:val="Normal"/>
    <w:next w:val="Normal"/>
    <w:uiPriority w:val="99"/>
    <w:rsid w:val="003D5419"/>
    <w:pPr>
      <w:ind w:left="400" w:hanging="400"/>
    </w:pPr>
  </w:style>
  <w:style w:type="paragraph" w:styleId="TOAHeading">
    <w:name w:val="toa heading"/>
    <w:basedOn w:val="Normal"/>
    <w:next w:val="Normal"/>
    <w:uiPriority w:val="99"/>
    <w:rsid w:val="003D5419"/>
    <w:pPr>
      <w:spacing w:before="120"/>
    </w:pPr>
    <w:rPr>
      <w:rFonts w:ascii="Arial" w:hAnsi="Arial" w:cs="Arial"/>
      <w:b/>
      <w:bCs/>
      <w:sz w:val="24"/>
      <w:szCs w:val="24"/>
    </w:rPr>
  </w:style>
  <w:style w:type="paragraph" w:customStyle="1" w:styleId="AppendixAHeading3">
    <w:name w:val="AppendixAHeading3"/>
    <w:basedOn w:val="Heading3"/>
    <w:next w:val="AppendixAHeading4"/>
    <w:uiPriority w:val="99"/>
    <w:rsid w:val="003D5419"/>
    <w:pPr>
      <w:numPr>
        <w:numId w:val="39"/>
      </w:numPr>
    </w:pPr>
    <w:rPr>
      <w:rFonts w:ascii="Arial Bold" w:hAnsi="Arial Bold"/>
      <w:i/>
    </w:rPr>
  </w:style>
  <w:style w:type="paragraph" w:customStyle="1" w:styleId="AppendixAHeading4">
    <w:name w:val="AppendixAHeading4"/>
    <w:basedOn w:val="Heading4"/>
    <w:next w:val="Bullet"/>
    <w:uiPriority w:val="99"/>
    <w:rsid w:val="003D5419"/>
    <w:pPr>
      <w:numPr>
        <w:ilvl w:val="1"/>
        <w:numId w:val="40"/>
      </w:numPr>
    </w:pPr>
  </w:style>
  <w:style w:type="paragraph" w:customStyle="1" w:styleId="AppendixGHeading3">
    <w:name w:val="AppendixGHeading3"/>
    <w:basedOn w:val="Heading3"/>
    <w:uiPriority w:val="99"/>
    <w:rsid w:val="003D5419"/>
    <w:pPr>
      <w:numPr>
        <w:numId w:val="19"/>
      </w:numPr>
    </w:pPr>
  </w:style>
  <w:style w:type="paragraph" w:customStyle="1" w:styleId="Heading3TOC">
    <w:name w:val="Heading 3 TOC"/>
    <w:basedOn w:val="Heading3"/>
    <w:uiPriority w:val="99"/>
    <w:rsid w:val="007851F7"/>
    <w:pPr>
      <w:jc w:val="both"/>
    </w:pPr>
  </w:style>
  <w:style w:type="character" w:customStyle="1" w:styleId="HeadingBaseChar">
    <w:name w:val="Heading Base Char"/>
    <w:basedOn w:val="DefaultParagraphFont"/>
    <w:link w:val="HeadingBase"/>
    <w:uiPriority w:val="99"/>
    <w:locked/>
    <w:rsid w:val="003D79FF"/>
    <w:rPr>
      <w:rFonts w:ascii="Arial" w:hAnsi="Arial" w:cs="Times New Roman"/>
      <w:color w:val="2B7C32"/>
      <w:lang w:val="en-AU" w:eastAsia="en-AU" w:bidi="ar-SA"/>
    </w:rPr>
  </w:style>
  <w:style w:type="paragraph" w:customStyle="1" w:styleId="CharCharCharCharCharChar">
    <w:name w:val="Char Char Char Char Char Char"/>
    <w:basedOn w:val="Normal"/>
    <w:link w:val="DefaultParagraphFont"/>
    <w:uiPriority w:val="99"/>
    <w:rsid w:val="00717B35"/>
    <w:pPr>
      <w:spacing w:after="160" w:line="240" w:lineRule="exact"/>
      <w:jc w:val="left"/>
    </w:pPr>
    <w:rPr>
      <w:rFonts w:ascii="Verdana" w:hAnsi="Verdana"/>
      <w:color w:val="auto"/>
      <w:szCs w:val="24"/>
      <w:lang w:val="en-US" w:eastAsia="en-US"/>
    </w:rPr>
  </w:style>
  <w:style w:type="table" w:styleId="TableGrid">
    <w:name w:val="Table Grid"/>
    <w:basedOn w:val="TableNormal"/>
    <w:uiPriority w:val="99"/>
    <w:rsid w:val="00BF7E5D"/>
    <w:pPr>
      <w:spacing w:after="240" w:line="2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OC">
    <w:name w:val="Heading 3 no TOC"/>
    <w:basedOn w:val="Heading3"/>
    <w:uiPriority w:val="99"/>
    <w:rsid w:val="00362070"/>
    <w:pPr>
      <w:spacing w:after="120"/>
      <w:outlineLvl w:val="9"/>
    </w:pPr>
  </w:style>
  <w:style w:type="paragraph" w:customStyle="1" w:styleId="CharChar1Char">
    <w:name w:val="Char Char1 Char"/>
    <w:basedOn w:val="Normal"/>
    <w:uiPriority w:val="99"/>
    <w:rsid w:val="00A91254"/>
    <w:pPr>
      <w:spacing w:after="160" w:line="240" w:lineRule="exact"/>
      <w:jc w:val="left"/>
    </w:pPr>
    <w:rPr>
      <w:rFonts w:ascii="Times New Roman" w:hAnsi="Times New Roman"/>
      <w:color w:val="auto"/>
      <w:sz w:val="22"/>
      <w:lang w:val="en-GB" w:eastAsia="en-US"/>
    </w:rPr>
  </w:style>
  <w:style w:type="character" w:styleId="FollowedHyperlink">
    <w:name w:val="FollowedHyperlink"/>
    <w:basedOn w:val="DefaultParagraphFont"/>
    <w:uiPriority w:val="99"/>
    <w:rsid w:val="003D5419"/>
    <w:rPr>
      <w:rFonts w:cs="Times New Roman"/>
      <w:color w:val="000000"/>
      <w:u w:val="none"/>
    </w:rPr>
  </w:style>
  <w:style w:type="paragraph" w:customStyle="1" w:styleId="Style1">
    <w:name w:val="Style1"/>
    <w:basedOn w:val="AppendixAHeading3"/>
    <w:next w:val="AppendixAHeading4"/>
    <w:uiPriority w:val="99"/>
    <w:rsid w:val="003D5419"/>
    <w:pPr>
      <w:numPr>
        <w:numId w:val="0"/>
      </w:numPr>
    </w:pPr>
  </w:style>
  <w:style w:type="paragraph" w:customStyle="1" w:styleId="AppendixAHeading3NotItalic">
    <w:name w:val="AppendixAHeading3NotItalic"/>
    <w:basedOn w:val="HeadingBase"/>
    <w:next w:val="AppendixAHeading4"/>
    <w:uiPriority w:val="99"/>
    <w:rsid w:val="003D5419"/>
    <w:pPr>
      <w:numPr>
        <w:numId w:val="40"/>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3D5419"/>
  </w:style>
  <w:style w:type="paragraph" w:customStyle="1" w:styleId="CharChar1Char1">
    <w:name w:val="Char Char1 Char1"/>
    <w:basedOn w:val="Normal"/>
    <w:uiPriority w:val="99"/>
    <w:rsid w:val="0008463D"/>
    <w:pPr>
      <w:spacing w:after="160" w:line="240" w:lineRule="exact"/>
      <w:jc w:val="left"/>
    </w:pPr>
    <w:rPr>
      <w:rFonts w:ascii="Arial" w:hAnsi="Arial"/>
      <w:color w:val="auto"/>
      <w:sz w:val="22"/>
      <w:lang w:val="en-GB" w:eastAsia="en-US"/>
    </w:rPr>
  </w:style>
  <w:style w:type="paragraph" w:customStyle="1" w:styleId="Heading2noTOC">
    <w:name w:val="Heading 2 no TOC"/>
    <w:basedOn w:val="Heading2"/>
    <w:next w:val="Normal"/>
    <w:uiPriority w:val="99"/>
    <w:rsid w:val="003D5419"/>
    <w:pPr>
      <w:outlineLvl w:val="9"/>
    </w:pPr>
    <w:rPr>
      <w:rFonts w:ascii="Arial" w:hAnsi="Arial"/>
    </w:rPr>
  </w:style>
  <w:style w:type="paragraph" w:customStyle="1" w:styleId="Heading9noTOC">
    <w:name w:val="Heading 9 no TOC"/>
    <w:basedOn w:val="Heading9"/>
    <w:uiPriority w:val="99"/>
    <w:rsid w:val="003D541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19"/>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3D5419"/>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3D5419"/>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3D5419"/>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3D5419"/>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3D5419"/>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3D5419"/>
    <w:pPr>
      <w:keepNext/>
      <w:spacing w:after="120"/>
      <w:outlineLvl w:val="5"/>
    </w:pPr>
    <w:rPr>
      <w:bCs/>
      <w:szCs w:val="22"/>
    </w:rPr>
  </w:style>
  <w:style w:type="paragraph" w:styleId="Heading7">
    <w:name w:val="heading 7"/>
    <w:basedOn w:val="Heading2"/>
    <w:next w:val="Normal"/>
    <w:link w:val="Heading7Char"/>
    <w:uiPriority w:val="99"/>
    <w:qFormat/>
    <w:rsid w:val="003D5419"/>
    <w:pPr>
      <w:jc w:val="right"/>
      <w:outlineLvl w:val="6"/>
    </w:pPr>
  </w:style>
  <w:style w:type="paragraph" w:styleId="Heading8">
    <w:name w:val="heading 8"/>
    <w:basedOn w:val="HeadingBase"/>
    <w:next w:val="Normal"/>
    <w:link w:val="Heading8Char"/>
    <w:uiPriority w:val="99"/>
    <w:qFormat/>
    <w:rsid w:val="003D5419"/>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3D5419"/>
    <w:pPr>
      <w:keepNext/>
      <w:spacing w:before="170" w:after="113" w:line="320" w:lineRule="exact"/>
      <w:jc w:val="right"/>
      <w:outlineLvl w:val="8"/>
    </w:pPr>
    <w:rPr>
      <w:rFonts w:cs="Arial"/>
      <w:b/>
      <w:sz w:val="28"/>
      <w:szCs w:val="22"/>
    </w:rPr>
  </w:style>
  <w:style w:type="character" w:default="1" w:styleId="DefaultParagraphFont">
    <w:name w:val="Default Paragraph Font"/>
    <w:link w:val="CharCharCharCharCharChar"/>
    <w:uiPriority w:val="99"/>
    <w:locked/>
    <w:rsid w:val="003D54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HeadingBaseChar"/>
    <w:link w:val="Heading3"/>
    <w:uiPriority w:val="99"/>
    <w:locked/>
    <w:rsid w:val="003D79FF"/>
    <w:rPr>
      <w:rFonts w:ascii="Arial" w:hAnsi="Arial" w:cs="Arial"/>
      <w:b/>
      <w:bCs/>
      <w:color w:val="2B7C32"/>
      <w:sz w:val="26"/>
      <w:szCs w:val="26"/>
      <w:lang w:val="en-AU" w:eastAsia="en-AU"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HeadingBase">
    <w:name w:val="Heading Base"/>
    <w:next w:val="Normal"/>
    <w:link w:val="HeadingBaseChar"/>
    <w:uiPriority w:val="99"/>
    <w:rsid w:val="003D5419"/>
    <w:pPr>
      <w:spacing w:after="0" w:line="240" w:lineRule="auto"/>
    </w:pPr>
    <w:rPr>
      <w:rFonts w:ascii="Arial" w:hAnsi="Arial"/>
      <w:color w:val="2B7C32"/>
      <w:sz w:val="20"/>
      <w:szCs w:val="20"/>
    </w:rPr>
  </w:style>
  <w:style w:type="paragraph" w:customStyle="1" w:styleId="Bullet">
    <w:name w:val="Bullet"/>
    <w:basedOn w:val="Normal"/>
    <w:uiPriority w:val="99"/>
    <w:rsid w:val="003D5419"/>
    <w:pPr>
      <w:numPr>
        <w:numId w:val="8"/>
      </w:numPr>
      <w:ind w:left="284" w:hanging="284"/>
    </w:pPr>
  </w:style>
  <w:style w:type="paragraph" w:customStyle="1" w:styleId="ChartandTableFootnote">
    <w:name w:val="Chart and Table Footnote"/>
    <w:basedOn w:val="HeadingBase"/>
    <w:next w:val="Normal"/>
    <w:uiPriority w:val="99"/>
    <w:pPr>
      <w:ind w:left="284" w:hanging="284"/>
    </w:pPr>
    <w:rPr>
      <w:color w:val="000000"/>
      <w:sz w:val="16"/>
      <w:szCs w:val="16"/>
    </w:rPr>
  </w:style>
  <w:style w:type="paragraph" w:customStyle="1" w:styleId="ChartandTableFootnoteAlpha">
    <w:name w:val="Chart and Table Footnote Alpha"/>
    <w:uiPriority w:val="99"/>
    <w:rsid w:val="003D5419"/>
    <w:pPr>
      <w:numPr>
        <w:numId w:val="11"/>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3D5419"/>
    <w:pPr>
      <w:jc w:val="center"/>
    </w:pPr>
  </w:style>
  <w:style w:type="paragraph" w:customStyle="1" w:styleId="ChartHeading">
    <w:name w:val="Chart Heading"/>
    <w:basedOn w:val="HeadingBase"/>
    <w:next w:val="ChartGraphic"/>
    <w:uiPriority w:val="99"/>
    <w:pPr>
      <w:keepNext/>
      <w:spacing w:before="170" w:after="113" w:line="240" w:lineRule="exact"/>
      <w:jc w:val="center"/>
    </w:pPr>
    <w:rPr>
      <w:b/>
      <w:bCs/>
      <w:sz w:val="22"/>
      <w:szCs w:val="22"/>
    </w:rPr>
  </w:style>
  <w:style w:type="paragraph" w:customStyle="1" w:styleId="ChartSecondHeading">
    <w:name w:val="Chart Second Heading"/>
    <w:basedOn w:val="HeadingBase"/>
    <w:next w:val="ChartGraphic"/>
    <w:uiPriority w:val="99"/>
    <w:rsid w:val="003D5419"/>
    <w:pPr>
      <w:keepNext/>
      <w:spacing w:after="20"/>
      <w:jc w:val="center"/>
    </w:p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customStyle="1" w:styleId="ContentsHeading">
    <w:name w:val="Contents Heading"/>
    <w:basedOn w:val="HeadingBase"/>
    <w:next w:val="Normal"/>
    <w:uiPriority w:val="99"/>
    <w:rsid w:val="003D5419"/>
    <w:pPr>
      <w:spacing w:after="360"/>
    </w:pPr>
    <w:rPr>
      <w:smallCaps/>
      <w:sz w:val="36"/>
      <w:szCs w:val="36"/>
    </w:rPr>
  </w:style>
  <w:style w:type="paragraph" w:styleId="BlockText">
    <w:name w:val="Block Text"/>
    <w:basedOn w:val="Normal"/>
    <w:uiPriority w:val="99"/>
    <w:pPr>
      <w:spacing w:after="120"/>
      <w:ind w:left="1440" w:right="1440"/>
    </w:pPr>
  </w:style>
  <w:style w:type="paragraph" w:customStyle="1" w:styleId="Dash">
    <w:name w:val="Dash"/>
    <w:basedOn w:val="Normal"/>
    <w:uiPriority w:val="99"/>
    <w:rsid w:val="003D5419"/>
    <w:pPr>
      <w:numPr>
        <w:ilvl w:val="1"/>
        <w:numId w:val="8"/>
      </w:numPr>
      <w:ind w:left="568"/>
    </w:pPr>
  </w:style>
  <w:style w:type="paragraph" w:customStyle="1" w:styleId="DoubleDot">
    <w:name w:val="Double Dot"/>
    <w:basedOn w:val="Normal"/>
    <w:uiPriority w:val="99"/>
    <w:rsid w:val="003D5419"/>
    <w:pPr>
      <w:numPr>
        <w:ilvl w:val="2"/>
        <w:numId w:val="8"/>
      </w:numPr>
    </w:pPr>
  </w:style>
  <w:style w:type="paragraph" w:customStyle="1" w:styleId="FileProperties">
    <w:name w:val="File Properties"/>
    <w:basedOn w:val="Normal"/>
    <w:uiPriority w:val="99"/>
    <w:rPr>
      <w:i/>
      <w:iCs/>
    </w:rPr>
  </w:style>
  <w:style w:type="paragraph" w:customStyle="1" w:styleId="FooterBase">
    <w:name w:val="Footer Base"/>
    <w:uiPriority w:val="99"/>
    <w:pPr>
      <w:spacing w:after="0" w:line="240" w:lineRule="auto"/>
    </w:pPr>
    <w:rPr>
      <w:rFonts w:ascii="Arial" w:hAnsi="Arial" w:cs="Arial"/>
      <w:color w:val="000080"/>
      <w:kern w:val="28"/>
      <w:sz w:val="18"/>
      <w:szCs w:val="18"/>
    </w:rPr>
  </w:style>
  <w:style w:type="character" w:customStyle="1" w:styleId="FramedHeader">
    <w:name w:val="Framed Header"/>
    <w:basedOn w:val="DefaultParagraphFont"/>
    <w:uiPriority w:val="99"/>
    <w:rsid w:val="003D5419"/>
    <w:rPr>
      <w:rFonts w:ascii="Arial" w:hAnsi="Arial" w:cs="Times New Roman"/>
      <w:color w:val="2B7C32"/>
      <w:sz w:val="18"/>
      <w:szCs w:val="18"/>
      <w:vertAlign w:val="baseline"/>
    </w:rPr>
  </w:style>
  <w:style w:type="paragraph" w:customStyle="1" w:styleId="HeaderBase">
    <w:name w:val="Header Base"/>
    <w:uiPriority w:val="99"/>
    <w:pPr>
      <w:spacing w:after="0" w:line="240" w:lineRule="auto"/>
    </w:pPr>
    <w:rPr>
      <w:rFonts w:ascii="Arial" w:hAnsi="Arial" w:cs="Arial"/>
      <w:color w:val="000080"/>
      <w:kern w:val="28"/>
      <w:sz w:val="18"/>
      <w:szCs w:val="18"/>
    </w:rPr>
  </w:style>
  <w:style w:type="paragraph" w:customStyle="1" w:styleId="HeaderEven">
    <w:name w:val="Header Even"/>
    <w:basedOn w:val="Header"/>
    <w:uiPriority w:val="99"/>
    <w:rsid w:val="003D5419"/>
  </w:style>
  <w:style w:type="paragraph" w:customStyle="1" w:styleId="HeaderOdd">
    <w:name w:val="Header Odd"/>
    <w:basedOn w:val="Header"/>
    <w:uiPriority w:val="99"/>
    <w:rsid w:val="003D5419"/>
    <w:pPr>
      <w:jc w:val="right"/>
    </w:pPr>
  </w:style>
  <w:style w:type="paragraph" w:customStyle="1" w:styleId="NumberedParagraph">
    <w:name w:val="Numbered Paragraph"/>
    <w:basedOn w:val="Normal"/>
    <w:uiPriority w:val="99"/>
    <w:rsid w:val="003D5419"/>
    <w:pPr>
      <w:numPr>
        <w:numId w:val="16"/>
      </w:numPr>
    </w:pPr>
  </w:style>
  <w:style w:type="paragraph" w:customStyle="1" w:styleId="TableTextRight">
    <w:name w:val="Table Text Right"/>
    <w:basedOn w:val="TableTextBase"/>
    <w:uiPriority w:val="99"/>
    <w:rsid w:val="003D5419"/>
    <w:pPr>
      <w:jc w:val="right"/>
    </w:pPr>
  </w:style>
  <w:style w:type="paragraph" w:customStyle="1" w:styleId="TableTextBase">
    <w:name w:val="Table Text Base"/>
    <w:uiPriority w:val="99"/>
    <w:rsid w:val="003D5419"/>
    <w:pPr>
      <w:spacing w:before="40" w:after="40" w:line="240" w:lineRule="auto"/>
    </w:pPr>
    <w:rPr>
      <w:rFonts w:ascii="Arial" w:hAnsi="Arial"/>
      <w:color w:val="000000"/>
      <w:sz w:val="16"/>
      <w:szCs w:val="20"/>
    </w:rPr>
  </w:style>
  <w:style w:type="paragraph" w:customStyle="1" w:styleId="TableGraphic">
    <w:name w:val="Table Graphic"/>
    <w:basedOn w:val="HeadingBase"/>
    <w:next w:val="Normal"/>
    <w:uiPriority w:val="99"/>
    <w:rsid w:val="003D5419"/>
    <w:pPr>
      <w:spacing w:after="20"/>
      <w:ind w:right="-113"/>
    </w:pPr>
    <w:rPr>
      <w:rFonts w:ascii="Helvetica" w:hAnsi="Helvetica"/>
    </w:rPr>
  </w:style>
  <w:style w:type="paragraph" w:customStyle="1" w:styleId="TableHeading">
    <w:name w:val="Table Heading"/>
    <w:basedOn w:val="HeadingBase"/>
    <w:next w:val="TableGraphic"/>
    <w:uiPriority w:val="99"/>
    <w:pPr>
      <w:keepNext/>
      <w:spacing w:before="170" w:after="113" w:line="240" w:lineRule="exact"/>
    </w:pPr>
    <w:rPr>
      <w:b/>
      <w:bCs/>
      <w:sz w:val="22"/>
      <w:szCs w:val="22"/>
    </w:rPr>
  </w:style>
  <w:style w:type="paragraph" w:customStyle="1" w:styleId="TableHeadingcontinued">
    <w:name w:val="Table Heading continued"/>
    <w:basedOn w:val="HeadingBase"/>
    <w:next w:val="TableGraphic"/>
    <w:uiPriority w:val="99"/>
    <w:pPr>
      <w:keepNext/>
      <w:spacing w:before="170" w:after="113" w:line="240" w:lineRule="exact"/>
    </w:pPr>
    <w:rPr>
      <w:b/>
      <w:bCs/>
      <w:sz w:val="22"/>
      <w:szCs w:val="22"/>
    </w:rPr>
  </w:style>
  <w:style w:type="paragraph" w:styleId="Footer">
    <w:name w:val="footer"/>
    <w:basedOn w:val="HeadingBase"/>
    <w:link w:val="FooterChar"/>
    <w:uiPriority w:val="99"/>
    <w:rsid w:val="003D5419"/>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styleId="Header">
    <w:name w:val="header"/>
    <w:basedOn w:val="HeadingBase"/>
    <w:link w:val="HeaderChar"/>
    <w:uiPriority w:val="99"/>
    <w:rsid w:val="003D5419"/>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character" w:styleId="PageNumber">
    <w:name w:val="page number"/>
    <w:basedOn w:val="DefaultParagraphFont"/>
    <w:uiPriority w:val="99"/>
    <w:rsid w:val="003D5419"/>
    <w:rPr>
      <w:rFonts w:ascii="Times" w:hAnsi="Times" w:cs="Times New Roman"/>
      <w:color w:val="2B7C32"/>
      <w:sz w:val="18"/>
      <w:szCs w:val="18"/>
    </w:rPr>
  </w:style>
  <w:style w:type="character" w:styleId="FootnoteReference">
    <w:name w:val="footnote reference"/>
    <w:basedOn w:val="DefaultParagraphFont"/>
    <w:uiPriority w:val="99"/>
    <w:rsid w:val="003D5419"/>
    <w:rPr>
      <w:rFonts w:cs="Times New Roman"/>
      <w:vertAlign w:val="superscript"/>
    </w:rPr>
  </w:style>
  <w:style w:type="paragraph" w:styleId="FootnoteText">
    <w:name w:val="footnote text"/>
    <w:basedOn w:val="Normal"/>
    <w:link w:val="FootnoteTextChar"/>
    <w:uiPriority w:val="99"/>
    <w:rsid w:val="003D5419"/>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Pr>
      <w:rFonts w:ascii="Book Antiqua" w:hAnsi="Book Antiqua" w:cs="Times New Roman"/>
      <w:color w:val="000000"/>
      <w:sz w:val="18"/>
      <w:lang w:val="en-AU" w:eastAsia="en-AU" w:bidi="ar-SA"/>
    </w:rPr>
  </w:style>
  <w:style w:type="paragraph" w:styleId="Index1">
    <w:name w:val="index 1"/>
    <w:basedOn w:val="Normal"/>
    <w:next w:val="Normal"/>
    <w:autoRedefine/>
    <w:uiPriority w:val="99"/>
    <w:rsid w:val="003D5419"/>
    <w:pPr>
      <w:ind w:left="200" w:hanging="200"/>
    </w:pPr>
  </w:style>
  <w:style w:type="paragraph" w:styleId="Index2">
    <w:name w:val="index 2"/>
    <w:basedOn w:val="Normal"/>
    <w:next w:val="Normal"/>
    <w:autoRedefine/>
    <w:uiPriority w:val="99"/>
    <w:rsid w:val="003D5419"/>
    <w:pPr>
      <w:ind w:left="400" w:hanging="200"/>
    </w:pPr>
  </w:style>
  <w:style w:type="paragraph" w:styleId="Index3">
    <w:name w:val="index 3"/>
    <w:basedOn w:val="Normal"/>
    <w:next w:val="Normal"/>
    <w:autoRedefine/>
    <w:uiPriority w:val="99"/>
    <w:rsid w:val="003D5419"/>
    <w:pPr>
      <w:ind w:left="600" w:hanging="200"/>
    </w:pPr>
  </w:style>
  <w:style w:type="paragraph" w:styleId="IndexHeading">
    <w:name w:val="index heading"/>
    <w:basedOn w:val="Normal"/>
    <w:next w:val="Index1"/>
    <w:uiPriority w:val="99"/>
    <w:rsid w:val="003D5419"/>
    <w:rPr>
      <w:rFonts w:ascii="Arial" w:hAnsi="Arial" w:cs="Arial"/>
      <w:b/>
      <w:bCs/>
      <w:color w:val="2B7C32"/>
    </w:rPr>
  </w:style>
  <w:style w:type="paragraph" w:styleId="TOC1">
    <w:name w:val="toc 1"/>
    <w:basedOn w:val="HeadingBase"/>
    <w:next w:val="Normal"/>
    <w:uiPriority w:val="99"/>
    <w:rsid w:val="003D5419"/>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3D5419"/>
    <w:pPr>
      <w:tabs>
        <w:tab w:val="left" w:pos="1247"/>
        <w:tab w:val="right" w:leader="dot" w:pos="7700"/>
      </w:tabs>
      <w:spacing w:after="0"/>
      <w:ind w:right="851"/>
    </w:pPr>
    <w:rPr>
      <w:noProof/>
    </w:rPr>
  </w:style>
  <w:style w:type="paragraph" w:styleId="TOC3">
    <w:name w:val="toc 3"/>
    <w:basedOn w:val="Normal"/>
    <w:next w:val="Normal"/>
    <w:uiPriority w:val="99"/>
    <w:rsid w:val="003D5419"/>
    <w:pPr>
      <w:tabs>
        <w:tab w:val="right" w:leader="dot" w:pos="7700"/>
      </w:tabs>
      <w:spacing w:after="0" w:line="240" w:lineRule="auto"/>
      <w:ind w:left="284" w:right="851"/>
    </w:pPr>
    <w:rPr>
      <w:noProof/>
    </w:rPr>
  </w:style>
  <w:style w:type="paragraph" w:styleId="TOC4">
    <w:name w:val="toc 4"/>
    <w:basedOn w:val="Normal"/>
    <w:next w:val="Normal"/>
    <w:uiPriority w:val="99"/>
    <w:rsid w:val="003D5419"/>
    <w:pPr>
      <w:tabs>
        <w:tab w:val="left" w:pos="1080"/>
        <w:tab w:val="right" w:leader="dot" w:pos="7700"/>
      </w:tabs>
      <w:spacing w:after="0" w:line="240" w:lineRule="auto"/>
      <w:ind w:left="1080" w:right="851" w:hanging="1080"/>
    </w:pPr>
    <w:rPr>
      <w:noProof/>
    </w:rPr>
  </w:style>
  <w:style w:type="paragraph" w:customStyle="1" w:styleId="TableTextLeft">
    <w:name w:val="Table Text Left"/>
    <w:basedOn w:val="TableTextBase"/>
    <w:uiPriority w:val="99"/>
    <w:rsid w:val="003D5419"/>
  </w:style>
  <w:style w:type="paragraph" w:customStyle="1" w:styleId="SingleParagraph">
    <w:name w:val="Single Paragraph"/>
    <w:basedOn w:val="Normal"/>
    <w:uiPriority w:val="99"/>
    <w:rsid w:val="003D5419"/>
    <w:pPr>
      <w:spacing w:after="0"/>
    </w:pPr>
  </w:style>
  <w:style w:type="paragraph" w:styleId="TOC5">
    <w:name w:val="toc 5"/>
    <w:basedOn w:val="TOC2"/>
    <w:next w:val="Normal"/>
    <w:autoRedefine/>
    <w:uiPriority w:val="99"/>
    <w:rsid w:val="003D5419"/>
    <w:pPr>
      <w:ind w:left="1260" w:hanging="1260"/>
    </w:pPr>
  </w:style>
  <w:style w:type="paragraph" w:styleId="TOC6">
    <w:name w:val="toc 6"/>
    <w:basedOn w:val="Normal"/>
    <w:next w:val="Normal"/>
    <w:autoRedefine/>
    <w:uiPriority w:val="99"/>
    <w:rsid w:val="003D5419"/>
    <w:pPr>
      <w:ind w:left="1000"/>
    </w:pPr>
  </w:style>
  <w:style w:type="paragraph" w:styleId="TOC7">
    <w:name w:val="toc 7"/>
    <w:basedOn w:val="Normal"/>
    <w:next w:val="Normal"/>
    <w:autoRedefine/>
    <w:uiPriority w:val="99"/>
    <w:rsid w:val="003D5419"/>
    <w:pPr>
      <w:ind w:left="1200"/>
    </w:pPr>
  </w:style>
  <w:style w:type="paragraph" w:styleId="TOC8">
    <w:name w:val="toc 8"/>
    <w:basedOn w:val="Normal"/>
    <w:next w:val="Normal"/>
    <w:autoRedefine/>
    <w:uiPriority w:val="99"/>
    <w:rsid w:val="003D5419"/>
    <w:pPr>
      <w:ind w:left="1400"/>
    </w:pPr>
  </w:style>
  <w:style w:type="paragraph" w:styleId="TOC9">
    <w:name w:val="toc 9"/>
    <w:basedOn w:val="Normal"/>
    <w:next w:val="Normal"/>
    <w:autoRedefine/>
    <w:uiPriority w:val="99"/>
    <w:rsid w:val="003D5419"/>
    <w:pPr>
      <w:ind w:left="1600"/>
    </w:pPr>
  </w:style>
  <w:style w:type="paragraph" w:customStyle="1" w:styleId="TableTextColumnHeadingLeft">
    <w:name w:val="Table Text Column Heading Left"/>
    <w:basedOn w:val="TableTextBase"/>
    <w:uiPriority w:val="99"/>
    <w:rPr>
      <w:rFonts w:ascii="Arial Bold" w:hAnsi="Arial Bold" w:cs="Arial Bold"/>
      <w:b/>
      <w:bCs/>
    </w:rPr>
  </w:style>
  <w:style w:type="paragraph" w:customStyle="1" w:styleId="ChartandTableFootnoteSmall">
    <w:name w:val="Chart and Table Footnote Small"/>
    <w:basedOn w:val="ChartandTableFootnote"/>
    <w:uiPriority w:val="99"/>
    <w:rPr>
      <w:sz w:val="15"/>
      <w:szCs w:val="15"/>
    </w:rPr>
  </w:style>
  <w:style w:type="paragraph" w:customStyle="1" w:styleId="ChartandTableFootnoteAlphaSmall">
    <w:name w:val="Chart and Table Footnote Alpha Small"/>
    <w:basedOn w:val="ChartandTableFootnoteAlpha"/>
    <w:uiPriority w:val="99"/>
    <w:pPr>
      <w:numPr>
        <w:numId w:val="1"/>
      </w:numPr>
      <w:tabs>
        <w:tab w:val="clear" w:pos="360"/>
        <w:tab w:val="num" w:pos="283"/>
      </w:tabs>
      <w:ind w:left="284" w:hanging="284"/>
    </w:pPr>
    <w:rPr>
      <w:sz w:val="15"/>
      <w:szCs w:val="15"/>
    </w:rPr>
  </w:style>
  <w:style w:type="character" w:customStyle="1" w:styleId="FramedFooter">
    <w:name w:val="Framed Footer"/>
    <w:uiPriority w:val="99"/>
    <w:rsid w:val="003D5419"/>
    <w:rPr>
      <w:rFonts w:ascii="Arial" w:hAnsi="Arial"/>
      <w:color w:val="2B7C32"/>
      <w:sz w:val="18"/>
    </w:rPr>
  </w:style>
  <w:style w:type="paragraph" w:customStyle="1" w:styleId="Source">
    <w:name w:val="Source"/>
    <w:basedOn w:val="HeadingBase"/>
    <w:next w:val="Normal"/>
    <w:uiPriority w:val="99"/>
    <w:rPr>
      <w:color w:val="000000"/>
      <w:sz w:val="16"/>
      <w:szCs w:val="16"/>
    </w:rPr>
  </w:style>
  <w:style w:type="paragraph" w:customStyle="1" w:styleId="TableTextColumnHeadingRight">
    <w:name w:val="Table Text Column Heading Right"/>
    <w:basedOn w:val="TableTextBase"/>
    <w:uiPriority w:val="99"/>
    <w:pPr>
      <w:jc w:val="right"/>
    </w:pPr>
    <w:rPr>
      <w:b/>
      <w:bCs/>
    </w:rPr>
  </w:style>
  <w:style w:type="character" w:styleId="Strong">
    <w:name w:val="Strong"/>
    <w:basedOn w:val="DefaultParagraphFont"/>
    <w:uiPriority w:val="99"/>
    <w:qFormat/>
    <w:rPr>
      <w:rFonts w:cs="Times New Roman"/>
      <w:b/>
      <w:bCs/>
    </w:rPr>
  </w:style>
  <w:style w:type="paragraph" w:customStyle="1" w:styleId="Title2">
    <w:name w:val="Title 2"/>
    <w:basedOn w:val="HeadingBase"/>
    <w:uiPriority w:val="99"/>
    <w:pPr>
      <w:spacing w:after="360"/>
      <w:jc w:val="center"/>
    </w:pPr>
    <w:rPr>
      <w:sz w:val="36"/>
      <w:szCs w:val="36"/>
    </w:rPr>
  </w:style>
  <w:style w:type="paragraph" w:styleId="NormalIndent">
    <w:name w:val="Normal Indent"/>
    <w:basedOn w:val="Normal"/>
    <w:uiPriority w:val="99"/>
    <w:rsid w:val="003D5419"/>
    <w:pPr>
      <w:ind w:left="567"/>
    </w:pPr>
  </w:style>
  <w:style w:type="paragraph" w:customStyle="1" w:styleId="FooterEven">
    <w:name w:val="Footer Even"/>
    <w:basedOn w:val="Footer"/>
    <w:uiPriority w:val="99"/>
    <w:rsid w:val="003D5419"/>
  </w:style>
  <w:style w:type="paragraph" w:customStyle="1" w:styleId="FooterOdd">
    <w:name w:val="Footer Odd"/>
    <w:basedOn w:val="Footer"/>
    <w:uiPriority w:val="99"/>
    <w:rsid w:val="003D5419"/>
    <w:pPr>
      <w:jc w:val="right"/>
    </w:pPr>
  </w:style>
  <w:style w:type="paragraph" w:styleId="ListNumber">
    <w:name w:val="List Number"/>
    <w:basedOn w:val="Normal"/>
    <w:uiPriority w:val="99"/>
    <w:pPr>
      <w:numPr>
        <w:numId w:val="1"/>
      </w:numPr>
      <w:tabs>
        <w:tab w:val="clear" w:pos="360"/>
        <w:tab w:val="num" w:pos="1492"/>
      </w:tabs>
    </w:pPr>
  </w:style>
  <w:style w:type="paragraph" w:customStyle="1" w:styleId="TableTextIndent">
    <w:name w:val="Table Text Indent"/>
    <w:basedOn w:val="TableTextBase"/>
    <w:uiPriority w:val="99"/>
    <w:pPr>
      <w:ind w:left="284"/>
    </w:pPr>
  </w:style>
  <w:style w:type="paragraph" w:styleId="Title">
    <w:name w:val="Title"/>
    <w:basedOn w:val="HeadingBase"/>
    <w:link w:val="TitleChar"/>
    <w:uiPriority w:val="99"/>
    <w:qFormat/>
    <w:pPr>
      <w:spacing w:after="480"/>
      <w:jc w:val="center"/>
    </w:pPr>
    <w:rPr>
      <w:b/>
      <w:bCs/>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MacroText">
    <w:name w:val="macro"/>
    <w:link w:val="MacroTextChar"/>
    <w:uiPriority w:val="99"/>
    <w:rsid w:val="003D5419"/>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customStyle="1" w:styleId="Classification">
    <w:name w:val="Classification"/>
    <w:basedOn w:val="HeadingBase"/>
    <w:next w:val="Footer"/>
    <w:uiPriority w:val="99"/>
    <w:rsid w:val="003D5419"/>
    <w:pPr>
      <w:spacing w:after="120"/>
      <w:jc w:val="center"/>
    </w:pPr>
    <w:rPr>
      <w:b/>
      <w:smallCaps/>
    </w:rPr>
  </w:style>
  <w:style w:type="paragraph" w:customStyle="1" w:styleId="TableTextColumnHeadingCentre">
    <w:name w:val="Table Text Column Heading Centre"/>
    <w:basedOn w:val="TableTextBase"/>
    <w:uiPriority w:val="99"/>
    <w:pPr>
      <w:jc w:val="center"/>
    </w:pPr>
    <w:rPr>
      <w:b/>
      <w:bCs/>
    </w:rPr>
  </w:style>
  <w:style w:type="paragraph" w:customStyle="1" w:styleId="Normalbold">
    <w:name w:val="Normal bold"/>
    <w:basedOn w:val="Normal"/>
    <w:uiPriority w:val="99"/>
    <w:pPr>
      <w:jc w:val="left"/>
    </w:pPr>
    <w:rPr>
      <w:b/>
      <w:bCs/>
    </w:rPr>
  </w:style>
  <w:style w:type="character" w:customStyle="1" w:styleId="Normalitalics">
    <w:name w:val="Normal italics"/>
    <w:basedOn w:val="DefaultParagraphFont"/>
    <w:uiPriority w:val="99"/>
    <w:rPr>
      <w:rFonts w:cs="Times New Roman"/>
      <w:i/>
      <w:iCs/>
    </w:rPr>
  </w:style>
  <w:style w:type="paragraph" w:styleId="NoteHeading">
    <w:name w:val="Note Heading"/>
    <w:basedOn w:val="HeadingBase"/>
    <w:next w:val="Normal"/>
    <w:link w:val="NoteHeadingChar"/>
    <w:uiPriority w:val="99"/>
    <w:rPr>
      <w:color w:val="000000"/>
      <w:sz w:val="16"/>
      <w:szCs w:val="16"/>
    </w:rPr>
  </w:style>
  <w:style w:type="character" w:customStyle="1" w:styleId="NoteHeadingChar">
    <w:name w:val="Note Heading Char"/>
    <w:basedOn w:val="DefaultParagraphFont"/>
    <w:link w:val="NoteHeading"/>
    <w:uiPriority w:val="99"/>
    <w:semiHidden/>
    <w:rPr>
      <w:rFonts w:ascii="Book Antiqua" w:hAnsi="Book Antiqua"/>
      <w:color w:val="000000"/>
      <w:sz w:val="20"/>
      <w:szCs w:val="20"/>
    </w:rPr>
  </w:style>
  <w:style w:type="paragraph" w:customStyle="1" w:styleId="ChapterHeaderTitle">
    <w:name w:val="Chapter Header Title"/>
    <w:basedOn w:val="HeadingBase"/>
    <w:uiPriority w:val="99"/>
    <w:pPr>
      <w:spacing w:before="284" w:after="113"/>
    </w:pPr>
    <w:rPr>
      <w:color w:val="FFFFFF"/>
      <w:sz w:val="48"/>
      <w:szCs w:val="48"/>
    </w:rPr>
  </w:style>
  <w:style w:type="paragraph" w:customStyle="1" w:styleId="ChapterHeaderNo">
    <w:name w:val="Chapter Header No"/>
    <w:basedOn w:val="Header"/>
    <w:uiPriority w:val="99"/>
    <w:pPr>
      <w:jc w:val="center"/>
    </w:pPr>
    <w:rPr>
      <w:rFonts w:ascii="Arial Bold" w:hAnsi="Arial Bold" w:cs="Arial Bold"/>
      <w:b/>
      <w:bCs/>
      <w:color w:val="000080"/>
      <w:sz w:val="32"/>
      <w:szCs w:val="32"/>
    </w:rPr>
  </w:style>
  <w:style w:type="paragraph" w:customStyle="1" w:styleId="Contents">
    <w:name w:val="Contents"/>
    <w:basedOn w:val="Normal"/>
    <w:next w:val="TOC1"/>
    <w:uiPriority w:val="99"/>
    <w:pPr>
      <w:keepNext/>
      <w:spacing w:after="120" w:line="240" w:lineRule="auto"/>
    </w:pPr>
    <w:rPr>
      <w:rFonts w:ascii="Arial Bold" w:hAnsi="Arial Bold" w:cs="Arial Bold"/>
      <w:b/>
      <w:bCs/>
      <w:smallCaps/>
      <w:color w:val="000080"/>
      <w:sz w:val="36"/>
      <w:szCs w:val="36"/>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semiHidden/>
    <w:rPr>
      <w:rFonts w:ascii="Book Antiqua" w:hAnsi="Book Antiqua"/>
      <w:color w:val="000000"/>
      <w:sz w:val="16"/>
      <w:szCs w:val="16"/>
    </w:rPr>
  </w:style>
  <w:style w:type="paragraph" w:customStyle="1" w:styleId="ChapterNo">
    <w:name w:val="Chapter No"/>
    <w:basedOn w:val="HeadingBase"/>
    <w:next w:val="Heading1"/>
    <w:uiPriority w:val="99"/>
    <w:pPr>
      <w:pBdr>
        <w:bottom w:val="single" w:sz="4" w:space="1" w:color="auto"/>
      </w:pBdr>
    </w:pPr>
    <w:rPr>
      <w:caps/>
      <w:color w:val="000000"/>
      <w:sz w:val="16"/>
      <w:szCs w:val="16"/>
    </w:rPr>
  </w:style>
  <w:style w:type="paragraph" w:styleId="DocumentMap">
    <w:name w:val="Document Map"/>
    <w:basedOn w:val="Normal"/>
    <w:link w:val="DocumentMapChar"/>
    <w:uiPriority w:val="99"/>
    <w:rsid w:val="003D541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paragraph" w:styleId="BalloonText">
    <w:name w:val="Balloon Text"/>
    <w:basedOn w:val="Normal"/>
    <w:link w:val="BalloonTextChar"/>
    <w:uiPriority w:val="99"/>
    <w:rsid w:val="003D541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Hyperlink">
    <w:name w:val="Hyperlink"/>
    <w:basedOn w:val="DefaultParagraphFont"/>
    <w:uiPriority w:val="99"/>
    <w:rsid w:val="003D5419"/>
    <w:rPr>
      <w:rFonts w:cs="Times New Roman"/>
      <w:color w:val="000000"/>
      <w:u w:val="none"/>
    </w:rPr>
  </w:style>
  <w:style w:type="paragraph" w:customStyle="1" w:styleId="OutlineNumbered1">
    <w:name w:val="Outline Numbered 1"/>
    <w:basedOn w:val="Normal"/>
    <w:uiPriority w:val="99"/>
    <w:rsid w:val="003D5419"/>
    <w:pPr>
      <w:numPr>
        <w:numId w:val="9"/>
      </w:numPr>
    </w:pPr>
  </w:style>
  <w:style w:type="paragraph" w:customStyle="1" w:styleId="OutlineNumbered2">
    <w:name w:val="Outline Numbered 2"/>
    <w:basedOn w:val="Normal"/>
    <w:uiPriority w:val="99"/>
    <w:rsid w:val="003D5419"/>
    <w:pPr>
      <w:numPr>
        <w:ilvl w:val="1"/>
        <w:numId w:val="9"/>
      </w:numPr>
    </w:pPr>
  </w:style>
  <w:style w:type="paragraph" w:customStyle="1" w:styleId="OutlineNumbered3">
    <w:name w:val="Outline Numbered 3"/>
    <w:basedOn w:val="Normal"/>
    <w:uiPriority w:val="99"/>
    <w:rsid w:val="003D5419"/>
    <w:pPr>
      <w:numPr>
        <w:ilvl w:val="2"/>
        <w:numId w:val="9"/>
      </w:numPr>
    </w:pPr>
  </w:style>
  <w:style w:type="paragraph" w:customStyle="1" w:styleId="AlphaParagraph">
    <w:name w:val="Alpha Paragraph"/>
    <w:basedOn w:val="Normal"/>
    <w:uiPriority w:val="99"/>
    <w:rsid w:val="003D5419"/>
    <w:pPr>
      <w:numPr>
        <w:numId w:val="10"/>
      </w:numPr>
    </w:pPr>
  </w:style>
  <w:style w:type="paragraph" w:customStyle="1" w:styleId="AppendixHeading">
    <w:name w:val="Appendix Heading"/>
    <w:basedOn w:val="HeadingBase"/>
    <w:next w:val="Normal"/>
    <w:uiPriority w:val="99"/>
    <w:rsid w:val="003D5419"/>
    <w:pPr>
      <w:spacing w:before="720" w:after="360"/>
    </w:pPr>
    <w:rPr>
      <w:rFonts w:ascii="Arial Bold" w:hAnsi="Arial Bold"/>
      <w:b/>
      <w:smallCaps/>
      <w:sz w:val="36"/>
      <w:szCs w:val="36"/>
    </w:rPr>
  </w:style>
  <w:style w:type="character" w:customStyle="1" w:styleId="Bold">
    <w:name w:val="Bold"/>
    <w:basedOn w:val="DefaultParagraphFont"/>
    <w:uiPriority w:val="99"/>
    <w:rsid w:val="003D5419"/>
    <w:rPr>
      <w:rFonts w:cs="Times New Roman"/>
      <w:b/>
    </w:rPr>
  </w:style>
  <w:style w:type="paragraph" w:customStyle="1" w:styleId="BoxHeading">
    <w:name w:val="Box Heading"/>
    <w:basedOn w:val="HeadingBase"/>
    <w:next w:val="BoxText"/>
    <w:uiPriority w:val="99"/>
    <w:rsid w:val="003D5419"/>
    <w:pPr>
      <w:spacing w:before="120" w:after="120"/>
    </w:pPr>
    <w:rPr>
      <w:b/>
      <w:sz w:val="22"/>
    </w:rPr>
  </w:style>
  <w:style w:type="paragraph" w:customStyle="1" w:styleId="BoxTextBase">
    <w:name w:val="Box Text Base"/>
    <w:basedOn w:val="Normal"/>
    <w:uiPriority w:val="99"/>
    <w:rsid w:val="003D5419"/>
    <w:pPr>
      <w:spacing w:before="120" w:after="120" w:line="240" w:lineRule="auto"/>
    </w:pPr>
  </w:style>
  <w:style w:type="paragraph" w:customStyle="1" w:styleId="ChartMainHeading">
    <w:name w:val="Chart Main Heading"/>
    <w:basedOn w:val="HeadingBase"/>
    <w:next w:val="ChartGraphic"/>
    <w:uiPriority w:val="99"/>
    <w:rsid w:val="003D5419"/>
    <w:pPr>
      <w:keepNext/>
      <w:spacing w:before="170" w:after="113"/>
      <w:jc w:val="center"/>
    </w:pPr>
    <w:rPr>
      <w:b/>
      <w:sz w:val="22"/>
    </w:rPr>
  </w:style>
  <w:style w:type="paragraph" w:customStyle="1" w:styleId="ChartorTableNote">
    <w:name w:val="Chart or Table Note"/>
    <w:next w:val="Normal"/>
    <w:uiPriority w:val="99"/>
    <w:rsid w:val="003D5419"/>
    <w:pPr>
      <w:spacing w:after="0" w:line="240" w:lineRule="auto"/>
      <w:jc w:val="both"/>
    </w:pPr>
    <w:rPr>
      <w:rFonts w:ascii="Arial" w:hAnsi="Arial"/>
      <w:color w:val="000000"/>
      <w:sz w:val="16"/>
      <w:szCs w:val="20"/>
    </w:rPr>
  </w:style>
  <w:style w:type="paragraph" w:customStyle="1" w:styleId="CoverTitleMain">
    <w:name w:val="Cover Title Main"/>
    <w:basedOn w:val="HeadingBase"/>
    <w:next w:val="Normal"/>
    <w:uiPriority w:val="99"/>
    <w:rsid w:val="003D5419"/>
    <w:pPr>
      <w:spacing w:after="360"/>
      <w:jc w:val="right"/>
    </w:pPr>
    <w:rPr>
      <w:b/>
      <w:sz w:val="44"/>
    </w:rPr>
  </w:style>
  <w:style w:type="paragraph" w:customStyle="1" w:styleId="CoverTitleSub">
    <w:name w:val="Cover Title Sub"/>
    <w:basedOn w:val="HeadingBase"/>
    <w:uiPriority w:val="99"/>
    <w:rsid w:val="003D5419"/>
    <w:pPr>
      <w:spacing w:after="360"/>
      <w:jc w:val="center"/>
    </w:pPr>
    <w:rPr>
      <w:sz w:val="36"/>
    </w:rPr>
  </w:style>
  <w:style w:type="paragraph" w:customStyle="1" w:styleId="FooterCentered">
    <w:name w:val="Footer Centered"/>
    <w:basedOn w:val="Footer"/>
    <w:uiPriority w:val="99"/>
    <w:rsid w:val="003D5419"/>
    <w:pPr>
      <w:jc w:val="center"/>
    </w:pPr>
  </w:style>
  <w:style w:type="paragraph" w:customStyle="1" w:styleId="RecommendationHeading">
    <w:name w:val="Recommendation Heading"/>
    <w:basedOn w:val="HeadingBase"/>
    <w:next w:val="RecommendationText"/>
    <w:uiPriority w:val="99"/>
    <w:rsid w:val="003D5419"/>
    <w:pPr>
      <w:spacing w:after="240"/>
    </w:pPr>
    <w:rPr>
      <w:b/>
      <w:sz w:val="22"/>
    </w:rPr>
  </w:style>
  <w:style w:type="paragraph" w:customStyle="1" w:styleId="RecommendationBaseText">
    <w:name w:val="Recommendation Base Text"/>
    <w:basedOn w:val="Normal"/>
    <w:uiPriority w:val="99"/>
    <w:rsid w:val="003D5419"/>
  </w:style>
  <w:style w:type="paragraph" w:customStyle="1" w:styleId="RecommendationText">
    <w:name w:val="Recommendation Text"/>
    <w:basedOn w:val="RecommendationBaseText"/>
    <w:uiPriority w:val="99"/>
    <w:rsid w:val="003D5419"/>
  </w:style>
  <w:style w:type="paragraph" w:customStyle="1" w:styleId="TableColumnHeadingCentred">
    <w:name w:val="Table Column Heading Centred"/>
    <w:basedOn w:val="TableTextBase"/>
    <w:uiPriority w:val="99"/>
    <w:rsid w:val="003D5419"/>
    <w:pPr>
      <w:jc w:val="center"/>
    </w:pPr>
    <w:rPr>
      <w:b/>
    </w:rPr>
  </w:style>
  <w:style w:type="paragraph" w:customStyle="1" w:styleId="TableColumnHeadingLeft">
    <w:name w:val="Table Column Heading Left"/>
    <w:basedOn w:val="TableTextBase"/>
    <w:uiPriority w:val="99"/>
    <w:rsid w:val="003D5419"/>
    <w:rPr>
      <w:b/>
    </w:rPr>
  </w:style>
  <w:style w:type="paragraph" w:customStyle="1" w:styleId="TableColumnHeadingRight">
    <w:name w:val="Table Column Heading Right"/>
    <w:basedOn w:val="TableTextBase"/>
    <w:uiPriority w:val="99"/>
    <w:rsid w:val="003D5419"/>
    <w:pPr>
      <w:jc w:val="right"/>
    </w:pPr>
    <w:rPr>
      <w:b/>
    </w:rPr>
  </w:style>
  <w:style w:type="paragraph" w:customStyle="1" w:styleId="TableMainHeading">
    <w:name w:val="Table Main Heading"/>
    <w:basedOn w:val="HeadingBase"/>
    <w:next w:val="TableGraphic"/>
    <w:uiPriority w:val="99"/>
    <w:rsid w:val="003D5419"/>
    <w:pPr>
      <w:keepNext/>
      <w:spacing w:before="170" w:after="113"/>
    </w:pPr>
    <w:rPr>
      <w:b/>
      <w:sz w:val="22"/>
    </w:rPr>
  </w:style>
  <w:style w:type="paragraph" w:customStyle="1" w:styleId="TableMainHeadingContd">
    <w:name w:val="Table Main Heading Contd"/>
    <w:basedOn w:val="HeadingBase"/>
    <w:next w:val="TableGraphic"/>
    <w:uiPriority w:val="99"/>
    <w:rsid w:val="003D5419"/>
    <w:pPr>
      <w:keepNext/>
      <w:spacing w:after="20"/>
    </w:pPr>
    <w:rPr>
      <w:b/>
      <w:sz w:val="22"/>
    </w:rPr>
  </w:style>
  <w:style w:type="paragraph" w:customStyle="1" w:styleId="TableSecondHeading">
    <w:name w:val="Table Second Heading"/>
    <w:basedOn w:val="HeadingBase"/>
    <w:next w:val="TableGraphic"/>
    <w:uiPriority w:val="99"/>
    <w:rsid w:val="003D5419"/>
    <w:pPr>
      <w:keepNext/>
      <w:spacing w:after="20"/>
    </w:pPr>
  </w:style>
  <w:style w:type="paragraph" w:customStyle="1" w:styleId="TableTextCentered">
    <w:name w:val="Table Text Centered"/>
    <w:basedOn w:val="TableTextBase"/>
    <w:uiPriority w:val="99"/>
    <w:rsid w:val="003D5419"/>
    <w:pPr>
      <w:jc w:val="center"/>
    </w:pPr>
  </w:style>
  <w:style w:type="paragraph" w:customStyle="1" w:styleId="TableTextIndented">
    <w:name w:val="Table Text Indented"/>
    <w:basedOn w:val="TableTextBase"/>
    <w:uiPriority w:val="99"/>
    <w:rsid w:val="003D5419"/>
    <w:pPr>
      <w:ind w:left="284"/>
    </w:pPr>
  </w:style>
  <w:style w:type="character" w:customStyle="1" w:styleId="Italic">
    <w:name w:val="Italic"/>
    <w:basedOn w:val="DefaultParagraphFont"/>
    <w:uiPriority w:val="99"/>
    <w:rsid w:val="003D5419"/>
    <w:rPr>
      <w:rFonts w:cs="Times New Roman"/>
      <w:i/>
    </w:rPr>
  </w:style>
  <w:style w:type="paragraph" w:customStyle="1" w:styleId="OneLevelNumberedParagraph">
    <w:name w:val="One Level Numbered Paragraph"/>
    <w:basedOn w:val="Normal"/>
    <w:uiPriority w:val="99"/>
    <w:rsid w:val="003D5419"/>
    <w:pPr>
      <w:numPr>
        <w:numId w:val="13"/>
      </w:numPr>
    </w:pPr>
  </w:style>
  <w:style w:type="paragraph" w:customStyle="1" w:styleId="BoxText">
    <w:name w:val="Box Text"/>
    <w:basedOn w:val="BoxTextBase"/>
    <w:uiPriority w:val="99"/>
    <w:rsid w:val="003D5419"/>
  </w:style>
  <w:style w:type="paragraph" w:customStyle="1" w:styleId="BoxBullet">
    <w:name w:val="Box Bullet"/>
    <w:basedOn w:val="BoxTextBase"/>
    <w:uiPriority w:val="99"/>
    <w:rsid w:val="003D5419"/>
    <w:pPr>
      <w:numPr>
        <w:numId w:val="12"/>
      </w:numPr>
    </w:pPr>
  </w:style>
  <w:style w:type="paragraph" w:customStyle="1" w:styleId="BoxDash">
    <w:name w:val="Box Dash"/>
    <w:basedOn w:val="Normal"/>
    <w:uiPriority w:val="99"/>
    <w:rsid w:val="003D5419"/>
    <w:pPr>
      <w:numPr>
        <w:ilvl w:val="1"/>
        <w:numId w:val="12"/>
      </w:numPr>
    </w:pPr>
  </w:style>
  <w:style w:type="paragraph" w:customStyle="1" w:styleId="BoxDoubleDot">
    <w:name w:val="Box Double Dot"/>
    <w:basedOn w:val="BoxTextBase"/>
    <w:uiPriority w:val="99"/>
    <w:rsid w:val="003D5419"/>
    <w:pPr>
      <w:numPr>
        <w:ilvl w:val="2"/>
        <w:numId w:val="12"/>
      </w:numPr>
    </w:pPr>
  </w:style>
  <w:style w:type="paragraph" w:customStyle="1" w:styleId="RecommendationBullet">
    <w:name w:val="Recommendation Bullet"/>
    <w:basedOn w:val="RecommendationBaseText"/>
    <w:uiPriority w:val="99"/>
    <w:rsid w:val="003D5419"/>
    <w:pPr>
      <w:numPr>
        <w:numId w:val="14"/>
      </w:numPr>
    </w:pPr>
  </w:style>
  <w:style w:type="paragraph" w:customStyle="1" w:styleId="RecommendationDash">
    <w:name w:val="Recommendation Dash"/>
    <w:basedOn w:val="RecommendationBaseText"/>
    <w:uiPriority w:val="99"/>
    <w:rsid w:val="003D5419"/>
    <w:pPr>
      <w:numPr>
        <w:ilvl w:val="1"/>
        <w:numId w:val="14"/>
      </w:numPr>
    </w:pPr>
  </w:style>
  <w:style w:type="paragraph" w:customStyle="1" w:styleId="RecommendationDoubleDot">
    <w:name w:val="Recommendation Double Dot"/>
    <w:basedOn w:val="RecommendationBaseText"/>
    <w:uiPriority w:val="99"/>
    <w:rsid w:val="003D5419"/>
    <w:pPr>
      <w:numPr>
        <w:ilvl w:val="2"/>
        <w:numId w:val="14"/>
      </w:numPr>
    </w:pPr>
  </w:style>
  <w:style w:type="character" w:customStyle="1" w:styleId="Boldanditalic">
    <w:name w:val="Bold and italic"/>
    <w:basedOn w:val="DefaultParagraphFont"/>
    <w:uiPriority w:val="99"/>
    <w:rsid w:val="003D5419"/>
    <w:rPr>
      <w:rFonts w:cs="Times New Roman"/>
      <w:b/>
      <w:i/>
    </w:rPr>
  </w:style>
  <w:style w:type="paragraph" w:styleId="Caption">
    <w:name w:val="caption"/>
    <w:basedOn w:val="Normal"/>
    <w:next w:val="Normal"/>
    <w:uiPriority w:val="99"/>
    <w:qFormat/>
    <w:rsid w:val="003D5419"/>
    <w:pPr>
      <w:spacing w:before="120" w:after="120"/>
    </w:pPr>
    <w:rPr>
      <w:b/>
      <w:bCs/>
    </w:rPr>
  </w:style>
  <w:style w:type="character" w:styleId="CommentReference">
    <w:name w:val="annotation reference"/>
    <w:basedOn w:val="DefaultParagraphFont"/>
    <w:uiPriority w:val="99"/>
    <w:rsid w:val="003D5419"/>
    <w:rPr>
      <w:rFonts w:cs="Times New Roman"/>
      <w:sz w:val="16"/>
      <w:szCs w:val="16"/>
    </w:rPr>
  </w:style>
  <w:style w:type="paragraph" w:styleId="CommentText">
    <w:name w:val="annotation text"/>
    <w:basedOn w:val="Normal"/>
    <w:link w:val="CommentTextChar"/>
    <w:uiPriority w:val="99"/>
    <w:rsid w:val="003D5419"/>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3D5419"/>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character" w:styleId="EndnoteReference">
    <w:name w:val="endnote reference"/>
    <w:basedOn w:val="DefaultParagraphFont"/>
    <w:uiPriority w:val="99"/>
    <w:rsid w:val="003D5419"/>
    <w:rPr>
      <w:rFonts w:cs="Times New Roman"/>
      <w:vertAlign w:val="superscript"/>
    </w:rPr>
  </w:style>
  <w:style w:type="paragraph" w:styleId="EndnoteText">
    <w:name w:val="endnote text"/>
    <w:basedOn w:val="Normal"/>
    <w:link w:val="EndnoteTextChar"/>
    <w:uiPriority w:val="99"/>
    <w:rsid w:val="003D5419"/>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4">
    <w:name w:val="index 4"/>
    <w:basedOn w:val="Normal"/>
    <w:next w:val="Normal"/>
    <w:autoRedefine/>
    <w:uiPriority w:val="99"/>
    <w:rsid w:val="003D5419"/>
    <w:pPr>
      <w:ind w:left="800" w:hanging="200"/>
    </w:pPr>
  </w:style>
  <w:style w:type="paragraph" w:styleId="Index5">
    <w:name w:val="index 5"/>
    <w:basedOn w:val="Normal"/>
    <w:next w:val="Normal"/>
    <w:autoRedefine/>
    <w:uiPriority w:val="99"/>
    <w:rsid w:val="003D5419"/>
    <w:pPr>
      <w:ind w:left="1000" w:hanging="200"/>
    </w:pPr>
  </w:style>
  <w:style w:type="paragraph" w:styleId="Index6">
    <w:name w:val="index 6"/>
    <w:basedOn w:val="Normal"/>
    <w:next w:val="Normal"/>
    <w:autoRedefine/>
    <w:uiPriority w:val="99"/>
    <w:rsid w:val="003D5419"/>
    <w:pPr>
      <w:ind w:left="1200" w:hanging="200"/>
    </w:pPr>
  </w:style>
  <w:style w:type="paragraph" w:styleId="Index7">
    <w:name w:val="index 7"/>
    <w:basedOn w:val="Normal"/>
    <w:next w:val="Normal"/>
    <w:autoRedefine/>
    <w:uiPriority w:val="99"/>
    <w:rsid w:val="003D5419"/>
    <w:pPr>
      <w:ind w:left="1400" w:hanging="200"/>
    </w:pPr>
  </w:style>
  <w:style w:type="paragraph" w:styleId="Index8">
    <w:name w:val="index 8"/>
    <w:basedOn w:val="Normal"/>
    <w:next w:val="Normal"/>
    <w:autoRedefine/>
    <w:uiPriority w:val="99"/>
    <w:rsid w:val="003D5419"/>
    <w:pPr>
      <w:ind w:left="1600" w:hanging="200"/>
    </w:pPr>
  </w:style>
  <w:style w:type="paragraph" w:styleId="Index9">
    <w:name w:val="index 9"/>
    <w:basedOn w:val="Normal"/>
    <w:next w:val="Normal"/>
    <w:autoRedefine/>
    <w:uiPriority w:val="99"/>
    <w:rsid w:val="003D5419"/>
    <w:pPr>
      <w:ind w:left="1800" w:hanging="200"/>
    </w:pPr>
  </w:style>
  <w:style w:type="paragraph" w:styleId="TableofAuthorities">
    <w:name w:val="table of authorities"/>
    <w:basedOn w:val="Normal"/>
    <w:next w:val="Normal"/>
    <w:uiPriority w:val="99"/>
    <w:rsid w:val="003D5419"/>
    <w:pPr>
      <w:ind w:left="200" w:hanging="200"/>
    </w:pPr>
  </w:style>
  <w:style w:type="paragraph" w:styleId="TableofFigures">
    <w:name w:val="table of figures"/>
    <w:basedOn w:val="Normal"/>
    <w:next w:val="Normal"/>
    <w:uiPriority w:val="99"/>
    <w:rsid w:val="003D5419"/>
    <w:pPr>
      <w:ind w:left="400" w:hanging="400"/>
    </w:pPr>
  </w:style>
  <w:style w:type="paragraph" w:styleId="TOAHeading">
    <w:name w:val="toa heading"/>
    <w:basedOn w:val="Normal"/>
    <w:next w:val="Normal"/>
    <w:uiPriority w:val="99"/>
    <w:rsid w:val="003D5419"/>
    <w:pPr>
      <w:spacing w:before="120"/>
    </w:pPr>
    <w:rPr>
      <w:rFonts w:ascii="Arial" w:hAnsi="Arial" w:cs="Arial"/>
      <w:b/>
      <w:bCs/>
      <w:sz w:val="24"/>
      <w:szCs w:val="24"/>
    </w:rPr>
  </w:style>
  <w:style w:type="paragraph" w:customStyle="1" w:styleId="AppendixAHeading3">
    <w:name w:val="AppendixAHeading3"/>
    <w:basedOn w:val="Heading3"/>
    <w:next w:val="AppendixAHeading4"/>
    <w:uiPriority w:val="99"/>
    <w:rsid w:val="003D5419"/>
    <w:pPr>
      <w:numPr>
        <w:numId w:val="39"/>
      </w:numPr>
    </w:pPr>
    <w:rPr>
      <w:rFonts w:ascii="Arial Bold" w:hAnsi="Arial Bold"/>
      <w:i/>
    </w:rPr>
  </w:style>
  <w:style w:type="paragraph" w:customStyle="1" w:styleId="AppendixAHeading4">
    <w:name w:val="AppendixAHeading4"/>
    <w:basedOn w:val="Heading4"/>
    <w:next w:val="Bullet"/>
    <w:uiPriority w:val="99"/>
    <w:rsid w:val="003D5419"/>
    <w:pPr>
      <w:numPr>
        <w:ilvl w:val="1"/>
        <w:numId w:val="40"/>
      </w:numPr>
    </w:pPr>
  </w:style>
  <w:style w:type="paragraph" w:customStyle="1" w:styleId="AppendixGHeading3">
    <w:name w:val="AppendixGHeading3"/>
    <w:basedOn w:val="Heading3"/>
    <w:uiPriority w:val="99"/>
    <w:rsid w:val="003D5419"/>
    <w:pPr>
      <w:numPr>
        <w:numId w:val="19"/>
      </w:numPr>
    </w:pPr>
  </w:style>
  <w:style w:type="paragraph" w:customStyle="1" w:styleId="Heading3TOC">
    <w:name w:val="Heading 3 TOC"/>
    <w:basedOn w:val="Heading3"/>
    <w:uiPriority w:val="99"/>
    <w:rsid w:val="007851F7"/>
    <w:pPr>
      <w:jc w:val="both"/>
    </w:pPr>
  </w:style>
  <w:style w:type="character" w:customStyle="1" w:styleId="HeadingBaseChar">
    <w:name w:val="Heading Base Char"/>
    <w:basedOn w:val="DefaultParagraphFont"/>
    <w:link w:val="HeadingBase"/>
    <w:uiPriority w:val="99"/>
    <w:locked/>
    <w:rsid w:val="003D79FF"/>
    <w:rPr>
      <w:rFonts w:ascii="Arial" w:hAnsi="Arial" w:cs="Times New Roman"/>
      <w:color w:val="2B7C32"/>
      <w:lang w:val="en-AU" w:eastAsia="en-AU" w:bidi="ar-SA"/>
    </w:rPr>
  </w:style>
  <w:style w:type="paragraph" w:customStyle="1" w:styleId="CharCharCharCharCharChar">
    <w:name w:val="Char Char Char Char Char Char"/>
    <w:basedOn w:val="Normal"/>
    <w:link w:val="DefaultParagraphFont"/>
    <w:uiPriority w:val="99"/>
    <w:rsid w:val="00717B35"/>
    <w:pPr>
      <w:spacing w:after="160" w:line="240" w:lineRule="exact"/>
      <w:jc w:val="left"/>
    </w:pPr>
    <w:rPr>
      <w:rFonts w:ascii="Verdana" w:hAnsi="Verdana"/>
      <w:color w:val="auto"/>
      <w:szCs w:val="24"/>
      <w:lang w:val="en-US" w:eastAsia="en-US"/>
    </w:rPr>
  </w:style>
  <w:style w:type="table" w:styleId="TableGrid">
    <w:name w:val="Table Grid"/>
    <w:basedOn w:val="TableNormal"/>
    <w:uiPriority w:val="99"/>
    <w:rsid w:val="00BF7E5D"/>
    <w:pPr>
      <w:spacing w:after="240" w:line="2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OC">
    <w:name w:val="Heading 3 no TOC"/>
    <w:basedOn w:val="Heading3"/>
    <w:uiPriority w:val="99"/>
    <w:rsid w:val="00362070"/>
    <w:pPr>
      <w:spacing w:after="120"/>
      <w:outlineLvl w:val="9"/>
    </w:pPr>
  </w:style>
  <w:style w:type="paragraph" w:customStyle="1" w:styleId="CharChar1Char">
    <w:name w:val="Char Char1 Char"/>
    <w:basedOn w:val="Normal"/>
    <w:uiPriority w:val="99"/>
    <w:rsid w:val="00A91254"/>
    <w:pPr>
      <w:spacing w:after="160" w:line="240" w:lineRule="exact"/>
      <w:jc w:val="left"/>
    </w:pPr>
    <w:rPr>
      <w:rFonts w:ascii="Times New Roman" w:hAnsi="Times New Roman"/>
      <w:color w:val="auto"/>
      <w:sz w:val="22"/>
      <w:lang w:val="en-GB" w:eastAsia="en-US"/>
    </w:rPr>
  </w:style>
  <w:style w:type="character" w:styleId="FollowedHyperlink">
    <w:name w:val="FollowedHyperlink"/>
    <w:basedOn w:val="DefaultParagraphFont"/>
    <w:uiPriority w:val="99"/>
    <w:rsid w:val="003D5419"/>
    <w:rPr>
      <w:rFonts w:cs="Times New Roman"/>
      <w:color w:val="000000"/>
      <w:u w:val="none"/>
    </w:rPr>
  </w:style>
  <w:style w:type="paragraph" w:customStyle="1" w:styleId="Style1">
    <w:name w:val="Style1"/>
    <w:basedOn w:val="AppendixAHeading3"/>
    <w:next w:val="AppendixAHeading4"/>
    <w:uiPriority w:val="99"/>
    <w:rsid w:val="003D5419"/>
    <w:pPr>
      <w:numPr>
        <w:numId w:val="0"/>
      </w:numPr>
    </w:pPr>
  </w:style>
  <w:style w:type="paragraph" w:customStyle="1" w:styleId="AppendixAHeading3NotItalic">
    <w:name w:val="AppendixAHeading3NotItalic"/>
    <w:basedOn w:val="HeadingBase"/>
    <w:next w:val="AppendixAHeading4"/>
    <w:uiPriority w:val="99"/>
    <w:rsid w:val="003D5419"/>
    <w:pPr>
      <w:numPr>
        <w:numId w:val="40"/>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3D5419"/>
  </w:style>
  <w:style w:type="paragraph" w:customStyle="1" w:styleId="CharChar1Char1">
    <w:name w:val="Char Char1 Char1"/>
    <w:basedOn w:val="Normal"/>
    <w:uiPriority w:val="99"/>
    <w:rsid w:val="0008463D"/>
    <w:pPr>
      <w:spacing w:after="160" w:line="240" w:lineRule="exact"/>
      <w:jc w:val="left"/>
    </w:pPr>
    <w:rPr>
      <w:rFonts w:ascii="Arial" w:hAnsi="Arial"/>
      <w:color w:val="auto"/>
      <w:sz w:val="22"/>
      <w:lang w:val="en-GB" w:eastAsia="en-US"/>
    </w:rPr>
  </w:style>
  <w:style w:type="paragraph" w:customStyle="1" w:styleId="Heading2noTOC">
    <w:name w:val="Heading 2 no TOC"/>
    <w:basedOn w:val="Heading2"/>
    <w:next w:val="Normal"/>
    <w:uiPriority w:val="99"/>
    <w:rsid w:val="003D5419"/>
    <w:pPr>
      <w:outlineLvl w:val="9"/>
    </w:pPr>
    <w:rPr>
      <w:rFonts w:ascii="Arial" w:hAnsi="Arial"/>
    </w:rPr>
  </w:style>
  <w:style w:type="paragraph" w:customStyle="1" w:styleId="Heading9noTOC">
    <w:name w:val="Heading 9 no TOC"/>
    <w:basedOn w:val="Heading9"/>
    <w:uiPriority w:val="99"/>
    <w:rsid w:val="003D54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040">
      <w:marLeft w:val="0"/>
      <w:marRight w:val="0"/>
      <w:marTop w:val="0"/>
      <w:marBottom w:val="0"/>
      <w:divBdr>
        <w:top w:val="none" w:sz="0" w:space="0" w:color="auto"/>
        <w:left w:val="none" w:sz="0" w:space="0" w:color="auto"/>
        <w:bottom w:val="none" w:sz="0" w:space="0" w:color="auto"/>
        <w:right w:val="none" w:sz="0" w:space="0" w:color="auto"/>
      </w:divBdr>
    </w:div>
    <w:div w:id="1678532041">
      <w:marLeft w:val="0"/>
      <w:marRight w:val="0"/>
      <w:marTop w:val="0"/>
      <w:marBottom w:val="0"/>
      <w:divBdr>
        <w:top w:val="none" w:sz="0" w:space="0" w:color="auto"/>
        <w:left w:val="none" w:sz="0" w:space="0" w:color="auto"/>
        <w:bottom w:val="none" w:sz="0" w:space="0" w:color="auto"/>
        <w:right w:val="none" w:sz="0" w:space="0" w:color="auto"/>
      </w:divBdr>
    </w:div>
    <w:div w:id="1678532042">
      <w:marLeft w:val="0"/>
      <w:marRight w:val="0"/>
      <w:marTop w:val="0"/>
      <w:marBottom w:val="0"/>
      <w:divBdr>
        <w:top w:val="none" w:sz="0" w:space="0" w:color="auto"/>
        <w:left w:val="none" w:sz="0" w:space="0" w:color="auto"/>
        <w:bottom w:val="none" w:sz="0" w:space="0" w:color="auto"/>
        <w:right w:val="none" w:sz="0" w:space="0" w:color="auto"/>
      </w:divBdr>
    </w:div>
    <w:div w:id="1678532043">
      <w:marLeft w:val="0"/>
      <w:marRight w:val="0"/>
      <w:marTop w:val="0"/>
      <w:marBottom w:val="0"/>
      <w:divBdr>
        <w:top w:val="none" w:sz="0" w:space="0" w:color="auto"/>
        <w:left w:val="none" w:sz="0" w:space="0" w:color="auto"/>
        <w:bottom w:val="none" w:sz="0" w:space="0" w:color="auto"/>
        <w:right w:val="none" w:sz="0" w:space="0" w:color="auto"/>
      </w:divBdr>
    </w:div>
    <w:div w:id="1678532044">
      <w:marLeft w:val="0"/>
      <w:marRight w:val="0"/>
      <w:marTop w:val="0"/>
      <w:marBottom w:val="0"/>
      <w:divBdr>
        <w:top w:val="none" w:sz="0" w:space="0" w:color="auto"/>
        <w:left w:val="none" w:sz="0" w:space="0" w:color="auto"/>
        <w:bottom w:val="none" w:sz="0" w:space="0" w:color="auto"/>
        <w:right w:val="none" w:sz="0" w:space="0" w:color="auto"/>
      </w:divBdr>
    </w:div>
    <w:div w:id="1678532045">
      <w:marLeft w:val="0"/>
      <w:marRight w:val="0"/>
      <w:marTop w:val="0"/>
      <w:marBottom w:val="0"/>
      <w:divBdr>
        <w:top w:val="none" w:sz="0" w:space="0" w:color="auto"/>
        <w:left w:val="none" w:sz="0" w:space="0" w:color="auto"/>
        <w:bottom w:val="none" w:sz="0" w:space="0" w:color="auto"/>
        <w:right w:val="none" w:sz="0" w:space="0" w:color="auto"/>
      </w:divBdr>
    </w:div>
    <w:div w:id="1678532046">
      <w:marLeft w:val="0"/>
      <w:marRight w:val="0"/>
      <w:marTop w:val="0"/>
      <w:marBottom w:val="0"/>
      <w:divBdr>
        <w:top w:val="none" w:sz="0" w:space="0" w:color="auto"/>
        <w:left w:val="none" w:sz="0" w:space="0" w:color="auto"/>
        <w:bottom w:val="none" w:sz="0" w:space="0" w:color="auto"/>
        <w:right w:val="none" w:sz="0" w:space="0" w:color="auto"/>
      </w:divBdr>
    </w:div>
    <w:div w:id="1678532047">
      <w:marLeft w:val="0"/>
      <w:marRight w:val="0"/>
      <w:marTop w:val="0"/>
      <w:marBottom w:val="0"/>
      <w:divBdr>
        <w:top w:val="none" w:sz="0" w:space="0" w:color="auto"/>
        <w:left w:val="none" w:sz="0" w:space="0" w:color="auto"/>
        <w:bottom w:val="none" w:sz="0" w:space="0" w:color="auto"/>
        <w:right w:val="none" w:sz="0" w:space="0" w:color="auto"/>
      </w:divBdr>
    </w:div>
    <w:div w:id="1678532048">
      <w:marLeft w:val="0"/>
      <w:marRight w:val="0"/>
      <w:marTop w:val="0"/>
      <w:marBottom w:val="0"/>
      <w:divBdr>
        <w:top w:val="none" w:sz="0" w:space="0" w:color="auto"/>
        <w:left w:val="none" w:sz="0" w:space="0" w:color="auto"/>
        <w:bottom w:val="none" w:sz="0" w:space="0" w:color="auto"/>
        <w:right w:val="none" w:sz="0" w:space="0" w:color="auto"/>
      </w:divBdr>
    </w:div>
    <w:div w:id="1678532049">
      <w:marLeft w:val="0"/>
      <w:marRight w:val="0"/>
      <w:marTop w:val="0"/>
      <w:marBottom w:val="0"/>
      <w:divBdr>
        <w:top w:val="none" w:sz="0" w:space="0" w:color="auto"/>
        <w:left w:val="none" w:sz="0" w:space="0" w:color="auto"/>
        <w:bottom w:val="none" w:sz="0" w:space="0" w:color="auto"/>
        <w:right w:val="none" w:sz="0" w:space="0" w:color="auto"/>
      </w:divBdr>
    </w:div>
    <w:div w:id="1678532050">
      <w:marLeft w:val="0"/>
      <w:marRight w:val="0"/>
      <w:marTop w:val="0"/>
      <w:marBottom w:val="0"/>
      <w:divBdr>
        <w:top w:val="none" w:sz="0" w:space="0" w:color="auto"/>
        <w:left w:val="none" w:sz="0" w:space="0" w:color="auto"/>
        <w:bottom w:val="none" w:sz="0" w:space="0" w:color="auto"/>
        <w:right w:val="none" w:sz="0" w:space="0" w:color="auto"/>
      </w:divBdr>
    </w:div>
    <w:div w:id="1678532051">
      <w:marLeft w:val="0"/>
      <w:marRight w:val="0"/>
      <w:marTop w:val="0"/>
      <w:marBottom w:val="0"/>
      <w:divBdr>
        <w:top w:val="none" w:sz="0" w:space="0" w:color="auto"/>
        <w:left w:val="none" w:sz="0" w:space="0" w:color="auto"/>
        <w:bottom w:val="none" w:sz="0" w:space="0" w:color="auto"/>
        <w:right w:val="none" w:sz="0" w:space="0" w:color="auto"/>
      </w:divBdr>
    </w:div>
    <w:div w:id="1678532052">
      <w:marLeft w:val="0"/>
      <w:marRight w:val="0"/>
      <w:marTop w:val="0"/>
      <w:marBottom w:val="0"/>
      <w:divBdr>
        <w:top w:val="none" w:sz="0" w:space="0" w:color="auto"/>
        <w:left w:val="none" w:sz="0" w:space="0" w:color="auto"/>
        <w:bottom w:val="none" w:sz="0" w:space="0" w:color="auto"/>
        <w:right w:val="none" w:sz="0" w:space="0" w:color="auto"/>
      </w:divBdr>
    </w:div>
    <w:div w:id="1678532053">
      <w:marLeft w:val="0"/>
      <w:marRight w:val="0"/>
      <w:marTop w:val="0"/>
      <w:marBottom w:val="0"/>
      <w:divBdr>
        <w:top w:val="none" w:sz="0" w:space="0" w:color="auto"/>
        <w:left w:val="none" w:sz="0" w:space="0" w:color="auto"/>
        <w:bottom w:val="none" w:sz="0" w:space="0" w:color="auto"/>
        <w:right w:val="none" w:sz="0" w:space="0" w:color="auto"/>
      </w:divBdr>
    </w:div>
    <w:div w:id="1678532054">
      <w:marLeft w:val="0"/>
      <w:marRight w:val="0"/>
      <w:marTop w:val="0"/>
      <w:marBottom w:val="0"/>
      <w:divBdr>
        <w:top w:val="none" w:sz="0" w:space="0" w:color="auto"/>
        <w:left w:val="none" w:sz="0" w:space="0" w:color="auto"/>
        <w:bottom w:val="none" w:sz="0" w:space="0" w:color="auto"/>
        <w:right w:val="none" w:sz="0" w:space="0" w:color="auto"/>
      </w:divBdr>
    </w:div>
    <w:div w:id="1678532055">
      <w:marLeft w:val="0"/>
      <w:marRight w:val="0"/>
      <w:marTop w:val="0"/>
      <w:marBottom w:val="0"/>
      <w:divBdr>
        <w:top w:val="none" w:sz="0" w:space="0" w:color="auto"/>
        <w:left w:val="none" w:sz="0" w:space="0" w:color="auto"/>
        <w:bottom w:val="none" w:sz="0" w:space="0" w:color="auto"/>
        <w:right w:val="none" w:sz="0" w:space="0" w:color="auto"/>
      </w:divBdr>
    </w:div>
    <w:div w:id="1678532056">
      <w:marLeft w:val="0"/>
      <w:marRight w:val="0"/>
      <w:marTop w:val="0"/>
      <w:marBottom w:val="0"/>
      <w:divBdr>
        <w:top w:val="none" w:sz="0" w:space="0" w:color="auto"/>
        <w:left w:val="none" w:sz="0" w:space="0" w:color="auto"/>
        <w:bottom w:val="none" w:sz="0" w:space="0" w:color="auto"/>
        <w:right w:val="none" w:sz="0" w:space="0" w:color="auto"/>
      </w:divBdr>
    </w:div>
    <w:div w:id="1678532057">
      <w:marLeft w:val="0"/>
      <w:marRight w:val="0"/>
      <w:marTop w:val="0"/>
      <w:marBottom w:val="0"/>
      <w:divBdr>
        <w:top w:val="none" w:sz="0" w:space="0" w:color="auto"/>
        <w:left w:val="none" w:sz="0" w:space="0" w:color="auto"/>
        <w:bottom w:val="none" w:sz="0" w:space="0" w:color="auto"/>
        <w:right w:val="none" w:sz="0" w:space="0" w:color="auto"/>
      </w:divBdr>
    </w:div>
    <w:div w:id="1678532058">
      <w:marLeft w:val="0"/>
      <w:marRight w:val="0"/>
      <w:marTop w:val="0"/>
      <w:marBottom w:val="0"/>
      <w:divBdr>
        <w:top w:val="none" w:sz="0" w:space="0" w:color="auto"/>
        <w:left w:val="none" w:sz="0" w:space="0" w:color="auto"/>
        <w:bottom w:val="none" w:sz="0" w:space="0" w:color="auto"/>
        <w:right w:val="none" w:sz="0" w:space="0" w:color="auto"/>
      </w:divBdr>
    </w:div>
    <w:div w:id="1678532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file:///\\romulus\mg$\FIR_BR\Annual%20Reports%20-%20FIRB%20&amp;%20Treasury\FIRB%20Annual%20Report\2008%20Annual%20Report\Spreadsheets\2007-08%20Table%202.1.xls!Table%202.1!R3C1:R12C7" TargetMode="Externa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image" Target="media/image14.emf"/><Relationship Id="rId21" Type="http://schemas.openxmlformats.org/officeDocument/2006/relationships/oleObject" Target="file:///\\romulus\mg$\FIR_BR\Annual%20Reports%20-%20FIRB%20&amp;%20Treasury\FIRB%20Annual%20Report\2008%20Annual%20Report\Spreadsheets\2007-08%20Table%202.3%20-%20breakdown%20of%20billions.xls!Table%202.3!R3C1:R13C13" TargetMode="External"/><Relationship Id="rId34" Type="http://schemas.openxmlformats.org/officeDocument/2006/relationships/image" Target="media/image12.emf"/><Relationship Id="rId42" Type="http://schemas.openxmlformats.org/officeDocument/2006/relationships/header" Target="header5.xml"/><Relationship Id="rId47" Type="http://schemas.openxmlformats.org/officeDocument/2006/relationships/image" Target="media/image15.wmf"/><Relationship Id="rId50" Type="http://schemas.openxmlformats.org/officeDocument/2006/relationships/oleObject" Target="file:///\\romulus\mg$\FIR_BR\Annual%20Reports%20-%20FIRB%20&amp;%20Treasury\FIRB%20Annual%20Report\2008%20Annual%20Report\Spreadsheets\2007-08%20Table%202.11.xls!Table%202.9!R3C1:R33C11" TargetMode="Externa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file:///\\romulus\mg$\FIR_BR\Annual%20Reports%20-%20FIRB%20&amp;%20Treasury\FIRB%20Annual%20Report\2008%20Annual%20Report\Spreadsheets\2007-08%20Chart%202.1.xls!Sheet1!%5b2007-08%20Chart%202.1.xls%5dSheet1%20Chart%2010" TargetMode="External"/><Relationship Id="rId25" Type="http://schemas.openxmlformats.org/officeDocument/2006/relationships/oleObject" Target="file:///\\romulus\mg$\FIR_BR\Annual%20Reports%20-%20FIRB%20&amp;%20Treasury\FIRB%20Annual%20Report\2008%20Annual%20Report\Spreadsheets\2007-08%20Chart%202.4.xls!Sheet1!%5b2007-08%20Chart%202.4.xls%5dSheet1%20Chart%203" TargetMode="External"/><Relationship Id="rId33" Type="http://schemas.openxmlformats.org/officeDocument/2006/relationships/oleObject" Target="file:///\\romulus\mg$\FIR_BR\Annual%20Reports%20-%20FIRB%20&amp;%20Treasury\FIRB%20Annual%20Report\2008%20Annual%20Report\Spreadsheets\2007-08%20Table%202.6.xls!new%20Table%202.4!R3C1:R17C12" TargetMode="External"/><Relationship Id="rId38" Type="http://schemas.openxmlformats.org/officeDocument/2006/relationships/oleObject" Target="file:///\\romulus\mg$\FIR_BR\Annual%20Reports%20-%20FIRB%20&amp;%20Treasury\FIRB%20Annual%20Report\2008%20Annual%20Report\Spreadsheets\2007-08%20Table%202.8.xls!Table%202.6!R4C1:R33C5" TargetMode="External"/><Relationship Id="rId46" Type="http://schemas.openxmlformats.org/officeDocument/2006/relationships/footer" Target="footer4.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file:///\\romulus\mg$\FIR_BR\Annual%20Reports%20-%20FIRB%20&amp;%20Treasury\FIRB%20Annual%20Report\2008%20Annual%20Report\Spreadsheets\2007-08%20Chart%202.5.xls!Sheet1!%5b2007-08%20Chart%202.5.xls%5dSheet1%20Chart%205" TargetMode="External"/><Relationship Id="rId41" Type="http://schemas.openxmlformats.org/officeDocument/2006/relationships/header" Target="header4.xm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image" Target="media/image13.emf"/><Relationship Id="rId40" Type="http://schemas.openxmlformats.org/officeDocument/2006/relationships/oleObject" Target="file:///\\romulus\mg$\FIR_BR\Annual%20Reports%20-%20FIRB%20&amp;%20Treasury\FIRB%20Annual%20Report\2008%20Annual%20Report\Spreadsheets\2007-08%20Table%202.9.xls!Table%202.9!R4C1:R17C10" TargetMode="External"/><Relationship Id="rId45" Type="http://schemas.openxmlformats.org/officeDocument/2006/relationships/header" Target="header6.xml"/><Relationship Id="rId53" Type="http://schemas.openxmlformats.org/officeDocument/2006/relationships/footer" Target="footer5.xml"/><Relationship Id="rId58"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oleObject" Target="file:///\\romulus\mg$\FIR_BR\Annual%20Reports%20-%20FIRB%20&amp;%20Treasury\FIRB%20Annual%20Report\2008%20Annual%20Report\Spreadsheets\2007-08%20Table%202.2.xls!Table%202.2!R3C1:R9C7" TargetMode="External"/><Relationship Id="rId23" Type="http://schemas.openxmlformats.org/officeDocument/2006/relationships/oleObject" Target="file:///\\romulus\mg$\FIR_BR\Annual%20Reports%20-%20FIRB%20&amp;%20Treasury\FIRB%20Annual%20Report\2008%20Annual%20Report\Spreadsheets\2007-08%20Chart%202.3.xls!Sheet1!%5b2007-08%20Chart%202.3.xls%5dSheet1%20Chart%201" TargetMode="External"/><Relationship Id="rId28" Type="http://schemas.openxmlformats.org/officeDocument/2006/relationships/image" Target="media/image9.emf"/><Relationship Id="rId36" Type="http://schemas.openxmlformats.org/officeDocument/2006/relationships/hyperlink" Target="http://www.firb.gov.au/" TargetMode="External"/><Relationship Id="rId49" Type="http://schemas.openxmlformats.org/officeDocument/2006/relationships/image" Target="media/image16.emf"/><Relationship Id="rId57" Type="http://schemas.openxmlformats.org/officeDocument/2006/relationships/header" Target="header10.xml"/><Relationship Id="rId10" Type="http://schemas.openxmlformats.org/officeDocument/2006/relationships/header" Target="header3.xml"/><Relationship Id="rId19" Type="http://schemas.openxmlformats.org/officeDocument/2006/relationships/oleObject" Target="file:///\\romulus\mg$\FIR_BR\Annual%20Reports%20-%20FIRB%20&amp;%20Treasury\FIRB%20Annual%20Report\2008%20Annual%20Report\Spreadsheets\2007-08%20Chart%202.2.xls!Sheet1!%5b2007-08%20Chart%202.2.xls%5dSheet1%20Chart%201" TargetMode="External"/><Relationship Id="rId31" Type="http://schemas.openxmlformats.org/officeDocument/2006/relationships/oleObject" Target="file:///\\romulus\mg$\FIR_BR\Annual%20Reports%20-%20FIRB%20&amp;%20Treasury\FIRB%20Annual%20Report\2008%20Annual%20Report\Spreadsheets\2007-08%20Table%202.5.xls!Sheet1!R3C1:R12C5" TargetMode="External"/><Relationship Id="rId44" Type="http://schemas.openxmlformats.org/officeDocument/2006/relationships/footer" Target="footer3.xml"/><Relationship Id="rId52" Type="http://schemas.openxmlformats.org/officeDocument/2006/relationships/header" Target="header8.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file:///\\romulus\mg$\FIR_BR\Annual%20Reports%20-%20FIRB%20&amp;%20Treasury\FIRB%20Annual%20Report\2008%20Annual%20Report\Spreadsheets\2007-08%20Table%202.4.xls!Table%202.4!R3C1:R14C5" TargetMode="External"/><Relationship Id="rId30" Type="http://schemas.openxmlformats.org/officeDocument/2006/relationships/image" Target="media/image10.emf"/><Relationship Id="rId35" Type="http://schemas.openxmlformats.org/officeDocument/2006/relationships/oleObject" Target="file:///\\romulus\mg$\FIR_BR\Annual%20Reports%20-%20FIRB%20&amp;%20Treasury\FIRB%20Annual%20Report\2008%20Annual%20Report\Spreadsheets\2007-08%20Table%202.7.xls!Table%202.5!R3C1:R21C5" TargetMode="External"/><Relationship Id="rId43" Type="http://schemas.openxmlformats.org/officeDocument/2006/relationships/footer" Target="footer2.xml"/><Relationship Id="rId48" Type="http://schemas.openxmlformats.org/officeDocument/2006/relationships/oleObject" Target="file:///\\romulus\mg$\FIR_BR\Annual%20Reports%20-%20FIRB%20&amp;%20Treasury\FIRB%20Annual%20Report\2008%20Annual%20Report\Spreadsheets\2007-08%20Table%202.10.xls!Sheet1!R3C1:R31C12" TargetMode="External"/><Relationship Id="rId56" Type="http://schemas.openxmlformats.org/officeDocument/2006/relationships/footer" Target="footer7.xml"/><Relationship Id="rId8" Type="http://schemas.openxmlformats.org/officeDocument/2006/relationships/header" Target="header1.xml"/><Relationship Id="rId51" Type="http://schemas.openxmlformats.org/officeDocument/2006/relationships/header" Target="header7.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30</Pages>
  <Words>7364</Words>
  <Characters>41980</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Chapter 2 - FIRB 2007-08 Annual Report</vt:lpstr>
    </vt:vector>
  </TitlesOfParts>
  <Company>Australian Government - The Treasury</Company>
  <LinksUpToDate>false</LinksUpToDate>
  <CharactersWithSpaces>49246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FIRB 2007-08 Annual Report</dc:title>
  <dc:creator>McCormack, Kate</dc:creator>
  <cp:lastModifiedBy>Keogh, Vicky</cp:lastModifiedBy>
  <cp:revision>2</cp:revision>
  <cp:lastPrinted>2009-07-29T04:16:00Z</cp:lastPrinted>
  <dcterms:created xsi:type="dcterms:W3CDTF">2016-01-18T00:51:00Z</dcterms:created>
  <dcterms:modified xsi:type="dcterms:W3CDTF">2016-01-18T00:51:00Z</dcterms:modified>
</cp:coreProperties>
</file>