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C1" w:rsidRDefault="00721EC1" w:rsidP="007A652D">
      <w:pPr>
        <w:pStyle w:val="Heading8"/>
      </w:pPr>
      <w:bookmarkStart w:id="0" w:name="_GoBack"/>
      <w:bookmarkEnd w:id="0"/>
      <w:r>
        <w:t>Chapter 4</w:t>
      </w:r>
    </w:p>
    <w:p w:rsidR="00165D78" w:rsidRDefault="00165D78" w:rsidP="007A652D">
      <w:pPr>
        <w:pStyle w:val="Heading9"/>
      </w:pPr>
      <w:r>
        <w:t xml:space="preserve">International </w:t>
      </w:r>
      <w:r w:rsidR="00164AA4">
        <w:t>i</w:t>
      </w:r>
      <w:r>
        <w:t xml:space="preserve">nvestment </w:t>
      </w:r>
      <w:r w:rsidR="00164AA4">
        <w:t>i</w:t>
      </w:r>
      <w:r>
        <w:t>ssues and</w:t>
      </w:r>
      <w:r w:rsidR="00092122">
        <w:t xml:space="preserve"> </w:t>
      </w:r>
      <w:r>
        <w:t>Australia</w:t>
      </w:r>
      <w:r w:rsidR="00CF38A0">
        <w:t>’</w:t>
      </w:r>
      <w:r>
        <w:t xml:space="preserve">s </w:t>
      </w:r>
      <w:r w:rsidR="00164AA4">
        <w:t>i</w:t>
      </w:r>
      <w:r>
        <w:t xml:space="preserve">nternational </w:t>
      </w:r>
      <w:r w:rsidR="00164AA4">
        <w:t>i</w:t>
      </w:r>
      <w:r>
        <w:t xml:space="preserve">nvestment </w:t>
      </w:r>
      <w:r w:rsidR="00164AA4">
        <w:t>p</w:t>
      </w:r>
      <w:r>
        <w:t>osition</w:t>
      </w:r>
    </w:p>
    <w:p w:rsidR="00165D78" w:rsidRDefault="00165D78" w:rsidP="00165D78"/>
    <w:p w:rsidR="00165D78" w:rsidRDefault="00165D78" w:rsidP="00165D78">
      <w:pPr>
        <w:sectPr w:rsidR="00165D78" w:rsidSect="00944CE4">
          <w:headerReference w:type="even" r:id="rId8"/>
          <w:headerReference w:type="default" r:id="rId9"/>
          <w:footerReference w:type="even" r:id="rId10"/>
          <w:footerReference w:type="default" r:id="rId11"/>
          <w:headerReference w:type="first" r:id="rId12"/>
          <w:footnotePr>
            <w:numStart w:val="6"/>
          </w:footnotePr>
          <w:pgSz w:w="11907" w:h="16840" w:code="9"/>
          <w:pgMar w:top="2466" w:right="2098" w:bottom="2466" w:left="2098" w:header="1899" w:footer="1899" w:gutter="0"/>
          <w:paperSrc w:first="15" w:other="15"/>
          <w:pgNumType w:start="51"/>
          <w:cols w:space="720"/>
          <w:titlePg/>
          <w:docGrid w:linePitch="360"/>
        </w:sectPr>
      </w:pPr>
    </w:p>
    <w:p w:rsidR="00165D78" w:rsidRDefault="00165D78" w:rsidP="00165D78">
      <w:pPr>
        <w:sectPr w:rsidR="00165D78" w:rsidSect="00461DF0">
          <w:headerReference w:type="first" r:id="rId13"/>
          <w:footerReference w:type="first" r:id="rId14"/>
          <w:footnotePr>
            <w:numStart w:val="6"/>
          </w:footnotePr>
          <w:pgSz w:w="11907" w:h="16840" w:code="9"/>
          <w:pgMar w:top="2466" w:right="2098" w:bottom="2466" w:left="2098" w:header="1899" w:footer="1899" w:gutter="0"/>
          <w:paperSrc w:first="15" w:other="15"/>
          <w:cols w:space="720"/>
          <w:titlePg/>
          <w:docGrid w:linePitch="360"/>
        </w:sectPr>
      </w:pPr>
    </w:p>
    <w:p w:rsidR="00165D78" w:rsidRDefault="00165D78" w:rsidP="00915640">
      <w:pPr>
        <w:pStyle w:val="Heading1noTOC"/>
      </w:pPr>
      <w:r>
        <w:lastRenderedPageBreak/>
        <w:t xml:space="preserve">International </w:t>
      </w:r>
      <w:r w:rsidR="006F0F95">
        <w:t>i</w:t>
      </w:r>
      <w:r>
        <w:t xml:space="preserve">nvestment </w:t>
      </w:r>
      <w:r w:rsidR="006F0F95">
        <w:t>i</w:t>
      </w:r>
      <w:r>
        <w:t>ssues and Australia</w:t>
      </w:r>
      <w:r w:rsidR="00CF38A0">
        <w:t>’</w:t>
      </w:r>
      <w:r>
        <w:t xml:space="preserve">s </w:t>
      </w:r>
      <w:r w:rsidR="006F0F95">
        <w:t>i</w:t>
      </w:r>
      <w:r>
        <w:t xml:space="preserve">nternational </w:t>
      </w:r>
      <w:r w:rsidR="006F0F95">
        <w:t>i</w:t>
      </w:r>
      <w:r>
        <w:t xml:space="preserve">nvestment </w:t>
      </w:r>
      <w:r w:rsidR="006F0F95">
        <w:t>p</w:t>
      </w:r>
      <w:r>
        <w:t>osition</w:t>
      </w:r>
    </w:p>
    <w:p w:rsidR="00165D78" w:rsidRDefault="00165D78" w:rsidP="00165D78">
      <w:pPr>
        <w:pStyle w:val="Heading2"/>
      </w:pPr>
      <w:r>
        <w:t>Introduction</w:t>
      </w:r>
    </w:p>
    <w:p w:rsidR="00165D78" w:rsidRPr="0047417F" w:rsidRDefault="00165D78" w:rsidP="00165D78">
      <w:r w:rsidRPr="0047417F">
        <w:t>One of the Government</w:t>
      </w:r>
      <w:r w:rsidR="00CF38A0">
        <w:t>’</w:t>
      </w:r>
      <w:r w:rsidRPr="0047417F">
        <w:t xml:space="preserve">s principal </w:t>
      </w:r>
      <w:r w:rsidR="00006614">
        <w:t xml:space="preserve">policy </w:t>
      </w:r>
      <w:r w:rsidRPr="0047417F">
        <w:t xml:space="preserve">objectives is to generate and capture benefits for </w:t>
      </w:r>
      <w:r>
        <w:t xml:space="preserve">the </w:t>
      </w:r>
      <w:r w:rsidRPr="0047417F">
        <w:t>Australia</w:t>
      </w:r>
      <w:r>
        <w:t>n community</w:t>
      </w:r>
      <w:r w:rsidRPr="0047417F">
        <w:t xml:space="preserve"> through international trade and investment liberalisation</w:t>
      </w:r>
      <w:r>
        <w:t xml:space="preserve">. </w:t>
      </w:r>
      <w:r w:rsidRPr="0047417F">
        <w:t>This is pursued through a multifaceted policy involving complementary multilateral, regional and bilateral engagement.</w:t>
      </w:r>
    </w:p>
    <w:p w:rsidR="00165D78" w:rsidRPr="0047417F" w:rsidRDefault="00165D78" w:rsidP="00165D78">
      <w:r w:rsidRPr="0047417F">
        <w:t xml:space="preserve">The </w:t>
      </w:r>
      <w:r w:rsidR="00446B4A">
        <w:t>Treasury</w:t>
      </w:r>
      <w:r w:rsidR="00CF38A0">
        <w:t>’</w:t>
      </w:r>
      <w:r w:rsidR="00446B4A">
        <w:t xml:space="preserve">s </w:t>
      </w:r>
      <w:r w:rsidRPr="0047417F">
        <w:t>Foreign Investment</w:t>
      </w:r>
      <w:r>
        <w:t xml:space="preserve"> and Trade</w:t>
      </w:r>
      <w:r w:rsidRPr="0047417F">
        <w:t xml:space="preserve"> Policy Division </w:t>
      </w:r>
      <w:r w:rsidR="001D5CC8">
        <w:t>(</w:t>
      </w:r>
      <w:r w:rsidR="00890E25" w:rsidRPr="00890E25">
        <w:t>the Division</w:t>
      </w:r>
      <w:r w:rsidR="001D5CC8">
        <w:t xml:space="preserve">) </w:t>
      </w:r>
      <w:r w:rsidRPr="0047417F">
        <w:t>is responsible for ensuring effective representation of Australia</w:t>
      </w:r>
      <w:r w:rsidR="00CF38A0">
        <w:t>’</w:t>
      </w:r>
      <w:r w:rsidRPr="0047417F">
        <w:t>s foreign investment policy</w:t>
      </w:r>
      <w:r w:rsidR="008266FF">
        <w:t xml:space="preserve"> (the policy)</w:t>
      </w:r>
      <w:r w:rsidRPr="0047417F">
        <w:t xml:space="preserve"> and negotiating position on international investment issues</w:t>
      </w:r>
      <w:r>
        <w:t xml:space="preserve">. </w:t>
      </w:r>
      <w:r w:rsidRPr="0047417F">
        <w:t>This includes</w:t>
      </w:r>
      <w:r w:rsidR="008266FF">
        <w:t>:</w:t>
      </w:r>
      <w:r w:rsidRPr="0047417F">
        <w:t xml:space="preserve"> multilateral forums, such as the Organisation for Economic Co</w:t>
      </w:r>
      <w:r w:rsidR="00826B98">
        <w:noBreakHyphen/>
      </w:r>
      <w:r w:rsidRPr="0047417F">
        <w:t>operation and Development (OECD) and the World Trade Organi</w:t>
      </w:r>
      <w:r w:rsidR="00446B4A">
        <w:t>z</w:t>
      </w:r>
      <w:r w:rsidRPr="0047417F">
        <w:t>ation (WTO); regional forums, such as Asia</w:t>
      </w:r>
      <w:r w:rsidR="00826B98">
        <w:noBreakHyphen/>
      </w:r>
      <w:r w:rsidRPr="0047417F">
        <w:t xml:space="preserve">Pacific Economic Cooperation (APEC); and bilateral </w:t>
      </w:r>
      <w:r w:rsidR="007236CF">
        <w:t>mechanisms</w:t>
      </w:r>
      <w:r w:rsidRPr="0047417F">
        <w:t>, such as free trade agreement</w:t>
      </w:r>
      <w:r w:rsidR="007236CF">
        <w:t>s</w:t>
      </w:r>
      <w:r w:rsidRPr="0047417F">
        <w:t xml:space="preserve"> (FTA</w:t>
      </w:r>
      <w:r w:rsidR="007236CF">
        <w:t>s</w:t>
      </w:r>
      <w:r w:rsidRPr="0047417F">
        <w:t>)</w:t>
      </w:r>
      <w:r w:rsidR="001D45EE">
        <w:t xml:space="preserve"> and</w:t>
      </w:r>
      <w:r w:rsidRPr="0047417F">
        <w:t xml:space="preserve"> investment protection and promotion agreement</w:t>
      </w:r>
      <w:r w:rsidR="007236CF">
        <w:t>s</w:t>
      </w:r>
      <w:r w:rsidRPr="0047417F">
        <w:t xml:space="preserve"> (IPPA</w:t>
      </w:r>
      <w:r w:rsidR="007236CF">
        <w:t>s</w:t>
      </w:r>
      <w:r w:rsidRPr="0047417F">
        <w:t>)</w:t>
      </w:r>
      <w:r w:rsidR="007236CF">
        <w:t>.</w:t>
      </w:r>
    </w:p>
    <w:p w:rsidR="00165D78" w:rsidRDefault="00890E25" w:rsidP="00165D78">
      <w:r w:rsidRPr="00890E25">
        <w:t>The Division</w:t>
      </w:r>
      <w:r w:rsidR="00165D78" w:rsidRPr="0047417F">
        <w:t xml:space="preserve"> also </w:t>
      </w:r>
      <w:r w:rsidR="00006614">
        <w:t>supports</w:t>
      </w:r>
      <w:r w:rsidR="00165D78" w:rsidRPr="0047417F">
        <w:t xml:space="preserve"> the Executive Member of the Board</w:t>
      </w:r>
      <w:r w:rsidR="00006614">
        <w:t xml:space="preserve"> in his role</w:t>
      </w:r>
      <w:r w:rsidR="00165D78" w:rsidRPr="0047417F">
        <w:t xml:space="preserve"> as the </w:t>
      </w:r>
      <w:r w:rsidR="00165D78">
        <w:t>Australian National Contact Point (</w:t>
      </w:r>
      <w:r w:rsidR="001D5CC8">
        <w:t xml:space="preserve">the </w:t>
      </w:r>
      <w:r w:rsidR="00165D78">
        <w:t>ANCP)</w:t>
      </w:r>
      <w:r w:rsidR="00165D78" w:rsidRPr="0047417F">
        <w:t xml:space="preserve"> for </w:t>
      </w:r>
      <w:r w:rsidR="00C0342B">
        <w:t>t</w:t>
      </w:r>
      <w:r w:rsidR="00340977" w:rsidRPr="00C0342B">
        <w:t xml:space="preserve">he </w:t>
      </w:r>
      <w:r w:rsidR="00165D78" w:rsidRPr="00446B4A">
        <w:rPr>
          <w:i/>
        </w:rPr>
        <w:t>OECD Guidelines for Multinational Enterprises</w:t>
      </w:r>
      <w:r w:rsidR="00165D78" w:rsidRPr="0047417F">
        <w:t xml:space="preserve"> (the</w:t>
      </w:r>
      <w:r w:rsidR="00165D78">
        <w:t xml:space="preserve"> </w:t>
      </w:r>
      <w:r w:rsidRPr="00890E25">
        <w:t>OECD Guidelines</w:t>
      </w:r>
      <w:r w:rsidR="00165D78" w:rsidRPr="0047417F">
        <w:t>) and related corporate social responsibility issues</w:t>
      </w:r>
      <w:r w:rsidR="00165D78">
        <w:t xml:space="preserve">. </w:t>
      </w:r>
      <w:r w:rsidR="00165D78" w:rsidRPr="0047417F">
        <w:t xml:space="preserve">The role of the </w:t>
      </w:r>
      <w:r w:rsidR="00165D78">
        <w:t xml:space="preserve">ANCP is to ensure the effective promotion </w:t>
      </w:r>
      <w:r w:rsidR="00544A7C">
        <w:t xml:space="preserve">and implementation </w:t>
      </w:r>
      <w:r w:rsidR="00165D78">
        <w:t xml:space="preserve">of the </w:t>
      </w:r>
      <w:r w:rsidRPr="00890E25">
        <w:t>OECD Guidelines</w:t>
      </w:r>
      <w:r w:rsidR="00165D78">
        <w:t xml:space="preserve"> in Australia.</w:t>
      </w:r>
    </w:p>
    <w:p w:rsidR="00165D78" w:rsidRDefault="00165D78" w:rsidP="00165D78">
      <w:r>
        <w:t>Over the past two decades</w:t>
      </w:r>
      <w:r w:rsidR="001C528A">
        <w:t xml:space="preserve">, </w:t>
      </w:r>
      <w:r>
        <w:t>growth in world</w:t>
      </w:r>
      <w:r w:rsidR="00735A88">
        <w:t>wide</w:t>
      </w:r>
      <w:r>
        <w:t xml:space="preserve"> </w:t>
      </w:r>
      <w:r w:rsidR="00735A88">
        <w:t xml:space="preserve">flows of </w:t>
      </w:r>
      <w:r>
        <w:t xml:space="preserve">foreign direct investment (FDI) has been </w:t>
      </w:r>
      <w:r w:rsidR="00006614">
        <w:t>particularly strong</w:t>
      </w:r>
      <w:r>
        <w:t>. This growth in FDI largely reflects the worldwide relaxation of trade and investment controls, together with advancements in information technologies</w:t>
      </w:r>
      <w:r w:rsidR="00647B9F">
        <w:t>, communications and transport</w:t>
      </w:r>
      <w:r w:rsidR="00A80702">
        <w:t>, and the emergence of global production chains</w:t>
      </w:r>
      <w:r w:rsidR="00647B9F">
        <w:t>.</w:t>
      </w:r>
      <w:r w:rsidR="00544A7C">
        <w:t xml:space="preserve"> The current global financial crisis is likely to impact on global capital flows. The OECD estimates that </w:t>
      </w:r>
      <w:r w:rsidR="00544A7C" w:rsidRPr="00544A7C">
        <w:t>member country outflows of FDI fell 6</w:t>
      </w:r>
      <w:r w:rsidR="00544A7C">
        <w:t xml:space="preserve"> per cent </w:t>
      </w:r>
      <w:r w:rsidR="00544A7C" w:rsidRPr="00544A7C">
        <w:t>while inflows dropped 13</w:t>
      </w:r>
      <w:r w:rsidR="00544A7C">
        <w:t xml:space="preserve"> per cent</w:t>
      </w:r>
      <w:r w:rsidR="00544A7C" w:rsidRPr="00544A7C">
        <w:t xml:space="preserve"> in 2008</w:t>
      </w:r>
      <w:r w:rsidR="002B4644">
        <w:t xml:space="preserve">. </w:t>
      </w:r>
    </w:p>
    <w:p w:rsidR="00165D78" w:rsidRPr="00D24156" w:rsidRDefault="00165D78" w:rsidP="00165D78">
      <w:pPr>
        <w:rPr>
          <w:highlight w:val="yellow"/>
        </w:rPr>
      </w:pPr>
      <w:r w:rsidRPr="0047417F">
        <w:t xml:space="preserve">Australia has traditionally </w:t>
      </w:r>
      <w:r>
        <w:t>relied on</w:t>
      </w:r>
      <w:r w:rsidRPr="0047417F">
        <w:t xml:space="preserve"> inward FDI to meet the shortfall </w:t>
      </w:r>
      <w:r>
        <w:t xml:space="preserve">between </w:t>
      </w:r>
      <w:r w:rsidRPr="0047417F">
        <w:t xml:space="preserve">domestic saving </w:t>
      </w:r>
      <w:r>
        <w:t xml:space="preserve">and the level of </w:t>
      </w:r>
      <w:r w:rsidRPr="0047417F">
        <w:t>domestic investment</w:t>
      </w:r>
      <w:r>
        <w:t>. Foreign investment</w:t>
      </w:r>
      <w:r w:rsidRPr="0047417F">
        <w:t xml:space="preserve"> supplement</w:t>
      </w:r>
      <w:r>
        <w:t>s</w:t>
      </w:r>
      <w:r w:rsidRPr="0047417F">
        <w:t xml:space="preserve"> local savings</w:t>
      </w:r>
      <w:r w:rsidR="001C528A">
        <w:t xml:space="preserve">, </w:t>
      </w:r>
      <w:r w:rsidR="00006614">
        <w:t>thereby supporting</w:t>
      </w:r>
      <w:r w:rsidRPr="0047417F">
        <w:t xml:space="preserve"> higher </w:t>
      </w:r>
      <w:r>
        <w:t xml:space="preserve">rates of </w:t>
      </w:r>
      <w:r w:rsidRPr="0047417F">
        <w:t>economic growth</w:t>
      </w:r>
      <w:r>
        <w:t xml:space="preserve"> and</w:t>
      </w:r>
      <w:r w:rsidRPr="0047417F">
        <w:t xml:space="preserve"> employment</w:t>
      </w:r>
      <w:r>
        <w:t xml:space="preserve"> levels </w:t>
      </w:r>
      <w:r w:rsidRPr="001E1CFB">
        <w:t xml:space="preserve">which in turn </w:t>
      </w:r>
      <w:r w:rsidR="001E1CFB">
        <w:t>improves the wellbeing of the Australian people</w:t>
      </w:r>
      <w:r w:rsidRPr="001E1CFB">
        <w:t>. Inward FDI also continues to</w:t>
      </w:r>
      <w:r>
        <w:t xml:space="preserve"> play a significant role in making Australian industry internationally competitive, and thereby contributing to export growth, facilitating access to new </w:t>
      </w:r>
      <w:r>
        <w:lastRenderedPageBreak/>
        <w:t>technologies, financing new and often risky innovations, and providing opportunities for global integration and networking.</w:t>
      </w:r>
    </w:p>
    <w:p w:rsidR="00165D78" w:rsidRDefault="00165D78" w:rsidP="00165D78">
      <w:r>
        <w:t xml:space="preserve">Outward FDI enables Australian firms to expand their business beyond the potential constraints imposed by the limited size of the domestic market. By extending their market presence and access to resources, expertise and technology in other markets, Australian firms are </w:t>
      </w:r>
      <w:r w:rsidR="00446B4A">
        <w:t>able</w:t>
      </w:r>
      <w:r>
        <w:t xml:space="preserve"> to become more efficient and competitive in global markets. Outward FDI </w:t>
      </w:r>
      <w:r w:rsidR="001F0A72">
        <w:t xml:space="preserve">also </w:t>
      </w:r>
      <w:r>
        <w:t xml:space="preserve">has a multiplier effect through </w:t>
      </w:r>
      <w:r w:rsidRPr="0047417F">
        <w:t>stimulat</w:t>
      </w:r>
      <w:r>
        <w:t>ing the</w:t>
      </w:r>
      <w:r w:rsidRPr="0047417F">
        <w:t xml:space="preserve"> </w:t>
      </w:r>
      <w:r>
        <w:t>demand for goods and services provided by component and other input suppliers.</w:t>
      </w:r>
    </w:p>
    <w:p w:rsidR="00165D78" w:rsidRDefault="00165D78" w:rsidP="00165D78">
      <w:pPr>
        <w:pStyle w:val="Heading2"/>
      </w:pPr>
      <w:r>
        <w:t>Multilateral investment issues</w:t>
      </w:r>
    </w:p>
    <w:p w:rsidR="00165D78" w:rsidRDefault="00165D78" w:rsidP="00165D78">
      <w:r>
        <w:t>While at the multilateral level there is no</w:t>
      </w:r>
      <w:r w:rsidR="001C528A">
        <w:t xml:space="preserve"> </w:t>
      </w:r>
      <w:r>
        <w:t xml:space="preserve">comprehensive instrument covering foreign investment, an international legal framework for </w:t>
      </w:r>
      <w:r w:rsidR="00162C71">
        <w:t xml:space="preserve">foreign investment </w:t>
      </w:r>
      <w:r>
        <w:t xml:space="preserve">has begun to emerge. </w:t>
      </w:r>
      <w:r w:rsidR="00890E25" w:rsidRPr="00890E25">
        <w:t>The Division</w:t>
      </w:r>
      <w:r w:rsidR="00CF38A0">
        <w:t>’</w:t>
      </w:r>
      <w:r>
        <w:t>s role in negotiating international investment agreements and the investment chapters in Australia</w:t>
      </w:r>
      <w:r w:rsidR="00CF38A0">
        <w:t>’</w:t>
      </w:r>
      <w:r>
        <w:t xml:space="preserve">s </w:t>
      </w:r>
      <w:r w:rsidR="00FB127E">
        <w:t>FTAs</w:t>
      </w:r>
      <w:r>
        <w:t xml:space="preserve"> allows it to contribute to the further development of an international rules</w:t>
      </w:r>
      <w:r w:rsidR="00826B98">
        <w:noBreakHyphen/>
      </w:r>
      <w:r>
        <w:t xml:space="preserve">based system that takes appropriate account of both the interests of foreign investors and the wellbeing of Australians. </w:t>
      </w:r>
      <w:r w:rsidR="00890E25" w:rsidRPr="00890E25">
        <w:t>The Division</w:t>
      </w:r>
      <w:r w:rsidR="00CF38A0">
        <w:t>’</w:t>
      </w:r>
      <w:r>
        <w:t xml:space="preserve">s involvement in the OECD Investment Committee </w:t>
      </w:r>
      <w:r w:rsidR="00B6650F">
        <w:t xml:space="preserve">(the Committee) </w:t>
      </w:r>
      <w:r>
        <w:t xml:space="preserve">and promotional work on the </w:t>
      </w:r>
      <w:r w:rsidR="00890E25" w:rsidRPr="00890E25">
        <w:t>OECD Guidelines</w:t>
      </w:r>
      <w:r>
        <w:t xml:space="preserve"> domestically supports Australia</w:t>
      </w:r>
      <w:r w:rsidR="00CF38A0">
        <w:t>’</w:t>
      </w:r>
      <w:r>
        <w:t>s other contributions to the international policy framework for investment</w:t>
      </w:r>
      <w:r w:rsidR="00953B3F">
        <w:t xml:space="preserve">. </w:t>
      </w:r>
      <w:r>
        <w:t xml:space="preserve">By promoting the </w:t>
      </w:r>
      <w:r w:rsidR="00890E25" w:rsidRPr="00890E25">
        <w:t>OECD Guidelines</w:t>
      </w:r>
      <w:r>
        <w:t xml:space="preserve">, </w:t>
      </w:r>
      <w:r w:rsidR="00890E25" w:rsidRPr="00890E25">
        <w:t>the Division</w:t>
      </w:r>
      <w:r>
        <w:t xml:space="preserve"> seeks to encourage good corporate behaviour and the positive contribution of multinational enterprises </w:t>
      </w:r>
      <w:r w:rsidR="005B6790">
        <w:t xml:space="preserve">(MNEs) </w:t>
      </w:r>
      <w:r>
        <w:t>to sustainable development</w:t>
      </w:r>
      <w:r w:rsidRPr="00955DCE">
        <w:t>.</w:t>
      </w:r>
    </w:p>
    <w:p w:rsidR="00165D78" w:rsidRDefault="00165D78" w:rsidP="00165D78">
      <w:r w:rsidRPr="00C47005">
        <w:t xml:space="preserve">While </w:t>
      </w:r>
      <w:r w:rsidR="00890E25" w:rsidRPr="00890E25">
        <w:t>the Division</w:t>
      </w:r>
      <w:r w:rsidRPr="00C47005">
        <w:t xml:space="preserve"> has primary responsibility for the </w:t>
      </w:r>
      <w:r w:rsidR="00890E25" w:rsidRPr="00890E25">
        <w:t>OECD Guidelines</w:t>
      </w:r>
      <w:r w:rsidRPr="00C47005">
        <w:t xml:space="preserve"> and the Government</w:t>
      </w:r>
      <w:r w:rsidR="00CF38A0">
        <w:t>’</w:t>
      </w:r>
      <w:r w:rsidRPr="00C47005">
        <w:t xml:space="preserve">s engagement on international investment issues in the OECD, the Department of Foreign Affairs and Trade (DFAT) has direct responsibility for </w:t>
      </w:r>
      <w:r>
        <w:t>Australia</w:t>
      </w:r>
      <w:r w:rsidR="00CF38A0">
        <w:t>’</w:t>
      </w:r>
      <w:r>
        <w:t xml:space="preserve">s </w:t>
      </w:r>
      <w:r w:rsidRPr="00C47005">
        <w:t>involvement in trade</w:t>
      </w:r>
      <w:r w:rsidR="00826B98">
        <w:noBreakHyphen/>
      </w:r>
      <w:r w:rsidRPr="00C47005">
        <w:t xml:space="preserve">related forums such as the </w:t>
      </w:r>
      <w:r>
        <w:t>W</w:t>
      </w:r>
      <w:r w:rsidRPr="00C47005">
        <w:t xml:space="preserve">TO. </w:t>
      </w:r>
      <w:r w:rsidR="00890E25" w:rsidRPr="00890E25">
        <w:t>The Division</w:t>
      </w:r>
      <w:r w:rsidRPr="00C47005">
        <w:t xml:space="preserve"> provides advice and briefings on foreign investment issues to </w:t>
      </w:r>
      <w:r>
        <w:t xml:space="preserve">the </w:t>
      </w:r>
      <w:r w:rsidR="00006614">
        <w:t>Treasurer</w:t>
      </w:r>
      <w:r>
        <w:t xml:space="preserve"> and </w:t>
      </w:r>
      <w:r w:rsidR="00647B9F">
        <w:t>DFAT.</w:t>
      </w:r>
    </w:p>
    <w:p w:rsidR="00165D78" w:rsidRDefault="00165D78" w:rsidP="00165D78">
      <w:pPr>
        <w:pStyle w:val="Heading2"/>
      </w:pPr>
      <w:r>
        <w:t>OECD Investment Committee</w:t>
      </w:r>
    </w:p>
    <w:p w:rsidR="001E1CFB" w:rsidRDefault="00890E25" w:rsidP="001E1CFB">
      <w:r w:rsidRPr="00890E25">
        <w:t>The Division</w:t>
      </w:r>
      <w:r w:rsidR="001E1CFB">
        <w:t xml:space="preserve"> represents Australia on international investment issues in the Committee. The Committee’s mission is to provide a forum for international cooperation, policy analysis and advice to governments on how best to enhance the positive contribution of investment worldwide. </w:t>
      </w:r>
    </w:p>
    <w:p w:rsidR="003C2EEC" w:rsidRDefault="00165D78" w:rsidP="00165D78">
      <w:r>
        <w:t xml:space="preserve">The Committee </w:t>
      </w:r>
      <w:r w:rsidR="006B44EC">
        <w:t>facilitates discussion on</w:t>
      </w:r>
      <w:r>
        <w:t xml:space="preserve"> the policy challenges facing OECD and non</w:t>
      </w:r>
      <w:r w:rsidR="00826B98">
        <w:noBreakHyphen/>
      </w:r>
      <w:r>
        <w:t xml:space="preserve">OECD countries as they seek to attract investment and maximise its benefits to host societies. </w:t>
      </w:r>
      <w:r w:rsidR="003C2EEC">
        <w:t>It</w:t>
      </w:r>
      <w:r>
        <w:t xml:space="preserve"> represents the community of policy makers, including treaty negotiators and National Contact Point </w:t>
      </w:r>
      <w:r w:rsidR="005B6790">
        <w:t xml:space="preserve">(NCP) </w:t>
      </w:r>
      <w:r>
        <w:t xml:space="preserve">representatives for the </w:t>
      </w:r>
      <w:r w:rsidR="00890E25" w:rsidRPr="00890E25">
        <w:t>OECD Guidelines</w:t>
      </w:r>
      <w:r>
        <w:t xml:space="preserve">, from </w:t>
      </w:r>
      <w:r w:rsidR="00D61274">
        <w:t xml:space="preserve">OECD and </w:t>
      </w:r>
      <w:r w:rsidR="00434D0D">
        <w:t>other participant countries</w:t>
      </w:r>
      <w:r>
        <w:t xml:space="preserve">. It is responsible for the OECD Codes of Liberalisation of Capital Movements and </w:t>
      </w:r>
      <w:r w:rsidR="00F25F1B">
        <w:t xml:space="preserve">of </w:t>
      </w:r>
      <w:r>
        <w:t xml:space="preserve">Current Invisible Operations. </w:t>
      </w:r>
    </w:p>
    <w:p w:rsidR="00165D78" w:rsidRPr="003C2EEC" w:rsidRDefault="00165D78" w:rsidP="00165D78">
      <w:r>
        <w:t xml:space="preserve">The Committee also has primary responsibility for the </w:t>
      </w:r>
      <w:hyperlink r:id="rId15" w:history="1">
        <w:r w:rsidRPr="00C0342B">
          <w:rPr>
            <w:i/>
          </w:rPr>
          <w:t>OECD Declaration on International Investment and Multinational Enterprises</w:t>
        </w:r>
      </w:hyperlink>
      <w:r w:rsidR="00552CD7">
        <w:t xml:space="preserve"> (the Decl</w:t>
      </w:r>
      <w:r w:rsidR="00092122">
        <w:t>a</w:t>
      </w:r>
      <w:r w:rsidR="00552CD7">
        <w:t>ration)</w:t>
      </w:r>
      <w:r>
        <w:t>. Th</w:t>
      </w:r>
      <w:r w:rsidR="00552CD7">
        <w:t>e</w:t>
      </w:r>
      <w:r>
        <w:t xml:space="preserve"> Declaration was adopted by OECD Governments in 1976 to facilitate direct investment among OECD </w:t>
      </w:r>
      <w:r w:rsidR="004D4CEA">
        <w:t>m</w:t>
      </w:r>
      <w:r>
        <w:t xml:space="preserve">embers. </w:t>
      </w:r>
      <w:r w:rsidR="00006614">
        <w:t>It</w:t>
      </w:r>
      <w:r>
        <w:t xml:space="preserve"> represents a broad political commitment to open and transparent investment policies and encourag</w:t>
      </w:r>
      <w:r w:rsidR="00006614">
        <w:t>es</w:t>
      </w:r>
      <w:r>
        <w:t xml:space="preserve"> the positive contribution of </w:t>
      </w:r>
      <w:r w:rsidR="005B6790">
        <w:t>MNE</w:t>
      </w:r>
      <w:r>
        <w:t>s</w:t>
      </w:r>
      <w:r w:rsidR="00953B3F">
        <w:t xml:space="preserve">. </w:t>
      </w:r>
      <w:r>
        <w:t>Since adoption, the Declaration has been the basis for extensive intergovernmental cooperation on developing best p</w:t>
      </w:r>
      <w:r w:rsidR="00E0654D">
        <w:t>olicy practices and peer review</w:t>
      </w:r>
      <w:r w:rsidR="00826B98">
        <w:noBreakHyphen/>
      </w:r>
      <w:r>
        <w:t>based approaches to outreach activities. The text of the Declaration is</w:t>
      </w:r>
      <w:r w:rsidR="005812EF">
        <w:t xml:space="preserve"> included in the </w:t>
      </w:r>
      <w:r w:rsidR="005812EF" w:rsidRPr="00252344">
        <w:t>O</w:t>
      </w:r>
      <w:r w:rsidR="008266FF" w:rsidRPr="00252344">
        <w:t>E</w:t>
      </w:r>
      <w:r w:rsidR="005812EF" w:rsidRPr="00252344">
        <w:t>CD Guidelines</w:t>
      </w:r>
      <w:r w:rsidR="005812EF">
        <w:t xml:space="preserve"> provided</w:t>
      </w:r>
      <w:r>
        <w:t xml:space="preserve"> at </w:t>
      </w:r>
      <w:r w:rsidRPr="003C2EEC">
        <w:t>Appendix</w:t>
      </w:r>
      <w:r w:rsidR="00CF19A7" w:rsidRPr="003C2EEC">
        <w:t> </w:t>
      </w:r>
      <w:r w:rsidRPr="003C2EEC">
        <w:t>F</w:t>
      </w:r>
      <w:r w:rsidR="00647B9F" w:rsidRPr="003C2EEC">
        <w:t>.</w:t>
      </w:r>
    </w:p>
    <w:p w:rsidR="00165D78" w:rsidRDefault="00165D78" w:rsidP="00165D78">
      <w:r>
        <w:t>The Committee</w:t>
      </w:r>
      <w:r w:rsidR="00CF38A0">
        <w:t>’</w:t>
      </w:r>
      <w:r>
        <w:t>s work program falls into five main categories: promoting transparent and non</w:t>
      </w:r>
      <w:r w:rsidR="00826B98">
        <w:noBreakHyphen/>
      </w:r>
      <w:r>
        <w:t xml:space="preserve">discriminatory investment policies; encouraging the positive contribution of </w:t>
      </w:r>
      <w:r w:rsidR="005B6790">
        <w:t>MNE</w:t>
      </w:r>
      <w:r>
        <w:t>s to sustainable development; cooperating with non</w:t>
      </w:r>
      <w:r w:rsidR="00826B98">
        <w:noBreakHyphen/>
      </w:r>
      <w:r>
        <w:t xml:space="preserve">Members to mobilise investment for development; monitoring developments in international investment agreements; and monitoring </w:t>
      </w:r>
      <w:r w:rsidR="004C1378">
        <w:t>FDI</w:t>
      </w:r>
      <w:r w:rsidR="00586506">
        <w:t xml:space="preserve"> </w:t>
      </w:r>
      <w:r>
        <w:t>trends.</w:t>
      </w:r>
    </w:p>
    <w:p w:rsidR="00A82B47" w:rsidRDefault="00A82B47" w:rsidP="00A82B47">
      <w:r>
        <w:t xml:space="preserve">During </w:t>
      </w:r>
      <w:r w:rsidR="0055353D">
        <w:t>200</w:t>
      </w:r>
      <w:r w:rsidR="008231F0">
        <w:t>7</w:t>
      </w:r>
      <w:r w:rsidR="00826B98">
        <w:noBreakHyphen/>
      </w:r>
      <w:r>
        <w:t>0</w:t>
      </w:r>
      <w:r w:rsidR="008231F0">
        <w:t>8,</w:t>
      </w:r>
      <w:r>
        <w:t xml:space="preserve"> the Committee</w:t>
      </w:r>
      <w:r w:rsidR="008231F0">
        <w:t xml:space="preserve"> continued its work</w:t>
      </w:r>
      <w:r>
        <w:t xml:space="preserve"> on </w:t>
      </w:r>
      <w:r w:rsidRPr="00A82B47">
        <w:t>Freedom of Investment, National Security and ‘Strategic’ Industries</w:t>
      </w:r>
      <w:r w:rsidR="00220C25">
        <w:t xml:space="preserve">. </w:t>
      </w:r>
      <w:r>
        <w:t xml:space="preserve">The aim of the project is to </w:t>
      </w:r>
      <w:r w:rsidRPr="00A82B47">
        <w:t>help policy makers to find ways to safeguard legitimate national security and essential public interests while at the same time keeping their investment regimes transparent and non</w:t>
      </w:r>
      <w:r w:rsidR="00826B98">
        <w:noBreakHyphen/>
      </w:r>
      <w:r w:rsidRPr="00A82B47">
        <w:t>discriminatory and thus continuing to reap the demonstrated benefits of free international investment flows</w:t>
      </w:r>
      <w:r w:rsidR="00220C25">
        <w:t xml:space="preserve">. </w:t>
      </w:r>
      <w:r w:rsidR="00544A7C">
        <w:t xml:space="preserve">Ten </w:t>
      </w:r>
      <w:r w:rsidR="00651A1D">
        <w:t xml:space="preserve">roundtables have </w:t>
      </w:r>
      <w:r w:rsidR="00544A7C">
        <w:t xml:space="preserve">now </w:t>
      </w:r>
      <w:r w:rsidR="00651A1D">
        <w:t>been held</w:t>
      </w:r>
      <w:r>
        <w:t xml:space="preserve"> to solicit input from relevant stakeholders including policy</w:t>
      </w:r>
      <w:r w:rsidR="00786D85">
        <w:t xml:space="preserve"> </w:t>
      </w:r>
      <w:r>
        <w:t>makers and business representatives</w:t>
      </w:r>
      <w:r w:rsidR="00220C25">
        <w:t xml:space="preserve">. </w:t>
      </w:r>
    </w:p>
    <w:p w:rsidR="00544A7C" w:rsidRPr="0042494D" w:rsidRDefault="009814BA" w:rsidP="005D5E49">
      <w:r>
        <w:t>As an integral part of the Freedom of Investment Project, t</w:t>
      </w:r>
      <w:r w:rsidRPr="009814BA">
        <w:t xml:space="preserve">he Investment Committee </w:t>
      </w:r>
      <w:r>
        <w:t xml:space="preserve">considered </w:t>
      </w:r>
      <w:r w:rsidRPr="009814BA">
        <w:t>the issue of recipient country policies toward Sovereign Wealth Funds (SWFs) and other government</w:t>
      </w:r>
      <w:r w:rsidR="00826B98">
        <w:noBreakHyphen/>
      </w:r>
      <w:r w:rsidRPr="009814BA">
        <w:t>controlled investment entities</w:t>
      </w:r>
      <w:r w:rsidR="002B4644">
        <w:t>.</w:t>
      </w:r>
      <w:r w:rsidR="002B4644" w:rsidRPr="00B550A7">
        <w:rPr>
          <w:i/>
        </w:rPr>
        <w:t xml:space="preserve"> </w:t>
      </w:r>
      <w:r w:rsidR="007410CE" w:rsidRPr="00AC089C">
        <w:t xml:space="preserve">The </w:t>
      </w:r>
      <w:hyperlink r:id="rId16" w:history="1">
        <w:r w:rsidR="007410CE" w:rsidRPr="00B550A7">
          <w:rPr>
            <w:rStyle w:val="Hyperlink"/>
            <w:i/>
          </w:rPr>
          <w:t xml:space="preserve">OECD Declaration on </w:t>
        </w:r>
        <w:r w:rsidR="00B550A7" w:rsidRPr="00B550A7">
          <w:rPr>
            <w:rStyle w:val="Hyperlink"/>
            <w:i/>
          </w:rPr>
          <w:t>S</w:t>
        </w:r>
        <w:r w:rsidR="007410CE" w:rsidRPr="00B550A7">
          <w:rPr>
            <w:rStyle w:val="Hyperlink"/>
            <w:i/>
          </w:rPr>
          <w:t xml:space="preserve">overeign </w:t>
        </w:r>
        <w:r w:rsidR="00B550A7" w:rsidRPr="00B550A7">
          <w:rPr>
            <w:rStyle w:val="Hyperlink"/>
            <w:i/>
          </w:rPr>
          <w:t>W</w:t>
        </w:r>
        <w:r w:rsidR="007410CE" w:rsidRPr="00B550A7">
          <w:rPr>
            <w:rStyle w:val="Hyperlink"/>
            <w:i/>
          </w:rPr>
          <w:t xml:space="preserve">ealth </w:t>
        </w:r>
        <w:r w:rsidR="00B550A7" w:rsidRPr="00B550A7">
          <w:rPr>
            <w:rStyle w:val="Hyperlink"/>
            <w:i/>
          </w:rPr>
          <w:t>F</w:t>
        </w:r>
        <w:r w:rsidR="007410CE" w:rsidRPr="00B550A7">
          <w:rPr>
            <w:rStyle w:val="Hyperlink"/>
            <w:i/>
          </w:rPr>
          <w:t xml:space="preserve">unds and </w:t>
        </w:r>
        <w:r w:rsidR="00B550A7" w:rsidRPr="00B550A7">
          <w:rPr>
            <w:rStyle w:val="Hyperlink"/>
            <w:i/>
          </w:rPr>
          <w:t>R</w:t>
        </w:r>
        <w:r w:rsidR="007410CE" w:rsidRPr="00B550A7">
          <w:rPr>
            <w:rStyle w:val="Hyperlink"/>
            <w:i/>
          </w:rPr>
          <w:t xml:space="preserve">ecipient </w:t>
        </w:r>
        <w:r w:rsidR="00B550A7" w:rsidRPr="00B550A7">
          <w:rPr>
            <w:rStyle w:val="Hyperlink"/>
            <w:i/>
          </w:rPr>
          <w:t>C</w:t>
        </w:r>
        <w:r w:rsidR="007410CE" w:rsidRPr="00B550A7">
          <w:rPr>
            <w:rStyle w:val="Hyperlink"/>
            <w:i/>
          </w:rPr>
          <w:t xml:space="preserve">ountry </w:t>
        </w:r>
        <w:r w:rsidR="00B550A7" w:rsidRPr="00B550A7">
          <w:rPr>
            <w:rStyle w:val="Hyperlink"/>
            <w:i/>
          </w:rPr>
          <w:t>P</w:t>
        </w:r>
        <w:r w:rsidR="007410CE" w:rsidRPr="00B550A7">
          <w:rPr>
            <w:rStyle w:val="Hyperlink"/>
            <w:i/>
          </w:rPr>
          <w:t>olicies</w:t>
        </w:r>
      </w:hyperlink>
      <w:r w:rsidR="007410CE">
        <w:t xml:space="preserve"> was</w:t>
      </w:r>
      <w:r w:rsidR="007410CE" w:rsidRPr="007410CE">
        <w:t xml:space="preserve"> made by Finance Ministers meeting at the OECD in June 2008</w:t>
      </w:r>
      <w:r w:rsidR="00544A7C">
        <w:t xml:space="preserve">. This was followed by the release of </w:t>
      </w:r>
      <w:r w:rsidR="00544A7C" w:rsidRPr="0042494D">
        <w:rPr>
          <w:i/>
        </w:rPr>
        <w:t xml:space="preserve">OECD Guidelines for </w:t>
      </w:r>
      <w:r w:rsidR="0042494D">
        <w:rPr>
          <w:i/>
        </w:rPr>
        <w:t>R</w:t>
      </w:r>
      <w:r w:rsidR="00544A7C" w:rsidRPr="0042494D">
        <w:rPr>
          <w:i/>
        </w:rPr>
        <w:t xml:space="preserve">ecipient </w:t>
      </w:r>
      <w:r w:rsidR="0042494D">
        <w:rPr>
          <w:i/>
        </w:rPr>
        <w:t>C</w:t>
      </w:r>
      <w:r w:rsidR="00544A7C" w:rsidRPr="0042494D">
        <w:rPr>
          <w:i/>
        </w:rPr>
        <w:t xml:space="preserve">ountry </w:t>
      </w:r>
      <w:r w:rsidR="0042494D">
        <w:rPr>
          <w:i/>
        </w:rPr>
        <w:t>I</w:t>
      </w:r>
      <w:r w:rsidR="00544A7C" w:rsidRPr="0042494D">
        <w:rPr>
          <w:i/>
        </w:rPr>
        <w:t xml:space="preserve">nvestment </w:t>
      </w:r>
      <w:r w:rsidR="0042494D">
        <w:rPr>
          <w:i/>
        </w:rPr>
        <w:t>P</w:t>
      </w:r>
      <w:r w:rsidR="00544A7C" w:rsidRPr="0042494D">
        <w:rPr>
          <w:i/>
        </w:rPr>
        <w:t xml:space="preserve">olicies </w:t>
      </w:r>
      <w:r w:rsidR="0042494D">
        <w:rPr>
          <w:i/>
        </w:rPr>
        <w:t>R</w:t>
      </w:r>
      <w:r w:rsidR="00544A7C" w:rsidRPr="0042494D">
        <w:rPr>
          <w:i/>
        </w:rPr>
        <w:t xml:space="preserve">elating to </w:t>
      </w:r>
      <w:r w:rsidR="0042494D">
        <w:rPr>
          <w:i/>
        </w:rPr>
        <w:t>N</w:t>
      </w:r>
      <w:r w:rsidR="00544A7C" w:rsidRPr="0042494D">
        <w:rPr>
          <w:i/>
        </w:rPr>
        <w:t xml:space="preserve">ational </w:t>
      </w:r>
      <w:r w:rsidR="0042494D">
        <w:rPr>
          <w:i/>
        </w:rPr>
        <w:t>S</w:t>
      </w:r>
      <w:r w:rsidR="00544A7C" w:rsidRPr="0042494D">
        <w:rPr>
          <w:i/>
        </w:rPr>
        <w:t>ecurity</w:t>
      </w:r>
      <w:r w:rsidR="0042494D">
        <w:t xml:space="preserve"> in 2008.</w:t>
      </w:r>
    </w:p>
    <w:p w:rsidR="005D5E49" w:rsidRDefault="005D5E49" w:rsidP="005D5E49">
      <w:r>
        <w:t xml:space="preserve">The OECD’s Policy Framework for Investment (PFI), which was developed in 2006, was used in </w:t>
      </w:r>
      <w:r w:rsidRPr="005D5E49">
        <w:t xml:space="preserve">a preliminary evaluation of policy priorities for investment climate reform </w:t>
      </w:r>
      <w:r>
        <w:t>in Vietn</w:t>
      </w:r>
      <w:r w:rsidRPr="005D5E49">
        <w:t>am</w:t>
      </w:r>
      <w:r w:rsidR="00220C25">
        <w:t xml:space="preserve">. </w:t>
      </w:r>
      <w:r>
        <w:t xml:space="preserve">Australia jointly funded this OECD project with Japan and </w:t>
      </w:r>
      <w:r w:rsidR="00890E25">
        <w:t>is</w:t>
      </w:r>
      <w:r>
        <w:t xml:space="preserve"> involved in </w:t>
      </w:r>
      <w:r w:rsidR="00890E25">
        <w:t xml:space="preserve">an investment climate reform assessment of </w:t>
      </w:r>
      <w:r>
        <w:t>Vietnam</w:t>
      </w:r>
      <w:r w:rsidR="0073097E">
        <w:t>’s</w:t>
      </w:r>
      <w:r>
        <w:t xml:space="preserve"> </w:t>
      </w:r>
      <w:r w:rsidRPr="005D5E49">
        <w:t xml:space="preserve">investment policy, competition policy, </w:t>
      </w:r>
      <w:r w:rsidR="00DB643B">
        <w:t>tax policy</w:t>
      </w:r>
      <w:r w:rsidRPr="005D5E49">
        <w:t xml:space="preserve">, investment promotion and facilitation, </w:t>
      </w:r>
      <w:r w:rsidR="00DB643B">
        <w:t>financial sector development</w:t>
      </w:r>
      <w:r w:rsidR="00DB643B" w:rsidRPr="005D5E49">
        <w:t xml:space="preserve"> </w:t>
      </w:r>
      <w:r w:rsidRPr="005D5E49">
        <w:t>and trade policy.</w:t>
      </w:r>
      <w:r>
        <w:t xml:space="preserve"> </w:t>
      </w:r>
    </w:p>
    <w:p w:rsidR="00165D78" w:rsidRPr="004C2A77" w:rsidRDefault="00165D78" w:rsidP="00165D78">
      <w:pPr>
        <w:pStyle w:val="Heading2"/>
        <w:rPr>
          <w:i/>
        </w:rPr>
      </w:pPr>
      <w:r w:rsidRPr="004C2A77">
        <w:rPr>
          <w:i/>
        </w:rPr>
        <w:t>OECD Guidelines for Multinational Enterprises</w:t>
      </w:r>
    </w:p>
    <w:p w:rsidR="00165D78" w:rsidRDefault="00165D78" w:rsidP="00165D78">
      <w:r>
        <w:t xml:space="preserve">The </w:t>
      </w:r>
      <w:r w:rsidR="00890E25" w:rsidRPr="00890E25">
        <w:t>OECD Guidelines</w:t>
      </w:r>
      <w:r>
        <w:t xml:space="preserve"> provide voluntary principles and standards for responsible business conduct consistent</w:t>
      </w:r>
      <w:r w:rsidR="00647B9F">
        <w:t xml:space="preserve"> with applicable domestic laws</w:t>
      </w:r>
      <w:r w:rsidR="005812EF">
        <w:t xml:space="preserve"> (see Appendix F)</w:t>
      </w:r>
      <w:r w:rsidR="00647B9F">
        <w:t>.</w:t>
      </w:r>
    </w:p>
    <w:p w:rsidR="00165D78" w:rsidRDefault="00165D78" w:rsidP="00165D78">
      <w:r>
        <w:t xml:space="preserve">The </w:t>
      </w:r>
      <w:r w:rsidR="00890E25" w:rsidRPr="00890E25">
        <w:t>OECD Guidelines</w:t>
      </w:r>
      <w:r>
        <w:t xml:space="preserve"> are recommendations by governments to MNE</w:t>
      </w:r>
      <w:r w:rsidR="00552CD7">
        <w:t>s</w:t>
      </w:r>
      <w:r>
        <w:t xml:space="preserve"> operating in or from the 30 OECD </w:t>
      </w:r>
      <w:r w:rsidR="008F68C0">
        <w:t>m</w:t>
      </w:r>
      <w:r>
        <w:t xml:space="preserve">ember countries and </w:t>
      </w:r>
      <w:r w:rsidR="0042494D">
        <w:t>11</w:t>
      </w:r>
      <w:r w:rsidR="00D61274">
        <w:t xml:space="preserve"> </w:t>
      </w:r>
      <w:r>
        <w:t>non</w:t>
      </w:r>
      <w:r w:rsidR="00826B98">
        <w:noBreakHyphen/>
      </w:r>
      <w:r w:rsidR="00991A76">
        <w:t>m</w:t>
      </w:r>
      <w:r>
        <w:t xml:space="preserve">ember adhering countries (Argentina, Brazil, Chile, </w:t>
      </w:r>
      <w:r w:rsidR="0042494D">
        <w:t xml:space="preserve">Egypt, </w:t>
      </w:r>
      <w:r>
        <w:t xml:space="preserve">Estonia, Israel, </w:t>
      </w:r>
      <w:r w:rsidR="0042494D">
        <w:t xml:space="preserve">Latvia, </w:t>
      </w:r>
      <w:r>
        <w:t xml:space="preserve">Lithuania, </w:t>
      </w:r>
      <w:r w:rsidR="0042494D">
        <w:t xml:space="preserve">Peru, </w:t>
      </w:r>
      <w:r>
        <w:t>Romania</w:t>
      </w:r>
      <w:r w:rsidR="00D61274">
        <w:t xml:space="preserve"> and</w:t>
      </w:r>
      <w:r w:rsidR="0042494D" w:rsidRPr="0042494D">
        <w:t xml:space="preserve"> </w:t>
      </w:r>
      <w:r w:rsidR="0042494D">
        <w:t>Slovenia</w:t>
      </w:r>
      <w:r>
        <w:t>). They are the only comprehensive and multilaterally</w:t>
      </w:r>
      <w:r w:rsidR="00D816B0">
        <w:t xml:space="preserve"> </w:t>
      </w:r>
      <w:r>
        <w:t>endorsed code of conduct for MNE</w:t>
      </w:r>
      <w:r w:rsidR="00393C1A">
        <w:t>s</w:t>
      </w:r>
      <w:r>
        <w:t xml:space="preserve"> that </w:t>
      </w:r>
      <w:r w:rsidR="00C94C9C">
        <w:t>g</w:t>
      </w:r>
      <w:r>
        <w:t>overnmen</w:t>
      </w:r>
      <w:r w:rsidR="00647B9F">
        <w:t>ts are committed to promoting.</w:t>
      </w:r>
    </w:p>
    <w:p w:rsidR="00165D78" w:rsidRDefault="00165D78" w:rsidP="00165D78">
      <w:r>
        <w:t xml:space="preserve">The </w:t>
      </w:r>
      <w:r w:rsidR="00890E25" w:rsidRPr="00890E25">
        <w:t>OECD Guidelines</w:t>
      </w:r>
      <w:r>
        <w:t xml:space="preserve"> apply to </w:t>
      </w:r>
      <w:r w:rsidR="00552CD7">
        <w:t xml:space="preserve">the activities of </w:t>
      </w:r>
      <w:r>
        <w:t>MNE</w:t>
      </w:r>
      <w:r w:rsidR="00552CD7">
        <w:t>s</w:t>
      </w:r>
      <w:r>
        <w:t xml:space="preserve"> in OECD and non</w:t>
      </w:r>
      <w:r w:rsidR="00826B98">
        <w:noBreakHyphen/>
      </w:r>
      <w:r>
        <w:t>OECD</w:t>
      </w:r>
      <w:r w:rsidR="00575261">
        <w:t> </w:t>
      </w:r>
      <w:r>
        <w:t xml:space="preserve">countries alike. </w:t>
      </w:r>
      <w:r w:rsidRPr="007059F1">
        <w:t xml:space="preserve">They establish principles covering a </w:t>
      </w:r>
      <w:r w:rsidRPr="007059F1">
        <w:rPr>
          <w:bCs/>
        </w:rPr>
        <w:t>broad range of issues</w:t>
      </w:r>
      <w:r w:rsidRPr="007059F1">
        <w:t xml:space="preserve"> including information disclosure, employment and industrial relations, environment, combating bribery, consumer interests, science and technology, competition</w:t>
      </w:r>
      <w:r>
        <w:t>, human rights</w:t>
      </w:r>
      <w:r w:rsidRPr="007059F1">
        <w:t xml:space="preserve"> and taxation</w:t>
      </w:r>
      <w:r>
        <w:t>.</w:t>
      </w:r>
    </w:p>
    <w:p w:rsidR="00165D78" w:rsidRPr="000747CB" w:rsidRDefault="00165D78" w:rsidP="00165D78">
      <w:r>
        <w:t xml:space="preserve">The Australian Government has established a </w:t>
      </w:r>
      <w:r w:rsidR="005B6790">
        <w:t>N</w:t>
      </w:r>
      <w:r w:rsidR="0055353D">
        <w:t xml:space="preserve">ational </w:t>
      </w:r>
      <w:r w:rsidR="005B6790">
        <w:t>C</w:t>
      </w:r>
      <w:r w:rsidR="0055353D">
        <w:t xml:space="preserve">ontact </w:t>
      </w:r>
      <w:r w:rsidR="005B6790">
        <w:t>P</w:t>
      </w:r>
      <w:r w:rsidR="0055353D">
        <w:t>oint (</w:t>
      </w:r>
      <w:r w:rsidR="008266FF">
        <w:t xml:space="preserve">known as </w:t>
      </w:r>
      <w:r w:rsidR="00393C1A">
        <w:t>the ANCP</w:t>
      </w:r>
      <w:r w:rsidR="0055353D">
        <w:t>)</w:t>
      </w:r>
      <w:r w:rsidR="00393C1A">
        <w:t xml:space="preserve"> </w:t>
      </w:r>
      <w:r>
        <w:t xml:space="preserve">to implement and promote the </w:t>
      </w:r>
      <w:r w:rsidR="00890E25" w:rsidRPr="00890E25">
        <w:t>OECD Guidelines</w:t>
      </w:r>
      <w:r>
        <w:t xml:space="preserve"> to Australian businesses and other interested parties. The</w:t>
      </w:r>
      <w:r w:rsidRPr="00932302">
        <w:t xml:space="preserve"> </w:t>
      </w:r>
      <w:r>
        <w:t>ANCP</w:t>
      </w:r>
      <w:r w:rsidRPr="00932302">
        <w:t xml:space="preserve"> </w:t>
      </w:r>
      <w:r>
        <w:t>is the Executive Member of the F</w:t>
      </w:r>
      <w:r w:rsidR="00647B9F">
        <w:t>oreign Investment Review Board.</w:t>
      </w:r>
    </w:p>
    <w:p w:rsidR="008B7D39" w:rsidRDefault="00165D78" w:rsidP="00165D78">
      <w:r>
        <w:t xml:space="preserve">An important aspect of the </w:t>
      </w:r>
      <w:r w:rsidR="00890E25" w:rsidRPr="00890E25">
        <w:t>OECD Guidelines</w:t>
      </w:r>
      <w:r>
        <w:t xml:space="preserve"> is its </w:t>
      </w:r>
      <w:r w:rsidRPr="000136CC">
        <w:t>formal review mechanism</w:t>
      </w:r>
      <w:r>
        <w:t>, which provides for an examination of a</w:t>
      </w:r>
      <w:r w:rsidR="00D816B0">
        <w:t>n</w:t>
      </w:r>
      <w:r>
        <w:t xml:space="preserve"> </w:t>
      </w:r>
      <w:r w:rsidR="005B6790">
        <w:t>MNE</w:t>
      </w:r>
      <w:r w:rsidR="004E23AD">
        <w:t>’</w:t>
      </w:r>
      <w:r>
        <w:t xml:space="preserve">s conduct where that conduct is claimed to be contrary to the </w:t>
      </w:r>
      <w:r w:rsidR="00890E25" w:rsidRPr="00890E25">
        <w:t>OECD Guidelines</w:t>
      </w:r>
      <w:r>
        <w:t xml:space="preserve">. Such an examination is termed a specific instance and it is conducted by the relevant </w:t>
      </w:r>
      <w:r w:rsidR="005B6790">
        <w:t>NCP</w:t>
      </w:r>
      <w:r>
        <w:t>. In accordance with the OECD</w:t>
      </w:r>
      <w:r w:rsidR="00CF38A0">
        <w:t>’</w:t>
      </w:r>
      <w:r>
        <w:t xml:space="preserve">s </w:t>
      </w:r>
      <w:r w:rsidR="005B6790" w:rsidRPr="005B6790">
        <w:rPr>
          <w:i/>
        </w:rPr>
        <w:t>Procedural Guidance</w:t>
      </w:r>
      <w:r w:rsidR="005B6790">
        <w:t xml:space="preserve"> </w:t>
      </w:r>
      <w:r>
        <w:t>for N</w:t>
      </w:r>
      <w:r w:rsidR="005B6790">
        <w:t>CP</w:t>
      </w:r>
      <w:r>
        <w:t xml:space="preserve">s, the ANCP has committed to contribute to the resolution of issues relating to the implementation of the </w:t>
      </w:r>
      <w:r w:rsidR="00890E25" w:rsidRPr="00890E25">
        <w:t>OECD Guidelines</w:t>
      </w:r>
      <w:r>
        <w:t xml:space="preserve"> in any such specific instances</w:t>
      </w:r>
      <w:r w:rsidR="00953B3F">
        <w:t xml:space="preserve">. </w:t>
      </w:r>
    </w:p>
    <w:p w:rsidR="00165D78" w:rsidRDefault="00651A1D" w:rsidP="00810E36">
      <w:r w:rsidRPr="00651A1D">
        <w:t>In 2007</w:t>
      </w:r>
      <w:r w:rsidR="00826B98">
        <w:noBreakHyphen/>
      </w:r>
      <w:r w:rsidRPr="00651A1D">
        <w:t>08, the ANCP reviewed a submission regarding an Australian company’s involvement in a mining operation in South America</w:t>
      </w:r>
      <w:r w:rsidR="002B4644">
        <w:t xml:space="preserve">. </w:t>
      </w:r>
      <w:r w:rsidRPr="00651A1D">
        <w:t>The ANCP commenced an initial assessment as to whether the issues raised warranted further consideration as a specific instance</w:t>
      </w:r>
      <w:r w:rsidR="002B4644">
        <w:t xml:space="preserve">. </w:t>
      </w:r>
      <w:r w:rsidR="00026A58">
        <w:t>The matter is ongoing</w:t>
      </w:r>
      <w:r w:rsidR="0042494D">
        <w:t>.</w:t>
      </w:r>
    </w:p>
    <w:p w:rsidR="00661C4A" w:rsidRDefault="0055353D" w:rsidP="00661C4A">
      <w:r w:rsidRPr="0055353D">
        <w:t xml:space="preserve">The ANCP’s main method of informing the public about the Guidelines and other OECD Investment Committee work is through the ANCP’s website at </w:t>
      </w:r>
      <w:hyperlink r:id="rId17" w:history="1">
        <w:r w:rsidR="00CE6F2D" w:rsidRPr="00903EF9">
          <w:rPr>
            <w:rStyle w:val="Hyperlink"/>
          </w:rPr>
          <w:t>www.ausncp.gov.au</w:t>
        </w:r>
      </w:hyperlink>
      <w:r w:rsidR="00220C25">
        <w:t xml:space="preserve">. </w:t>
      </w:r>
      <w:r w:rsidRPr="0055353D">
        <w:t xml:space="preserve">This website provides a range of information including: core documents such as the text of the Guidelines and the Risk Awareness Tool; basic procedural information such as the NCP’s service charter, procedures for lodging specific instances and the NCP’s procedures for handling them; </w:t>
      </w:r>
      <w:r w:rsidR="00CE6F2D">
        <w:t xml:space="preserve">and </w:t>
      </w:r>
      <w:r w:rsidRPr="0055353D">
        <w:t>official OECD Investment Committee and Guidelines</w:t>
      </w:r>
      <w:r w:rsidR="00826B98">
        <w:noBreakHyphen/>
      </w:r>
      <w:r w:rsidRPr="0055353D">
        <w:t xml:space="preserve">related documents (in a secure section for registered social partners). It also hosts other useful documents including conference papers and submissions by NGOs. </w:t>
      </w:r>
    </w:p>
    <w:p w:rsidR="00661C4A" w:rsidRDefault="00661C4A" w:rsidP="00661C4A">
      <w:pPr>
        <w:rPr>
          <w:lang w:val="en-US"/>
        </w:rPr>
      </w:pPr>
      <w:r>
        <w:rPr>
          <w:lang w:val="en-US"/>
        </w:rPr>
        <w:t xml:space="preserve">The promotional activities of the ANCP during </w:t>
      </w:r>
      <w:r w:rsidR="008231F0">
        <w:rPr>
          <w:lang w:val="en-US"/>
        </w:rPr>
        <w:t>2007</w:t>
      </w:r>
      <w:r w:rsidR="00826B98">
        <w:rPr>
          <w:lang w:val="en-US"/>
        </w:rPr>
        <w:noBreakHyphen/>
      </w:r>
      <w:r w:rsidR="008231F0">
        <w:rPr>
          <w:lang w:val="en-US"/>
        </w:rPr>
        <w:t>08</w:t>
      </w:r>
      <w:r>
        <w:rPr>
          <w:lang w:val="en-US"/>
        </w:rPr>
        <w:t xml:space="preserve"> have included:</w:t>
      </w:r>
    </w:p>
    <w:p w:rsidR="00165D78" w:rsidRDefault="00757114" w:rsidP="00661C4A">
      <w:pPr>
        <w:pStyle w:val="Bullet"/>
      </w:pPr>
      <w:r>
        <w:t>a</w:t>
      </w:r>
      <w:r w:rsidR="00165D78">
        <w:t xml:space="preserve">ttending regular interdepartmental committee meetings </w:t>
      </w:r>
      <w:r w:rsidR="00EB6F52">
        <w:t>c</w:t>
      </w:r>
      <w:r w:rsidR="00165D78">
        <w:t>haired by the Attorney</w:t>
      </w:r>
      <w:r w:rsidR="00826B98">
        <w:noBreakHyphen/>
      </w:r>
      <w:r w:rsidR="00165D78">
        <w:t>General</w:t>
      </w:r>
      <w:r w:rsidR="00CF38A0">
        <w:t>’</w:t>
      </w:r>
      <w:r w:rsidR="00165D78">
        <w:t xml:space="preserve">s Department on the </w:t>
      </w:r>
      <w:r w:rsidR="00165D78" w:rsidRPr="00150509">
        <w:rPr>
          <w:i/>
        </w:rPr>
        <w:t xml:space="preserve">OECD </w:t>
      </w:r>
      <w:r w:rsidR="007D38D0" w:rsidRPr="00150509">
        <w:rPr>
          <w:i/>
        </w:rPr>
        <w:t>Convention against Bribery of Foreign Public Officials in International Business Transactions</w:t>
      </w:r>
      <w:r w:rsidR="002F6EDD">
        <w:t>;</w:t>
      </w:r>
      <w:r w:rsidR="00953B3F">
        <w:t xml:space="preserve"> </w:t>
      </w:r>
    </w:p>
    <w:p w:rsidR="00165D78" w:rsidRPr="000C534D" w:rsidRDefault="00757114" w:rsidP="007D0BB1">
      <w:pPr>
        <w:pStyle w:val="Bullet"/>
      </w:pPr>
      <w:r>
        <w:rPr>
          <w:szCs w:val="24"/>
        </w:rPr>
        <w:t>c</w:t>
      </w:r>
      <w:r w:rsidR="00165D78">
        <w:rPr>
          <w:szCs w:val="24"/>
        </w:rPr>
        <w:t>ontinu</w:t>
      </w:r>
      <w:r w:rsidR="004A2C8F">
        <w:rPr>
          <w:szCs w:val="24"/>
        </w:rPr>
        <w:t>ing</w:t>
      </w:r>
      <w:r w:rsidR="00165D78">
        <w:rPr>
          <w:szCs w:val="24"/>
        </w:rPr>
        <w:t xml:space="preserve"> </w:t>
      </w:r>
      <w:bookmarkStart w:id="1" w:name="OLE_LINK2"/>
      <w:r w:rsidR="00165D78">
        <w:rPr>
          <w:szCs w:val="24"/>
        </w:rPr>
        <w:t>efforts</w:t>
      </w:r>
      <w:r w:rsidR="00165D78" w:rsidRPr="00FB1924">
        <w:rPr>
          <w:szCs w:val="24"/>
        </w:rPr>
        <w:t xml:space="preserve"> to</w:t>
      </w:r>
      <w:r w:rsidR="00165D78">
        <w:rPr>
          <w:szCs w:val="24"/>
        </w:rPr>
        <w:t xml:space="preserve"> promote</w:t>
      </w:r>
      <w:r w:rsidR="00165D78" w:rsidRPr="00FB1924">
        <w:rPr>
          <w:szCs w:val="24"/>
        </w:rPr>
        <w:t xml:space="preserve"> the </w:t>
      </w:r>
      <w:r w:rsidR="00890E25" w:rsidRPr="00890E25">
        <w:rPr>
          <w:szCs w:val="24"/>
        </w:rPr>
        <w:t>OECD Guidelines</w:t>
      </w:r>
      <w:r w:rsidR="00165D78" w:rsidRPr="00FB1924">
        <w:rPr>
          <w:szCs w:val="24"/>
        </w:rPr>
        <w:t xml:space="preserve"> through embassy and consular networks</w:t>
      </w:r>
      <w:bookmarkEnd w:id="1"/>
      <w:r w:rsidR="00165D78" w:rsidRPr="00FB1924">
        <w:rPr>
          <w:szCs w:val="24"/>
        </w:rPr>
        <w:t xml:space="preserve">. This has included </w:t>
      </w:r>
      <w:r w:rsidR="00006614">
        <w:rPr>
          <w:szCs w:val="24"/>
        </w:rPr>
        <w:t xml:space="preserve">the ANCP personally </w:t>
      </w:r>
      <w:r w:rsidR="00165D78" w:rsidRPr="00FB1924">
        <w:rPr>
          <w:szCs w:val="24"/>
        </w:rPr>
        <w:t>briefing</w:t>
      </w:r>
      <w:r w:rsidR="00165D78">
        <w:rPr>
          <w:szCs w:val="24"/>
        </w:rPr>
        <w:t xml:space="preserve"> senior</w:t>
      </w:r>
      <w:r w:rsidR="00165D78" w:rsidRPr="00FB1924">
        <w:rPr>
          <w:szCs w:val="24"/>
        </w:rPr>
        <w:t xml:space="preserve"> </w:t>
      </w:r>
      <w:r w:rsidR="00006614">
        <w:rPr>
          <w:szCs w:val="24"/>
        </w:rPr>
        <w:t xml:space="preserve">DFAT </w:t>
      </w:r>
      <w:r w:rsidR="00165D78" w:rsidRPr="00FB1924">
        <w:rPr>
          <w:szCs w:val="24"/>
        </w:rPr>
        <w:t>o</w:t>
      </w:r>
      <w:r w:rsidR="00165D78">
        <w:rPr>
          <w:szCs w:val="24"/>
        </w:rPr>
        <w:t xml:space="preserve">fficials </w:t>
      </w:r>
      <w:r w:rsidR="00006614">
        <w:rPr>
          <w:szCs w:val="24"/>
        </w:rPr>
        <w:t>p</w:t>
      </w:r>
      <w:r w:rsidR="00165D78">
        <w:rPr>
          <w:szCs w:val="24"/>
        </w:rPr>
        <w:t xml:space="preserve">rior to them taking </w:t>
      </w:r>
      <w:r w:rsidR="00165D78" w:rsidRPr="00FB1924">
        <w:rPr>
          <w:szCs w:val="24"/>
        </w:rPr>
        <w:t>up</w:t>
      </w:r>
      <w:r w:rsidR="00165D78" w:rsidRPr="008E536B">
        <w:rPr>
          <w:szCs w:val="24"/>
        </w:rPr>
        <w:t xml:space="preserve"> post</w:t>
      </w:r>
      <w:r w:rsidR="00165D78">
        <w:rPr>
          <w:szCs w:val="24"/>
        </w:rPr>
        <w:t>ings</w:t>
      </w:r>
      <w:r w:rsidR="002F6EDD">
        <w:rPr>
          <w:szCs w:val="24"/>
        </w:rPr>
        <w:t>; and</w:t>
      </w:r>
    </w:p>
    <w:p w:rsidR="00165D78" w:rsidRPr="00484DA5" w:rsidRDefault="00757114" w:rsidP="007D0BB1">
      <w:pPr>
        <w:pStyle w:val="Bullet"/>
        <w:rPr>
          <w:szCs w:val="24"/>
        </w:rPr>
      </w:pPr>
      <w:r>
        <w:t>a</w:t>
      </w:r>
      <w:r w:rsidR="00165D78">
        <w:t>tten</w:t>
      </w:r>
      <w:r w:rsidR="00735A88">
        <w:t>d</w:t>
      </w:r>
      <w:r w:rsidR="00165D78">
        <w:t>ing corporate social responsibility conferences hosted by other organi</w:t>
      </w:r>
      <w:r w:rsidR="00446B4A">
        <w:t>s</w:t>
      </w:r>
      <w:r w:rsidR="00165D78">
        <w:t>ations (</w:t>
      </w:r>
      <w:r w:rsidR="00721EC1">
        <w:t>for example,</w:t>
      </w:r>
      <w:r w:rsidR="00165D78">
        <w:t xml:space="preserve"> </w:t>
      </w:r>
      <w:r w:rsidR="00026A58">
        <w:t>the Australian Centre for Corporate Social Res</w:t>
      </w:r>
      <w:r w:rsidR="001855EF">
        <w:t>ponsibility and the United Nations</w:t>
      </w:r>
      <w:r w:rsidR="00026A58">
        <w:t xml:space="preserve"> Environment </w:t>
      </w:r>
      <w:r w:rsidR="0042494D">
        <w:t>P</w:t>
      </w:r>
      <w:r w:rsidR="00026A58">
        <w:t>rogramme</w:t>
      </w:r>
      <w:r w:rsidR="00165D78">
        <w:t>).</w:t>
      </w:r>
    </w:p>
    <w:p w:rsidR="00165D78" w:rsidRDefault="00165D78" w:rsidP="00165D78">
      <w:pPr>
        <w:pStyle w:val="Heading2"/>
      </w:pPr>
      <w:r>
        <w:t>World Trade Organization</w:t>
      </w:r>
    </w:p>
    <w:p w:rsidR="0055709B" w:rsidRDefault="0055709B" w:rsidP="000607C0">
      <w:pPr>
        <w:shd w:val="clear" w:color="auto" w:fill="FFFFFF"/>
        <w:spacing w:line="240" w:lineRule="auto"/>
      </w:pPr>
      <w:r>
        <w:t>In July 2004, negotiations on multilateral rules on investment</w:t>
      </w:r>
      <w:r w:rsidR="00B42B2E">
        <w:t xml:space="preserve"> were discontinued</w:t>
      </w:r>
      <w:r>
        <w:t xml:space="preserve"> as part of the </w:t>
      </w:r>
      <w:r w:rsidR="008A404F">
        <w:t>current</w:t>
      </w:r>
      <w:r>
        <w:t xml:space="preserve"> Doha Round</w:t>
      </w:r>
      <w:r w:rsidR="008A404F">
        <w:t xml:space="preserve"> of WTO trade negotiations</w:t>
      </w:r>
      <w:r>
        <w:t xml:space="preserve">. As a consequence, the </w:t>
      </w:r>
      <w:r w:rsidR="0031458F">
        <w:t>WTO</w:t>
      </w:r>
      <w:r w:rsidR="00826B98">
        <w:noBreakHyphen/>
      </w:r>
      <w:r w:rsidR="0031458F">
        <w:t xml:space="preserve">related work of </w:t>
      </w:r>
      <w:r w:rsidR="00890E25" w:rsidRPr="00890E25">
        <w:t>the Division</w:t>
      </w:r>
      <w:r>
        <w:t xml:space="preserve"> </w:t>
      </w:r>
      <w:r w:rsidR="0031458F">
        <w:t>was largely</w:t>
      </w:r>
      <w:r>
        <w:t xml:space="preserve"> confined to advising DFAT </w:t>
      </w:r>
      <w:r w:rsidR="0031458F">
        <w:t xml:space="preserve">on investment issues relating to negotiations covering trade in services. </w:t>
      </w:r>
    </w:p>
    <w:p w:rsidR="00165D78" w:rsidRDefault="00165D78" w:rsidP="00165D78">
      <w:pPr>
        <w:pStyle w:val="Heading2"/>
      </w:pPr>
      <w:r>
        <w:t>Asia</w:t>
      </w:r>
      <w:r w:rsidR="00826B98">
        <w:noBreakHyphen/>
      </w:r>
      <w:r>
        <w:t>Pacific Economic Cooperation</w:t>
      </w:r>
    </w:p>
    <w:p w:rsidR="00165D78" w:rsidRPr="00104EE1" w:rsidRDefault="00165D78" w:rsidP="00B268BA">
      <w:pPr>
        <w:rPr>
          <w:rFonts w:cs="Arial"/>
        </w:rPr>
      </w:pPr>
      <w:r w:rsidRPr="00104EE1">
        <w:rPr>
          <w:rFonts w:cs="Arial"/>
        </w:rPr>
        <w:t>Australia continues to participate actively in the work of APEC</w:t>
      </w:r>
      <w:r w:rsidR="002B3AFE">
        <w:rPr>
          <w:rFonts w:cs="Arial"/>
        </w:rPr>
        <w:t xml:space="preserve"> </w:t>
      </w:r>
      <w:r w:rsidR="00DC6179">
        <w:rPr>
          <w:rFonts w:cs="Arial"/>
        </w:rPr>
        <w:t>(</w:t>
      </w:r>
      <w:r w:rsidR="00DF17E2">
        <w:rPr>
          <w:rFonts w:cs="Arial"/>
        </w:rPr>
        <w:t>2007 was</w:t>
      </w:r>
      <w:r w:rsidR="002B3AFE">
        <w:rPr>
          <w:rFonts w:cs="Arial"/>
        </w:rPr>
        <w:t xml:space="preserve"> Australia’s host year)</w:t>
      </w:r>
      <w:r w:rsidRPr="00104EE1">
        <w:rPr>
          <w:rFonts w:cs="Arial"/>
        </w:rPr>
        <w:t>, including in relation to foreign investment. Australia</w:t>
      </w:r>
      <w:r w:rsidR="00CF38A0">
        <w:rPr>
          <w:rFonts w:cs="Arial"/>
        </w:rPr>
        <w:t>’</w:t>
      </w:r>
      <w:r w:rsidRPr="00104EE1">
        <w:rPr>
          <w:rFonts w:cs="Arial"/>
        </w:rPr>
        <w:t>s main investment interest in APEC is to encourage APEC Members to enhance the environment for investment in their economies and to improve transparency.</w:t>
      </w:r>
    </w:p>
    <w:p w:rsidR="006C1A01" w:rsidRDefault="00890E25" w:rsidP="00B268BA">
      <w:pPr>
        <w:pStyle w:val="Bullet"/>
        <w:numPr>
          <w:ilvl w:val="0"/>
          <w:numId w:val="0"/>
        </w:numPr>
        <w:rPr>
          <w:rFonts w:cs="Arial"/>
        </w:rPr>
      </w:pPr>
      <w:bookmarkStart w:id="2" w:name="P7_1595"/>
      <w:bookmarkEnd w:id="2"/>
      <w:r w:rsidRPr="00890E25">
        <w:rPr>
          <w:rFonts w:cs="Arial"/>
        </w:rPr>
        <w:t>The Division</w:t>
      </w:r>
      <w:r w:rsidR="002B3AFE">
        <w:rPr>
          <w:rFonts w:cs="Arial"/>
        </w:rPr>
        <w:t xml:space="preserve">, which holds the chair of </w:t>
      </w:r>
      <w:r w:rsidR="00165D78">
        <w:rPr>
          <w:rFonts w:cs="Arial"/>
        </w:rPr>
        <w:t>the Investment Experts Group (</w:t>
      </w:r>
      <w:r w:rsidR="00165D78" w:rsidRPr="00104EE1">
        <w:rPr>
          <w:rFonts w:cs="Arial"/>
        </w:rPr>
        <w:t>IEG</w:t>
      </w:r>
      <w:r w:rsidR="00165D78">
        <w:rPr>
          <w:rFonts w:cs="Arial"/>
        </w:rPr>
        <w:t>)</w:t>
      </w:r>
      <w:r w:rsidR="00614D03">
        <w:rPr>
          <w:rFonts w:cs="Arial"/>
        </w:rPr>
        <w:t xml:space="preserve">, </w:t>
      </w:r>
      <w:r w:rsidR="00B268BA">
        <w:rPr>
          <w:rFonts w:cs="Arial"/>
        </w:rPr>
        <w:t xml:space="preserve">has developed a range of work programs </w:t>
      </w:r>
      <w:r w:rsidR="00DC46AB">
        <w:rPr>
          <w:rFonts w:cs="Arial"/>
        </w:rPr>
        <w:t>focused</w:t>
      </w:r>
      <w:r w:rsidR="00B268BA">
        <w:rPr>
          <w:rFonts w:cs="Arial"/>
        </w:rPr>
        <w:t xml:space="preserve"> on investment liberalisation and improving the transparency of investment regimes</w:t>
      </w:r>
      <w:r w:rsidR="00942FD5">
        <w:rPr>
          <w:rFonts w:cs="Arial"/>
        </w:rPr>
        <w:t xml:space="preserve"> in the APEC region</w:t>
      </w:r>
      <w:r w:rsidR="00B268BA">
        <w:rPr>
          <w:rFonts w:cs="Arial"/>
        </w:rPr>
        <w:t xml:space="preserve">. </w:t>
      </w:r>
      <w:r w:rsidR="00D40608">
        <w:rPr>
          <w:rFonts w:cs="Arial"/>
        </w:rPr>
        <w:t>The IEG w</w:t>
      </w:r>
      <w:r w:rsidR="006C1A01">
        <w:rPr>
          <w:rFonts w:cs="Arial"/>
        </w:rPr>
        <w:t xml:space="preserve">ork </w:t>
      </w:r>
      <w:r w:rsidR="00D40608">
        <w:rPr>
          <w:rFonts w:cs="Arial"/>
        </w:rPr>
        <w:t xml:space="preserve">program </w:t>
      </w:r>
      <w:r w:rsidR="006C1A01">
        <w:rPr>
          <w:rFonts w:cs="Arial"/>
        </w:rPr>
        <w:t>in the last year</w:t>
      </w:r>
      <w:r w:rsidR="00FD126C">
        <w:rPr>
          <w:rFonts w:cs="Arial"/>
        </w:rPr>
        <w:t xml:space="preserve"> </w:t>
      </w:r>
      <w:r w:rsidR="006C1A01">
        <w:rPr>
          <w:rFonts w:cs="Arial"/>
        </w:rPr>
        <w:t>include</w:t>
      </w:r>
      <w:r w:rsidR="00FD126C">
        <w:rPr>
          <w:rFonts w:cs="Arial"/>
        </w:rPr>
        <w:t>d</w:t>
      </w:r>
      <w:r w:rsidR="006C1A01">
        <w:rPr>
          <w:rFonts w:cs="Arial"/>
        </w:rPr>
        <w:t>:</w:t>
      </w:r>
    </w:p>
    <w:p w:rsidR="00165D78" w:rsidRPr="00104EE1" w:rsidRDefault="003577BB" w:rsidP="006C1A01">
      <w:pPr>
        <w:pStyle w:val="Bullet"/>
      </w:pPr>
      <w:r>
        <w:t xml:space="preserve">continuing </w:t>
      </w:r>
      <w:r w:rsidR="002377E2">
        <w:t>analysis of behind</w:t>
      </w:r>
      <w:r w:rsidR="00826B98">
        <w:noBreakHyphen/>
      </w:r>
      <w:r w:rsidR="002377E2">
        <w:t>the</w:t>
      </w:r>
      <w:r w:rsidR="00826B98">
        <w:noBreakHyphen/>
      </w:r>
      <w:r w:rsidR="002377E2">
        <w:t>border barriers to investment climate reform</w:t>
      </w:r>
      <w:r w:rsidR="00165D78" w:rsidRPr="00104EE1">
        <w:t xml:space="preserve">; </w:t>
      </w:r>
    </w:p>
    <w:p w:rsidR="00165D78" w:rsidRDefault="002377E2" w:rsidP="007D0BB1">
      <w:pPr>
        <w:pStyle w:val="Bullet"/>
      </w:pPr>
      <w:r>
        <w:t xml:space="preserve">exploring the usefulness of </w:t>
      </w:r>
      <w:r w:rsidR="00FD126C">
        <w:t xml:space="preserve">the </w:t>
      </w:r>
      <w:r w:rsidR="003577BB">
        <w:t xml:space="preserve">PFI </w:t>
      </w:r>
      <w:r>
        <w:t>for investment climate reform by</w:t>
      </w:r>
      <w:r w:rsidR="006C1A01">
        <w:t xml:space="preserve"> APEC</w:t>
      </w:r>
      <w:r>
        <w:t>’s developing m</w:t>
      </w:r>
      <w:r w:rsidR="006C1A01">
        <w:t>ember</w:t>
      </w:r>
      <w:r>
        <w:t xml:space="preserve"> economies</w:t>
      </w:r>
      <w:r w:rsidR="003577BB">
        <w:t xml:space="preserve"> including a pilot project involving an Ausaid</w:t>
      </w:r>
      <w:r w:rsidR="00826B98">
        <w:noBreakHyphen/>
      </w:r>
      <w:r w:rsidR="003577BB">
        <w:t>funded PFI assessment of Vietnam</w:t>
      </w:r>
      <w:r w:rsidR="006C1A01">
        <w:t>;</w:t>
      </w:r>
    </w:p>
    <w:p w:rsidR="006C1A01" w:rsidRDefault="003577BB" w:rsidP="006C1A01">
      <w:pPr>
        <w:pStyle w:val="Bullet"/>
        <w:rPr>
          <w:rFonts w:cs="Arial"/>
        </w:rPr>
      </w:pPr>
      <w:r>
        <w:rPr>
          <w:rFonts w:cs="Arial"/>
        </w:rPr>
        <w:t>a joint APEC</w:t>
      </w:r>
      <w:r w:rsidR="00826B98">
        <w:rPr>
          <w:rFonts w:cs="Arial"/>
        </w:rPr>
        <w:noBreakHyphen/>
      </w:r>
      <w:r w:rsidR="00165D78" w:rsidRPr="00104EE1">
        <w:rPr>
          <w:rFonts w:cs="Arial"/>
        </w:rPr>
        <w:t>United Nations Conference on Trade and Development</w:t>
      </w:r>
      <w:r w:rsidR="00165D78">
        <w:rPr>
          <w:rFonts w:cs="Arial"/>
        </w:rPr>
        <w:t xml:space="preserve"> (</w:t>
      </w:r>
      <w:r w:rsidR="00165D78" w:rsidRPr="00FC71CF">
        <w:rPr>
          <w:rFonts w:cs="Arial"/>
        </w:rPr>
        <w:t>UNCTAD</w:t>
      </w:r>
      <w:r w:rsidR="00165D78">
        <w:rPr>
          <w:rFonts w:cs="Arial"/>
        </w:rPr>
        <w:t>)</w:t>
      </w:r>
      <w:r w:rsidR="00165D78" w:rsidRPr="00FC71CF">
        <w:rPr>
          <w:rFonts w:cs="Arial"/>
        </w:rPr>
        <w:t xml:space="preserve"> </w:t>
      </w:r>
      <w:r>
        <w:rPr>
          <w:rFonts w:cs="Arial"/>
        </w:rPr>
        <w:t>project examining the best practices in the use of foreign direct investment in the provision of electricity and roads infrastructure</w:t>
      </w:r>
      <w:r w:rsidR="006C1A01">
        <w:rPr>
          <w:rFonts w:cs="Arial"/>
        </w:rPr>
        <w:t>; and</w:t>
      </w:r>
    </w:p>
    <w:p w:rsidR="00165D78" w:rsidRPr="00FC71CF" w:rsidRDefault="003577BB" w:rsidP="006C1A01">
      <w:pPr>
        <w:pStyle w:val="Bullet"/>
        <w:rPr>
          <w:rFonts w:cs="Arial"/>
        </w:rPr>
      </w:pPr>
      <w:r>
        <w:rPr>
          <w:rFonts w:cs="Arial"/>
        </w:rPr>
        <w:t>the development and endorsement by APEC Ministers and Leaders of a three</w:t>
      </w:r>
      <w:r w:rsidR="00826B98">
        <w:rPr>
          <w:rFonts w:cs="Arial"/>
        </w:rPr>
        <w:noBreakHyphen/>
      </w:r>
      <w:r>
        <w:rPr>
          <w:rFonts w:cs="Arial"/>
        </w:rPr>
        <w:t xml:space="preserve">year </w:t>
      </w:r>
      <w:r w:rsidR="006C1A01" w:rsidRPr="00150509">
        <w:rPr>
          <w:rFonts w:cs="Arial"/>
          <w:i/>
        </w:rPr>
        <w:t xml:space="preserve">APEC Investment </w:t>
      </w:r>
      <w:r>
        <w:rPr>
          <w:rFonts w:cs="Arial"/>
          <w:i/>
        </w:rPr>
        <w:t>Facilitation Action Plan</w:t>
      </w:r>
      <w:r w:rsidR="006C1A01">
        <w:rPr>
          <w:rFonts w:cs="Arial"/>
        </w:rPr>
        <w:t>.</w:t>
      </w:r>
    </w:p>
    <w:p w:rsidR="00165D78" w:rsidRDefault="00165D78" w:rsidP="00165D78">
      <w:pPr>
        <w:rPr>
          <w:rFonts w:cs="Arial"/>
        </w:rPr>
      </w:pPr>
      <w:r>
        <w:rPr>
          <w:rFonts w:cs="Arial"/>
        </w:rPr>
        <w:t xml:space="preserve">Business is </w:t>
      </w:r>
      <w:r w:rsidR="00FB054B">
        <w:rPr>
          <w:rFonts w:cs="Arial"/>
        </w:rPr>
        <w:t>an active contributor to IEG in</w:t>
      </w:r>
      <w:r>
        <w:rPr>
          <w:rFonts w:cs="Arial"/>
        </w:rPr>
        <w:t xml:space="preserve"> sharing its ideas </w:t>
      </w:r>
      <w:r w:rsidR="00673BFE">
        <w:rPr>
          <w:rFonts w:cs="Arial"/>
        </w:rPr>
        <w:t>on how to improve</w:t>
      </w:r>
      <w:r>
        <w:rPr>
          <w:rFonts w:cs="Arial"/>
        </w:rPr>
        <w:t xml:space="preserve"> the regional investment environment, with particular focus on</w:t>
      </w:r>
      <w:r w:rsidR="00FB054B">
        <w:rPr>
          <w:rFonts w:cs="Arial"/>
        </w:rPr>
        <w:t xml:space="preserve"> behind</w:t>
      </w:r>
      <w:r w:rsidR="00826B98">
        <w:rPr>
          <w:rFonts w:cs="Arial"/>
        </w:rPr>
        <w:noBreakHyphen/>
      </w:r>
      <w:r w:rsidR="00FB054B">
        <w:rPr>
          <w:rFonts w:cs="Arial"/>
        </w:rPr>
        <w:t>the</w:t>
      </w:r>
      <w:r w:rsidR="00826B98">
        <w:rPr>
          <w:rFonts w:cs="Arial"/>
        </w:rPr>
        <w:noBreakHyphen/>
      </w:r>
      <w:r w:rsidR="00FB054B">
        <w:rPr>
          <w:rFonts w:cs="Arial"/>
        </w:rPr>
        <w:t xml:space="preserve">border impediments </w:t>
      </w:r>
      <w:r w:rsidR="00C35385">
        <w:rPr>
          <w:rFonts w:cs="Arial"/>
        </w:rPr>
        <w:t xml:space="preserve">to investment </w:t>
      </w:r>
      <w:r w:rsidR="00FB054B">
        <w:rPr>
          <w:rFonts w:cs="Arial"/>
        </w:rPr>
        <w:t>and the need for improved investment policy coherence.</w:t>
      </w:r>
      <w:r w:rsidR="00647B9F">
        <w:rPr>
          <w:rFonts w:cs="Arial"/>
        </w:rPr>
        <w:t xml:space="preserve"> </w:t>
      </w:r>
    </w:p>
    <w:p w:rsidR="00026B45" w:rsidRDefault="00026B45" w:rsidP="00165D78">
      <w:r>
        <w:rPr>
          <w:rFonts w:cs="Arial"/>
        </w:rPr>
        <w:t>Officials from the Division also participated actively in two investment climate reform capacity building projects targeting APEC economies undertaken by the Australian APEC Study Centre and Melbourne APEC Finance Centre.</w:t>
      </w:r>
    </w:p>
    <w:p w:rsidR="00165D78" w:rsidRDefault="00165D78" w:rsidP="00165D78">
      <w:pPr>
        <w:pStyle w:val="Heading2"/>
      </w:pPr>
      <w:r>
        <w:t xml:space="preserve">Bilateral investment </w:t>
      </w:r>
      <w:r w:rsidR="00C35385">
        <w:t>negotiations</w:t>
      </w:r>
    </w:p>
    <w:p w:rsidR="0033355B" w:rsidRDefault="00165D78" w:rsidP="00165D78">
      <w:r>
        <w:t xml:space="preserve">With the slow rate of progress in multilateral </w:t>
      </w:r>
      <w:r w:rsidR="0033355B">
        <w:t xml:space="preserve">trade </w:t>
      </w:r>
      <w:r>
        <w:t xml:space="preserve">negotiations and the decision not to negotiate multilateral rules on </w:t>
      </w:r>
      <w:r w:rsidR="00735A88">
        <w:t>investment</w:t>
      </w:r>
      <w:r>
        <w:t xml:space="preserve"> in the </w:t>
      </w:r>
      <w:r w:rsidR="0033355B">
        <w:t>current Doha Round</w:t>
      </w:r>
      <w:r>
        <w:t>, Australia has significant</w:t>
      </w:r>
      <w:r w:rsidRPr="007F6EAC">
        <w:t xml:space="preserve">ly increased its participation in bilateral </w:t>
      </w:r>
      <w:r>
        <w:t xml:space="preserve">trade and investment </w:t>
      </w:r>
      <w:r w:rsidRPr="007F6EAC">
        <w:t>agreements</w:t>
      </w:r>
      <w:r>
        <w:t xml:space="preserve">. </w:t>
      </w:r>
    </w:p>
    <w:p w:rsidR="00B3419E" w:rsidRDefault="00006614" w:rsidP="00165D78">
      <w:r>
        <w:t xml:space="preserve">Bilateral agreements </w:t>
      </w:r>
      <w:r w:rsidR="00165D78">
        <w:t>can provide greater security, certainty and opportunities for outward FDI from Australia</w:t>
      </w:r>
      <w:r w:rsidR="00D35BFD">
        <w:t>.</w:t>
      </w:r>
      <w:r w:rsidR="00165D78">
        <w:t xml:space="preserve"> </w:t>
      </w:r>
      <w:r w:rsidR="00D35BFD">
        <w:t>A</w:t>
      </w:r>
      <w:r w:rsidR="00165D78">
        <w:t xml:space="preserve">t the same time, </w:t>
      </w:r>
      <w:r w:rsidR="00D35BFD">
        <w:t xml:space="preserve">they can </w:t>
      </w:r>
      <w:r w:rsidR="00165D78">
        <w:t>ensure that Australia is a desirable destination for overseas investors</w:t>
      </w:r>
      <w:r w:rsidR="00D35BFD">
        <w:t xml:space="preserve">, </w:t>
      </w:r>
      <w:r w:rsidR="00B3419E">
        <w:t xml:space="preserve">by reducing existing compliance costs faced by investors and the cost of capital for Australian businesses. </w:t>
      </w:r>
    </w:p>
    <w:p w:rsidR="00165D78" w:rsidRDefault="00165D78" w:rsidP="00165D78">
      <w:r>
        <w:t>In contrast to multilateral forums, bilateral agreements are less cumbersome to initiate and maintain, and they may be tailored to meet the needs of unique relationships between nations. They can secure practical results for Australian businesses.</w:t>
      </w:r>
      <w:r w:rsidR="00006614">
        <w:t xml:space="preserve"> However, they can also </w:t>
      </w:r>
      <w:r w:rsidR="00B3419E">
        <w:t xml:space="preserve">introduce complexity and hence new </w:t>
      </w:r>
      <w:r w:rsidR="00006614">
        <w:t>compliance costs whe</w:t>
      </w:r>
      <w:r w:rsidR="00B3419E">
        <w:t xml:space="preserve">re </w:t>
      </w:r>
      <w:r w:rsidR="00006614">
        <w:t xml:space="preserve">each agreement contains slightly different provisions </w:t>
      </w:r>
      <w:r w:rsidR="00CC799F">
        <w:t>and</w:t>
      </w:r>
      <w:r w:rsidR="00006614">
        <w:t xml:space="preserve"> threshold</w:t>
      </w:r>
      <w:r w:rsidR="00EB6F52">
        <w:t>s</w:t>
      </w:r>
      <w:r w:rsidR="00006614">
        <w:t xml:space="preserve"> </w:t>
      </w:r>
      <w:r w:rsidR="00EB6F52">
        <w:t xml:space="preserve">or </w:t>
      </w:r>
      <w:r w:rsidR="00006614">
        <w:t xml:space="preserve">triggers. </w:t>
      </w:r>
    </w:p>
    <w:p w:rsidR="00565B35" w:rsidRDefault="00565B35" w:rsidP="00565B35">
      <w:pPr>
        <w:pStyle w:val="Heading2"/>
      </w:pPr>
      <w:r>
        <w:t xml:space="preserve">Free </w:t>
      </w:r>
      <w:r w:rsidR="00DD5BAA">
        <w:t>t</w:t>
      </w:r>
      <w:r>
        <w:t xml:space="preserve">rade </w:t>
      </w:r>
      <w:r w:rsidR="00DD5BAA">
        <w:t>a</w:t>
      </w:r>
      <w:r>
        <w:t>greements</w:t>
      </w:r>
    </w:p>
    <w:p w:rsidR="00E96881" w:rsidRPr="00051204" w:rsidRDefault="00FD126C" w:rsidP="00051204">
      <w:r>
        <w:t xml:space="preserve">The coverage of modern FTAs has extended beyond trade in goods </w:t>
      </w:r>
      <w:r w:rsidR="0042494D">
        <w:t xml:space="preserve">to include </w:t>
      </w:r>
      <w:r>
        <w:t>non</w:t>
      </w:r>
      <w:r w:rsidR="00826B98">
        <w:noBreakHyphen/>
      </w:r>
      <w:r>
        <w:t>trade provisions such as</w:t>
      </w:r>
      <w:r w:rsidR="009E2EED">
        <w:t xml:space="preserve"> investment, services, government procurement and competition policy. </w:t>
      </w:r>
      <w:r w:rsidR="0042494D">
        <w:t>R</w:t>
      </w:r>
      <w:r w:rsidR="00E96881">
        <w:t xml:space="preserve">esearch has suggested that </w:t>
      </w:r>
      <w:r w:rsidR="009E2EED">
        <w:t>the</w:t>
      </w:r>
      <w:r w:rsidR="00E96881">
        <w:t xml:space="preserve"> effects of the</w:t>
      </w:r>
      <w:r w:rsidR="009E2EED">
        <w:t>se non</w:t>
      </w:r>
      <w:r w:rsidR="00826B98">
        <w:noBreakHyphen/>
      </w:r>
      <w:r w:rsidR="009E2EED">
        <w:t xml:space="preserve">trade provisions </w:t>
      </w:r>
      <w:r w:rsidR="00E96881">
        <w:t xml:space="preserve">in FTAs </w:t>
      </w:r>
      <w:r w:rsidR="0042494D">
        <w:t xml:space="preserve">can be </w:t>
      </w:r>
      <w:r w:rsidR="00E96881">
        <w:t>more positive than the trade provisions</w:t>
      </w:r>
      <w:r>
        <w:t>.</w:t>
      </w:r>
      <w:r w:rsidR="00E96881">
        <w:rPr>
          <w:rStyle w:val="FootnoteReference"/>
        </w:rPr>
        <w:footnoteReference w:id="1"/>
      </w:r>
      <w:r w:rsidR="00E96881">
        <w:t xml:space="preserve"> </w:t>
      </w:r>
      <w:r w:rsidR="00890E25" w:rsidRPr="00890E25">
        <w:t>The Division</w:t>
      </w:r>
      <w:r w:rsidR="00C47661">
        <w:t>, through its policy responsibility for foreign investment,</w:t>
      </w:r>
      <w:r w:rsidR="00E96881">
        <w:t xml:space="preserve"> is involved in the negotiation of the investment </w:t>
      </w:r>
      <w:r w:rsidR="00DD5BAA">
        <w:t xml:space="preserve">and services </w:t>
      </w:r>
      <w:r w:rsidR="00E96881">
        <w:t>chapters of Australia’s FTAs</w:t>
      </w:r>
      <w:r w:rsidR="00C47661">
        <w:t>.</w:t>
      </w:r>
    </w:p>
    <w:p w:rsidR="00565B35" w:rsidRDefault="00565B35" w:rsidP="00565B35">
      <w:pPr>
        <w:pStyle w:val="Heading3"/>
      </w:pPr>
      <w:r>
        <w:t xml:space="preserve">Existing </w:t>
      </w:r>
      <w:r w:rsidR="00781954">
        <w:t>a</w:t>
      </w:r>
      <w:r>
        <w:t>greements</w:t>
      </w:r>
    </w:p>
    <w:p w:rsidR="00565B35" w:rsidRPr="006F6E32" w:rsidRDefault="00565B35" w:rsidP="00565B35">
      <w:r>
        <w:t xml:space="preserve">Australia concluded its first FTA with New Zealand in 1983 (the Australia New Zealand Closer Economic Relations Trade Agreement </w:t>
      </w:r>
      <w:r w:rsidR="00CE6F2D">
        <w:t>(</w:t>
      </w:r>
      <w:r>
        <w:t>ANZCERTA</w:t>
      </w:r>
      <w:r w:rsidR="00CE6F2D">
        <w:t>)</w:t>
      </w:r>
      <w:r>
        <w:t>). Since 2003, it has concluded FTAs with Singapore, Thailand</w:t>
      </w:r>
      <w:r w:rsidR="00637DE9">
        <w:t xml:space="preserve">, </w:t>
      </w:r>
      <w:r>
        <w:t>the United States</w:t>
      </w:r>
      <w:r w:rsidR="0051429E">
        <w:t xml:space="preserve"> (US)</w:t>
      </w:r>
      <w:r w:rsidR="0078210B">
        <w:t xml:space="preserve">, </w:t>
      </w:r>
      <w:r w:rsidR="00637DE9">
        <w:t>Chile</w:t>
      </w:r>
      <w:r w:rsidR="0078210B">
        <w:t xml:space="preserve"> and (together with New Zealand) the Association of South</w:t>
      </w:r>
      <w:r w:rsidR="00826B98">
        <w:noBreakHyphen/>
      </w:r>
      <w:r w:rsidR="0078210B">
        <w:t>East Asian Nations (ASEAN)</w:t>
      </w:r>
      <w:r>
        <w:t>. The</w:t>
      </w:r>
      <w:r w:rsidR="005B6790">
        <w:t> </w:t>
      </w:r>
      <w:r>
        <w:t>Australia</w:t>
      </w:r>
      <w:r w:rsidR="00826B98">
        <w:noBreakHyphen/>
      </w:r>
      <w:r>
        <w:t xml:space="preserve">United States Free Trade Agreement </w:t>
      </w:r>
      <w:r w:rsidR="0051429E">
        <w:t xml:space="preserve">(AUSFTA) </w:t>
      </w:r>
      <w:r>
        <w:t>involved significant liberalisation of Australia’s foreign investment framework</w:t>
      </w:r>
      <w:r>
        <w:rPr>
          <w:lang w:val="en"/>
        </w:rPr>
        <w:t xml:space="preserve">. </w:t>
      </w:r>
      <w:r w:rsidR="006F6E32">
        <w:t>F</w:t>
      </w:r>
      <w:r>
        <w:t xml:space="preserve">urther information on the </w:t>
      </w:r>
      <w:r w:rsidR="006F6E32" w:rsidRPr="003C2EEC">
        <w:t>rules that</w:t>
      </w:r>
      <w:r w:rsidRPr="003C2EEC">
        <w:t xml:space="preserve"> </w:t>
      </w:r>
      <w:r w:rsidR="006F6E32" w:rsidRPr="003C2EEC">
        <w:t>now apply</w:t>
      </w:r>
      <w:r w:rsidRPr="003C2EEC">
        <w:t xml:space="preserve"> to US investors </w:t>
      </w:r>
      <w:r w:rsidR="006F6E32" w:rsidRPr="003C2EEC">
        <w:t>is at</w:t>
      </w:r>
      <w:r w:rsidRPr="003C2EEC">
        <w:t xml:space="preserve"> Appendix A. </w:t>
      </w:r>
      <w:r w:rsidRPr="003C2EEC">
        <w:rPr>
          <w:lang w:val="en"/>
        </w:rPr>
        <w:t>Detailed information on</w:t>
      </w:r>
      <w:r>
        <w:rPr>
          <w:lang w:val="en"/>
        </w:rPr>
        <w:t xml:space="preserve"> Australia’s existing bilateral </w:t>
      </w:r>
      <w:r w:rsidR="00FD126C">
        <w:rPr>
          <w:lang w:val="en"/>
        </w:rPr>
        <w:t>FTAs</w:t>
      </w:r>
      <w:r>
        <w:rPr>
          <w:lang w:val="en"/>
        </w:rPr>
        <w:t xml:space="preserve"> is available at</w:t>
      </w:r>
      <w:r w:rsidR="004C2FDC">
        <w:rPr>
          <w:lang w:val="en"/>
        </w:rPr>
        <w:t xml:space="preserve"> </w:t>
      </w:r>
      <w:hyperlink r:id="rId18" w:history="1">
        <w:r w:rsidR="004C2FDC" w:rsidRPr="004C2FDC">
          <w:rPr>
            <w:rStyle w:val="Hyperlink"/>
            <w:lang w:val="en"/>
          </w:rPr>
          <w:t>www.dfat.gov.au/trade/ftas.html</w:t>
        </w:r>
      </w:hyperlink>
      <w:r>
        <w:rPr>
          <w:lang w:val="en"/>
        </w:rPr>
        <w:t>.</w:t>
      </w:r>
      <w:r w:rsidR="006F6E32">
        <w:rPr>
          <w:lang w:val="en"/>
        </w:rPr>
        <w:t xml:space="preserve"> </w:t>
      </w:r>
    </w:p>
    <w:p w:rsidR="00565B35" w:rsidRDefault="006F6E32" w:rsidP="006F6E32">
      <w:pPr>
        <w:pStyle w:val="Heading3"/>
      </w:pPr>
      <w:r>
        <w:t>Current negotiations</w:t>
      </w:r>
    </w:p>
    <w:p w:rsidR="000A1BD2" w:rsidRPr="004C2FDC" w:rsidRDefault="000A1BD2" w:rsidP="000A1BD2">
      <w:r>
        <w:t>Investment is a component of Australia’s current FTA negotiations with</w:t>
      </w:r>
      <w:r w:rsidR="008518C0">
        <w:t xml:space="preserve"> </w:t>
      </w:r>
      <w:r w:rsidR="00476D51">
        <w:t xml:space="preserve">the Gulf Cooperation Council (GCC), Japan, </w:t>
      </w:r>
      <w:r>
        <w:t>China</w:t>
      </w:r>
      <w:r w:rsidR="0051160F">
        <w:t xml:space="preserve">, the Republic of </w:t>
      </w:r>
      <w:r w:rsidR="0051160F" w:rsidRPr="004C2FDC">
        <w:t>Korea</w:t>
      </w:r>
      <w:r w:rsidR="0078210B">
        <w:t xml:space="preserve"> and </w:t>
      </w:r>
      <w:r>
        <w:t>Malaysia</w:t>
      </w:r>
      <w:r w:rsidR="00220C25">
        <w:t xml:space="preserve">. </w:t>
      </w:r>
      <w:r w:rsidR="0078210B">
        <w:t>Australia has also resumed negotiations for an Investment Protocol to the CER Agreement with New Zealand</w:t>
      </w:r>
      <w:r w:rsidR="004C2FDC">
        <w:t xml:space="preserve"> and announced </w:t>
      </w:r>
      <w:r w:rsidR="0051160F">
        <w:t xml:space="preserve">that it will participate in the </w:t>
      </w:r>
      <w:r w:rsidR="004C2FDC" w:rsidRPr="004C2FDC">
        <w:t>Trans</w:t>
      </w:r>
      <w:r w:rsidR="00826B98">
        <w:noBreakHyphen/>
      </w:r>
      <w:r w:rsidR="00A226F6">
        <w:t xml:space="preserve">Pacific </w:t>
      </w:r>
      <w:r w:rsidR="004C2FDC" w:rsidRPr="004C2FDC">
        <w:t>Partnership.</w:t>
      </w:r>
    </w:p>
    <w:p w:rsidR="008518C0" w:rsidRDefault="008518C0" w:rsidP="008518C0">
      <w:pPr>
        <w:pStyle w:val="Heading4"/>
      </w:pPr>
      <w:r>
        <w:t>Australia</w:t>
      </w:r>
      <w:r w:rsidR="00826B98">
        <w:noBreakHyphen/>
      </w:r>
      <w:r>
        <w:t>Chile Free Trade Agreement</w:t>
      </w:r>
    </w:p>
    <w:p w:rsidR="008518C0" w:rsidRPr="008518C0" w:rsidRDefault="008518C0" w:rsidP="008518C0">
      <w:r>
        <w:rPr>
          <w:lang w:val="en"/>
        </w:rPr>
        <w:t xml:space="preserve">On </w:t>
      </w:r>
      <w:r w:rsidR="00936058">
        <w:rPr>
          <w:lang w:val="en"/>
        </w:rPr>
        <w:t>27 May</w:t>
      </w:r>
      <w:r>
        <w:rPr>
          <w:lang w:val="en"/>
        </w:rPr>
        <w:t xml:space="preserve"> 200</w:t>
      </w:r>
      <w:r w:rsidR="00936058">
        <w:rPr>
          <w:lang w:val="en"/>
        </w:rPr>
        <w:t>8</w:t>
      </w:r>
      <w:r>
        <w:rPr>
          <w:lang w:val="en"/>
        </w:rPr>
        <w:t xml:space="preserve">, Australia </w:t>
      </w:r>
      <w:r w:rsidR="00936058">
        <w:rPr>
          <w:lang w:val="en"/>
        </w:rPr>
        <w:t>concluded</w:t>
      </w:r>
      <w:r>
        <w:rPr>
          <w:lang w:val="en"/>
        </w:rPr>
        <w:t xml:space="preserve"> FTA negotiations with Chile</w:t>
      </w:r>
      <w:r w:rsidR="00220C25">
        <w:rPr>
          <w:lang w:val="en"/>
        </w:rPr>
        <w:t>.</w:t>
      </w:r>
      <w:r w:rsidR="00936058">
        <w:rPr>
          <w:lang w:val="en"/>
        </w:rPr>
        <w:t xml:space="preserve"> </w:t>
      </w:r>
      <w:r w:rsidR="004C2FDC">
        <w:rPr>
          <w:lang w:val="en"/>
        </w:rPr>
        <w:t>The agreement entered into force on 6 March 2009</w:t>
      </w:r>
      <w:r w:rsidR="00936058" w:rsidRPr="00936058">
        <w:t>.</w:t>
      </w:r>
      <w:r w:rsidR="00220C25" w:rsidRPr="00936058">
        <w:rPr>
          <w:lang w:val="en"/>
        </w:rPr>
        <w:t xml:space="preserve"> </w:t>
      </w:r>
    </w:p>
    <w:p w:rsidR="00476D51" w:rsidRPr="00476D51" w:rsidRDefault="00476D51" w:rsidP="00476D51">
      <w:pPr>
        <w:pStyle w:val="Heading4"/>
      </w:pPr>
      <w:r>
        <w:t>Australia</w:t>
      </w:r>
      <w:r w:rsidR="00826B98">
        <w:noBreakHyphen/>
      </w:r>
      <w:r w:rsidR="00003A65">
        <w:rPr>
          <w:lang w:val="en"/>
        </w:rPr>
        <w:t>Gulf Cooperation Council (GCC)</w:t>
      </w:r>
      <w:r>
        <w:t xml:space="preserve"> Free Trade Agreement negotiations</w:t>
      </w:r>
    </w:p>
    <w:p w:rsidR="00476D51" w:rsidRPr="008E05BC" w:rsidRDefault="006D0136" w:rsidP="00476D51">
      <w:pPr>
        <w:rPr>
          <w:lang w:val="en"/>
        </w:rPr>
      </w:pPr>
      <w:r>
        <w:rPr>
          <w:lang w:val="en"/>
        </w:rPr>
        <w:t xml:space="preserve">On 13 December 2006, Australia announced it would be seeking FTA negotiations with the GCC. </w:t>
      </w:r>
      <w:r w:rsidR="008518C0">
        <w:rPr>
          <w:lang w:val="en"/>
        </w:rPr>
        <w:t xml:space="preserve">The </w:t>
      </w:r>
      <w:r w:rsidR="004C2FDC">
        <w:rPr>
          <w:lang w:val="en"/>
        </w:rPr>
        <w:t xml:space="preserve">third </w:t>
      </w:r>
      <w:r w:rsidR="008518C0">
        <w:rPr>
          <w:lang w:val="en"/>
        </w:rPr>
        <w:t>round of negotiations was</w:t>
      </w:r>
      <w:r w:rsidR="00D0559F">
        <w:rPr>
          <w:lang w:val="en"/>
        </w:rPr>
        <w:t xml:space="preserve"> held in </w:t>
      </w:r>
      <w:r w:rsidR="004C2FDC">
        <w:rPr>
          <w:lang w:val="en"/>
        </w:rPr>
        <w:t xml:space="preserve">February </w:t>
      </w:r>
      <w:r w:rsidR="00D0559F">
        <w:rPr>
          <w:lang w:val="en"/>
        </w:rPr>
        <w:t>200</w:t>
      </w:r>
      <w:r w:rsidR="004C2FDC">
        <w:rPr>
          <w:lang w:val="en"/>
        </w:rPr>
        <w:t>9</w:t>
      </w:r>
      <w:r w:rsidR="00D0559F">
        <w:rPr>
          <w:lang w:val="en"/>
        </w:rPr>
        <w:t>.</w:t>
      </w:r>
      <w:r w:rsidR="008E05BC">
        <w:rPr>
          <w:lang w:val="en"/>
        </w:rPr>
        <w:t xml:space="preserve"> </w:t>
      </w:r>
      <w:r w:rsidR="008E05BC" w:rsidRPr="008E05BC">
        <w:rPr>
          <w:lang w:val="en"/>
        </w:rPr>
        <w:t>The GCC consists of Bahrain, Kuwait, Oman, Qatar, Saudi Arabia and the</w:t>
      </w:r>
      <w:r w:rsidR="008E05BC">
        <w:rPr>
          <w:lang w:val="en"/>
        </w:rPr>
        <w:t xml:space="preserve"> </w:t>
      </w:r>
      <w:r w:rsidR="008E05BC" w:rsidRPr="008E05BC">
        <w:rPr>
          <w:lang w:val="en"/>
        </w:rPr>
        <w:t>United Arab Emirates</w:t>
      </w:r>
      <w:r w:rsidR="008E05BC">
        <w:rPr>
          <w:lang w:val="en"/>
        </w:rPr>
        <w:t>.</w:t>
      </w:r>
    </w:p>
    <w:p w:rsidR="00476D51" w:rsidRDefault="00476D51" w:rsidP="00476D51">
      <w:pPr>
        <w:pStyle w:val="Heading4"/>
      </w:pPr>
      <w:r>
        <w:t>Australia</w:t>
      </w:r>
      <w:r w:rsidR="00826B98">
        <w:noBreakHyphen/>
      </w:r>
      <w:r w:rsidR="00DA6712">
        <w:t>Japan</w:t>
      </w:r>
      <w:r>
        <w:t xml:space="preserve"> Free Trade Agreement negotiations</w:t>
      </w:r>
    </w:p>
    <w:p w:rsidR="00476D51" w:rsidRPr="00476D51" w:rsidRDefault="005B0DB4" w:rsidP="00476D51">
      <w:r>
        <w:rPr>
          <w:lang w:val="en"/>
        </w:rPr>
        <w:t>Australia and Japan agreed to commence negotiations on a</w:t>
      </w:r>
      <w:r w:rsidR="00887CE8">
        <w:rPr>
          <w:lang w:val="en"/>
        </w:rPr>
        <w:t>n</w:t>
      </w:r>
      <w:r>
        <w:rPr>
          <w:lang w:val="en"/>
        </w:rPr>
        <w:t xml:space="preserve"> </w:t>
      </w:r>
      <w:r w:rsidR="00887CE8">
        <w:rPr>
          <w:lang w:val="en"/>
        </w:rPr>
        <w:t>FTA</w:t>
      </w:r>
      <w:r>
        <w:rPr>
          <w:lang w:val="en"/>
        </w:rPr>
        <w:t xml:space="preserve"> on 12</w:t>
      </w:r>
      <w:r w:rsidR="004C2FDC">
        <w:rPr>
          <w:lang w:val="en"/>
        </w:rPr>
        <w:t> </w:t>
      </w:r>
      <w:r>
        <w:rPr>
          <w:lang w:val="en"/>
        </w:rPr>
        <w:t>December</w:t>
      </w:r>
      <w:r w:rsidR="004C2FDC">
        <w:rPr>
          <w:lang w:val="en"/>
        </w:rPr>
        <w:t> </w:t>
      </w:r>
      <w:r>
        <w:rPr>
          <w:lang w:val="en"/>
        </w:rPr>
        <w:t>2006</w:t>
      </w:r>
      <w:r w:rsidR="00220C25">
        <w:rPr>
          <w:lang w:val="en"/>
        </w:rPr>
        <w:t xml:space="preserve">. </w:t>
      </w:r>
      <w:r w:rsidR="009745A2">
        <w:rPr>
          <w:lang w:val="en"/>
        </w:rPr>
        <w:t xml:space="preserve">The </w:t>
      </w:r>
      <w:r w:rsidR="004C2FDC">
        <w:rPr>
          <w:lang w:val="en"/>
        </w:rPr>
        <w:t>eight</w:t>
      </w:r>
      <w:r w:rsidR="00D5103D">
        <w:rPr>
          <w:lang w:val="en"/>
        </w:rPr>
        <w:t>h</w:t>
      </w:r>
      <w:r w:rsidR="004C2FDC">
        <w:rPr>
          <w:lang w:val="en"/>
        </w:rPr>
        <w:t xml:space="preserve"> </w:t>
      </w:r>
      <w:r>
        <w:rPr>
          <w:lang w:val="en"/>
        </w:rPr>
        <w:t xml:space="preserve">round </w:t>
      </w:r>
      <w:r w:rsidR="00E72B38">
        <w:rPr>
          <w:lang w:val="en"/>
        </w:rPr>
        <w:t xml:space="preserve">of negotiations </w:t>
      </w:r>
      <w:r>
        <w:rPr>
          <w:lang w:val="en"/>
        </w:rPr>
        <w:t xml:space="preserve">was held in </w:t>
      </w:r>
      <w:r w:rsidR="004C2FDC">
        <w:rPr>
          <w:lang w:val="en"/>
        </w:rPr>
        <w:t xml:space="preserve">March </w:t>
      </w:r>
      <w:r w:rsidR="00C45823">
        <w:rPr>
          <w:lang w:val="en"/>
        </w:rPr>
        <w:t>200</w:t>
      </w:r>
      <w:r w:rsidR="004C2FDC">
        <w:rPr>
          <w:lang w:val="en"/>
        </w:rPr>
        <w:t>9</w:t>
      </w:r>
      <w:r>
        <w:rPr>
          <w:lang w:val="en"/>
        </w:rPr>
        <w:t>.</w:t>
      </w:r>
    </w:p>
    <w:p w:rsidR="006F6E32" w:rsidRDefault="006F6E32" w:rsidP="006F6E32">
      <w:pPr>
        <w:pStyle w:val="Heading4"/>
      </w:pPr>
      <w:r>
        <w:t>Australia</w:t>
      </w:r>
      <w:r w:rsidR="00826B98">
        <w:noBreakHyphen/>
      </w:r>
      <w:r>
        <w:t>China Free Trade Agreement negotiations</w:t>
      </w:r>
    </w:p>
    <w:p w:rsidR="006F6E32" w:rsidRDefault="000A1BD2" w:rsidP="006F6E32">
      <w:pPr>
        <w:rPr>
          <w:lang w:val="en"/>
        </w:rPr>
      </w:pPr>
      <w:r>
        <w:rPr>
          <w:lang w:val="en"/>
        </w:rPr>
        <w:t>Australia and China announced th</w:t>
      </w:r>
      <w:r w:rsidR="00FD126C">
        <w:rPr>
          <w:lang w:val="en"/>
        </w:rPr>
        <w:t xml:space="preserve">eir intention to commence FTA negotiations </w:t>
      </w:r>
      <w:r w:rsidR="00C94F2F">
        <w:rPr>
          <w:lang w:val="en"/>
        </w:rPr>
        <w:t>on</w:t>
      </w:r>
      <w:r w:rsidR="006F6E32" w:rsidRPr="00602C66">
        <w:rPr>
          <w:lang w:val="en"/>
        </w:rPr>
        <w:t xml:space="preserve"> 18</w:t>
      </w:r>
      <w:r w:rsidR="00FD126C">
        <w:rPr>
          <w:lang w:val="en"/>
        </w:rPr>
        <w:t> </w:t>
      </w:r>
      <w:r w:rsidR="006F6E32" w:rsidRPr="00602C66">
        <w:rPr>
          <w:lang w:val="en"/>
        </w:rPr>
        <w:t>April</w:t>
      </w:r>
      <w:r w:rsidR="00FD126C">
        <w:rPr>
          <w:lang w:val="en"/>
        </w:rPr>
        <w:t> </w:t>
      </w:r>
      <w:r w:rsidR="006F6E32" w:rsidRPr="00602C66">
        <w:rPr>
          <w:lang w:val="en"/>
        </w:rPr>
        <w:t xml:space="preserve">2005. </w:t>
      </w:r>
      <w:r w:rsidR="00E72B38">
        <w:rPr>
          <w:lang w:val="en"/>
        </w:rPr>
        <w:t>The</w:t>
      </w:r>
      <w:r w:rsidR="0078210B">
        <w:rPr>
          <w:lang w:val="en"/>
        </w:rPr>
        <w:t xml:space="preserve"> thirteenth</w:t>
      </w:r>
      <w:r w:rsidR="00936058">
        <w:rPr>
          <w:lang w:val="en"/>
        </w:rPr>
        <w:t xml:space="preserve"> </w:t>
      </w:r>
      <w:r w:rsidR="00E72B38">
        <w:rPr>
          <w:lang w:val="en"/>
        </w:rPr>
        <w:t xml:space="preserve">round of negotiations was held in </w:t>
      </w:r>
      <w:r w:rsidR="0078210B">
        <w:rPr>
          <w:lang w:val="en"/>
        </w:rPr>
        <w:t>December</w:t>
      </w:r>
      <w:r w:rsidR="00936058">
        <w:rPr>
          <w:lang w:val="en"/>
        </w:rPr>
        <w:t xml:space="preserve"> </w:t>
      </w:r>
      <w:r w:rsidR="00E72B38">
        <w:rPr>
          <w:lang w:val="en"/>
        </w:rPr>
        <w:t>200</w:t>
      </w:r>
      <w:r w:rsidR="00936058">
        <w:rPr>
          <w:lang w:val="en"/>
        </w:rPr>
        <w:t>8</w:t>
      </w:r>
      <w:r w:rsidR="00E72B38">
        <w:rPr>
          <w:lang w:val="en"/>
        </w:rPr>
        <w:t>.</w:t>
      </w:r>
      <w:r w:rsidR="006F6E32">
        <w:rPr>
          <w:lang w:val="en"/>
        </w:rPr>
        <w:t xml:space="preserve"> </w:t>
      </w:r>
    </w:p>
    <w:p w:rsidR="000A1BD2" w:rsidRDefault="000A1BD2" w:rsidP="000A1BD2">
      <w:pPr>
        <w:pStyle w:val="Heading4"/>
      </w:pPr>
      <w:r>
        <w:t>Australia</w:t>
      </w:r>
      <w:r w:rsidR="00826B98">
        <w:noBreakHyphen/>
      </w:r>
      <w:r>
        <w:t>Malaysia Free Trade Agreement negotiations</w:t>
      </w:r>
    </w:p>
    <w:p w:rsidR="000A1BD2" w:rsidRPr="00602C66" w:rsidRDefault="00FD126C" w:rsidP="000A1BD2">
      <w:pPr>
        <w:rPr>
          <w:lang w:val="en"/>
        </w:rPr>
      </w:pPr>
      <w:r>
        <w:t>The c</w:t>
      </w:r>
      <w:r w:rsidR="000A1BD2">
        <w:t>ommencement of FTA negotiations was announced o</w:t>
      </w:r>
      <w:r w:rsidR="000A1BD2" w:rsidRPr="00BB4837">
        <w:t>n 7</w:t>
      </w:r>
      <w:r w:rsidR="000A1BD2">
        <w:t> </w:t>
      </w:r>
      <w:r w:rsidR="000A1BD2" w:rsidRPr="00BB4837">
        <w:t>April</w:t>
      </w:r>
      <w:r>
        <w:t> </w:t>
      </w:r>
      <w:r w:rsidR="000A1BD2" w:rsidRPr="00BB4837">
        <w:t>2005</w:t>
      </w:r>
      <w:r w:rsidR="000A1BD2">
        <w:t xml:space="preserve">. </w:t>
      </w:r>
      <w:r w:rsidR="00052922">
        <w:t xml:space="preserve">The </w:t>
      </w:r>
      <w:r w:rsidR="004C2FDC">
        <w:t xml:space="preserve">agreement </w:t>
      </w:r>
      <w:r w:rsidR="00052922">
        <w:t xml:space="preserve">was </w:t>
      </w:r>
      <w:r w:rsidR="004C2FDC">
        <w:t>signed on 27 February</w:t>
      </w:r>
      <w:r w:rsidR="00DD5BAA">
        <w:t> 200</w:t>
      </w:r>
      <w:r w:rsidR="004C2FDC">
        <w:t>9</w:t>
      </w:r>
      <w:r w:rsidR="00220C25">
        <w:t xml:space="preserve">. </w:t>
      </w:r>
    </w:p>
    <w:p w:rsidR="006F6E32" w:rsidRDefault="006F6E32" w:rsidP="007A7776">
      <w:pPr>
        <w:pStyle w:val="Heading4"/>
      </w:pPr>
      <w:r>
        <w:t>Australia</w:t>
      </w:r>
      <w:r w:rsidR="00826B98">
        <w:noBreakHyphen/>
      </w:r>
      <w:r>
        <w:t>New Zealand</w:t>
      </w:r>
      <w:r w:rsidR="00826B98">
        <w:noBreakHyphen/>
      </w:r>
      <w:r>
        <w:t>ASEAN Free Trade Agreement negotiations</w:t>
      </w:r>
    </w:p>
    <w:p w:rsidR="006F6E32" w:rsidRPr="007A3CD6" w:rsidRDefault="00FD126C" w:rsidP="006F6E32">
      <w:r>
        <w:t>Australian, New Zealand and ASEAN leaders announced the commencement of FTA negotiations</w:t>
      </w:r>
      <w:r w:rsidR="007A7776">
        <w:t xml:space="preserve"> on 30</w:t>
      </w:r>
      <w:r>
        <w:t> </w:t>
      </w:r>
      <w:r w:rsidR="007A7776">
        <w:t>November</w:t>
      </w:r>
      <w:r>
        <w:t> </w:t>
      </w:r>
      <w:r w:rsidR="007A7776">
        <w:t>2004</w:t>
      </w:r>
      <w:r w:rsidR="00220C25">
        <w:t xml:space="preserve">. </w:t>
      </w:r>
      <w:r w:rsidR="00936058" w:rsidRPr="00936058">
        <w:t>Negotiations concluded on 28 August 2008</w:t>
      </w:r>
      <w:r w:rsidR="00936058">
        <w:t>.</w:t>
      </w:r>
    </w:p>
    <w:p w:rsidR="007A7776" w:rsidRDefault="007A7776" w:rsidP="007A7776">
      <w:pPr>
        <w:pStyle w:val="Heading4"/>
      </w:pPr>
      <w:r>
        <w:t>Australia</w:t>
      </w:r>
      <w:r w:rsidR="00826B98">
        <w:noBreakHyphen/>
      </w:r>
      <w:r>
        <w:t>New Zealand Closer Economic Relations</w:t>
      </w:r>
    </w:p>
    <w:p w:rsidR="004C2FDC" w:rsidRDefault="007A7776" w:rsidP="004A2DF1">
      <w:pPr>
        <w:rPr>
          <w:szCs w:val="24"/>
        </w:rPr>
      </w:pPr>
      <w:r>
        <w:t>In February 2006, Australia</w:t>
      </w:r>
      <w:r w:rsidR="00C669D4">
        <w:t xml:space="preserve"> and New Zealand </w:t>
      </w:r>
      <w:r>
        <w:t>agreed to commence negotiations on an Investment Protocol to form part of the ANZCERTA.</w:t>
      </w:r>
      <w:r w:rsidR="004C2FDC">
        <w:t xml:space="preserve"> </w:t>
      </w:r>
      <w:r w:rsidR="00C669D4">
        <w:rPr>
          <w:szCs w:val="24"/>
        </w:rPr>
        <w:t xml:space="preserve">In </w:t>
      </w:r>
      <w:r w:rsidR="004C2FDC">
        <w:rPr>
          <w:szCs w:val="24"/>
        </w:rPr>
        <w:t>March 2009, the Australian and New Zealand Prime Ministers agreed to finalise an investment protocol</w:t>
      </w:r>
      <w:r w:rsidR="00CB4BF2" w:rsidRPr="00CB4BF2">
        <w:rPr>
          <w:szCs w:val="24"/>
        </w:rPr>
        <w:t xml:space="preserve"> </w:t>
      </w:r>
      <w:r w:rsidR="00CB4BF2">
        <w:rPr>
          <w:szCs w:val="24"/>
        </w:rPr>
        <w:t>in 2009</w:t>
      </w:r>
      <w:r w:rsidR="004C2FDC">
        <w:rPr>
          <w:szCs w:val="24"/>
        </w:rPr>
        <w:t>.</w:t>
      </w:r>
    </w:p>
    <w:p w:rsidR="0078210B" w:rsidRDefault="0078210B" w:rsidP="004A2DF1">
      <w:pPr>
        <w:pStyle w:val="Heading4"/>
      </w:pPr>
      <w:r w:rsidRPr="0078210B">
        <w:t>The Trans</w:t>
      </w:r>
      <w:r w:rsidR="00826B98">
        <w:noBreakHyphen/>
      </w:r>
      <w:r w:rsidRPr="0078210B">
        <w:t>Pacific Partnership Agreement</w:t>
      </w:r>
    </w:p>
    <w:p w:rsidR="00BD0736" w:rsidRDefault="00BD0736" w:rsidP="004A2DF1">
      <w:pPr>
        <w:rPr>
          <w:lang w:val="en"/>
        </w:rPr>
      </w:pPr>
      <w:r w:rsidRPr="00BD0736">
        <w:rPr>
          <w:lang w:val="en"/>
        </w:rPr>
        <w:t xml:space="preserve">On </w:t>
      </w:r>
      <w:bookmarkStart w:id="3" w:name="OLE_LINK3"/>
      <w:bookmarkStart w:id="4" w:name="OLE_LINK4"/>
      <w:r w:rsidRPr="00BD0736">
        <w:rPr>
          <w:lang w:val="en"/>
        </w:rPr>
        <w:t>20 November 2008 at the APEC Mini</w:t>
      </w:r>
      <w:r>
        <w:rPr>
          <w:lang w:val="en"/>
        </w:rPr>
        <w:t xml:space="preserve">sterial Meeting in Lima, Peru, the Minister for </w:t>
      </w:r>
      <w:r w:rsidR="003F0865">
        <w:rPr>
          <w:lang w:val="en"/>
        </w:rPr>
        <w:t xml:space="preserve">Trade </w:t>
      </w:r>
      <w:r w:rsidR="003F0865" w:rsidRPr="00BD0736">
        <w:rPr>
          <w:lang w:val="en"/>
        </w:rPr>
        <w:t>announced</w:t>
      </w:r>
      <w:r w:rsidRPr="00BD0736">
        <w:rPr>
          <w:lang w:val="en"/>
        </w:rPr>
        <w:t xml:space="preserve"> that Australia w</w:t>
      </w:r>
      <w:r w:rsidR="003F0865">
        <w:rPr>
          <w:lang w:val="en"/>
        </w:rPr>
        <w:t>ould</w:t>
      </w:r>
      <w:r w:rsidRPr="00BD0736">
        <w:rPr>
          <w:lang w:val="en"/>
        </w:rPr>
        <w:t xml:space="preserve"> participate </w:t>
      </w:r>
      <w:bookmarkEnd w:id="3"/>
      <w:bookmarkEnd w:id="4"/>
      <w:r w:rsidRPr="00BD0736">
        <w:rPr>
          <w:lang w:val="en"/>
        </w:rPr>
        <w:t>in negotiations on a comprehensive Trans</w:t>
      </w:r>
      <w:r w:rsidR="00826B98">
        <w:rPr>
          <w:lang w:val="en"/>
        </w:rPr>
        <w:noBreakHyphen/>
      </w:r>
      <w:r w:rsidRPr="00BD0736">
        <w:rPr>
          <w:lang w:val="en"/>
        </w:rPr>
        <w:t xml:space="preserve">Pacific Partnership Agreement alongside the United States, Brunei Darussalam, Chile, New Zealand, Singapore and Peru. Vietnam is </w:t>
      </w:r>
      <w:r>
        <w:rPr>
          <w:lang w:val="en"/>
        </w:rPr>
        <w:t xml:space="preserve">also </w:t>
      </w:r>
      <w:r w:rsidRPr="00BD0736">
        <w:rPr>
          <w:lang w:val="en"/>
        </w:rPr>
        <w:t>considering possible participation.</w:t>
      </w:r>
    </w:p>
    <w:p w:rsidR="008E6FAE" w:rsidRDefault="008E6FAE" w:rsidP="008E6FAE">
      <w:pPr>
        <w:pStyle w:val="Heading4"/>
      </w:pPr>
      <w:r>
        <w:rPr>
          <w:lang w:val="en"/>
        </w:rPr>
        <w:t>Australia</w:t>
      </w:r>
      <w:r w:rsidR="00826B98">
        <w:rPr>
          <w:lang w:val="en"/>
        </w:rPr>
        <w:noBreakHyphen/>
      </w:r>
      <w:bookmarkStart w:id="5" w:name="OLE_LINK17"/>
      <w:r>
        <w:rPr>
          <w:lang w:val="en"/>
        </w:rPr>
        <w:t>Republic of Korea</w:t>
      </w:r>
      <w:bookmarkEnd w:id="5"/>
      <w:r>
        <w:rPr>
          <w:lang w:val="en"/>
        </w:rPr>
        <w:t xml:space="preserve"> </w:t>
      </w:r>
      <w:r>
        <w:t>Free Trade Agreement negotiations</w:t>
      </w:r>
    </w:p>
    <w:p w:rsidR="008E6FAE" w:rsidRPr="00BD0736" w:rsidRDefault="008E6FAE" w:rsidP="008E6FAE">
      <w:r>
        <w:t xml:space="preserve">Australia and the </w:t>
      </w:r>
      <w:r w:rsidRPr="008E6FAE">
        <w:t>Republic of Korea</w:t>
      </w:r>
      <w:r>
        <w:t xml:space="preserve"> agreed to enter into FTA negotiations in March 2009. The first round of negotiations was held in May 2009. </w:t>
      </w:r>
    </w:p>
    <w:p w:rsidR="006F6E32" w:rsidRDefault="007A7776" w:rsidP="007A7776">
      <w:pPr>
        <w:pStyle w:val="Heading3"/>
      </w:pPr>
      <w:r>
        <w:t>FTA feasibility studies</w:t>
      </w:r>
    </w:p>
    <w:p w:rsidR="002140D0" w:rsidRDefault="008D0052" w:rsidP="007A7776">
      <w:r>
        <w:rPr>
          <w:lang w:val="en"/>
        </w:rPr>
        <w:t xml:space="preserve">Australia is currently undertaking </w:t>
      </w:r>
      <w:r w:rsidR="008E6FAE">
        <w:rPr>
          <w:lang w:val="en"/>
        </w:rPr>
        <w:t xml:space="preserve">a </w:t>
      </w:r>
      <w:r>
        <w:rPr>
          <w:lang w:val="en"/>
        </w:rPr>
        <w:t>joint FTA feasibility stud</w:t>
      </w:r>
      <w:r w:rsidR="008E6FAE">
        <w:rPr>
          <w:lang w:val="en"/>
        </w:rPr>
        <w:t xml:space="preserve">y with </w:t>
      </w:r>
      <w:r>
        <w:rPr>
          <w:lang w:val="en"/>
        </w:rPr>
        <w:t>India</w:t>
      </w:r>
      <w:r w:rsidR="008E6FAE">
        <w:rPr>
          <w:lang w:val="en"/>
        </w:rPr>
        <w:t>. In addition,</w:t>
      </w:r>
      <w:r w:rsidR="00702B16">
        <w:rPr>
          <w:lang w:val="en"/>
        </w:rPr>
        <w:t xml:space="preserve"> the </w:t>
      </w:r>
      <w:r w:rsidR="008E6FAE">
        <w:rPr>
          <w:lang w:val="en"/>
        </w:rPr>
        <w:t>Australian and Indonesian governments are considering the findings of the completed joint feasibility study, with a view to possible commencement of negotiations towards an FTA.</w:t>
      </w:r>
    </w:p>
    <w:p w:rsidR="00165D78" w:rsidRDefault="00B03115" w:rsidP="00165D78">
      <w:pPr>
        <w:pStyle w:val="Heading2"/>
      </w:pPr>
      <w:r>
        <w:t>In</w:t>
      </w:r>
      <w:r w:rsidR="00165D78">
        <w:t xml:space="preserve">vestment </w:t>
      </w:r>
      <w:r w:rsidR="00F94C9B">
        <w:t>protection</w:t>
      </w:r>
      <w:r w:rsidR="00165D78">
        <w:t xml:space="preserve"> and </w:t>
      </w:r>
      <w:r w:rsidR="00F94C9B">
        <w:t>promotion</w:t>
      </w:r>
      <w:r w:rsidR="00165D78">
        <w:t xml:space="preserve"> </w:t>
      </w:r>
      <w:r w:rsidR="00F94C9B">
        <w:t>agreements</w:t>
      </w:r>
    </w:p>
    <w:p w:rsidR="00514921" w:rsidRDefault="00165D78" w:rsidP="00165D78">
      <w:r>
        <w:t>IPPAs are bilateral investment agreements between governments, which aim to stimulate the flow of investment by providing investors with guarantees relating to non</w:t>
      </w:r>
      <w:r w:rsidR="00826B98">
        <w:noBreakHyphen/>
      </w:r>
      <w:r>
        <w:t xml:space="preserve">commercial risk. </w:t>
      </w:r>
    </w:p>
    <w:p w:rsidR="00D10D28" w:rsidRDefault="00165D78" w:rsidP="00165D78">
      <w:r w:rsidRPr="00417F79">
        <w:t xml:space="preserve">To date, Australia has IPPAs </w:t>
      </w:r>
      <w:r w:rsidR="00D56913">
        <w:t xml:space="preserve">in force </w:t>
      </w:r>
      <w:r w:rsidRPr="00417F79">
        <w:t xml:space="preserve">with Argentina, Chile, the Czech Republic, </w:t>
      </w:r>
      <w:r>
        <w:t xml:space="preserve">Egypt, </w:t>
      </w:r>
      <w:r w:rsidRPr="00417F79">
        <w:t>Hong</w:t>
      </w:r>
      <w:r w:rsidR="00877A35">
        <w:t> </w:t>
      </w:r>
      <w:r w:rsidRPr="00417F79">
        <w:t>Kong, Hungary, India, Indonesia, Laos, Lithuania,</w:t>
      </w:r>
      <w:r w:rsidR="00A017D2">
        <w:t xml:space="preserve"> Mexico,</w:t>
      </w:r>
      <w:r w:rsidRPr="00417F79">
        <w:t xml:space="preserve"> Pakistan, Papua</w:t>
      </w:r>
      <w:r w:rsidR="00877A35">
        <w:t> </w:t>
      </w:r>
      <w:r w:rsidRPr="00417F79">
        <w:t>New</w:t>
      </w:r>
      <w:r w:rsidR="00877A35">
        <w:t> </w:t>
      </w:r>
      <w:r w:rsidRPr="00417F79">
        <w:t>Guinea, China, Peru, the Philippines, Poland, Romania,</w:t>
      </w:r>
      <w:r>
        <w:t xml:space="preserve"> </w:t>
      </w:r>
      <w:r w:rsidR="00D24356" w:rsidRPr="002F5F3E">
        <w:t>Sri Lanka</w:t>
      </w:r>
      <w:r w:rsidR="00D24356">
        <w:t xml:space="preserve">, </w:t>
      </w:r>
      <w:r>
        <w:t>Uruguay</w:t>
      </w:r>
      <w:r w:rsidRPr="00417F79">
        <w:t xml:space="preserve"> and Vietnam</w:t>
      </w:r>
      <w:r>
        <w:t xml:space="preserve">. </w:t>
      </w:r>
      <w:r w:rsidR="00D24356">
        <w:t>An a</w:t>
      </w:r>
      <w:r w:rsidRPr="002F5F3E">
        <w:t>greement</w:t>
      </w:r>
      <w:r w:rsidR="00D24356">
        <w:t xml:space="preserve"> with </w:t>
      </w:r>
      <w:r>
        <w:t>Turkey</w:t>
      </w:r>
      <w:r w:rsidRPr="002F5F3E">
        <w:t xml:space="preserve"> </w:t>
      </w:r>
      <w:r w:rsidR="00D24356">
        <w:t>has</w:t>
      </w:r>
      <w:r>
        <w:t xml:space="preserve"> also</w:t>
      </w:r>
      <w:r w:rsidRPr="002F5F3E">
        <w:t xml:space="preserve"> been signed</w:t>
      </w:r>
      <w:r>
        <w:t>,</w:t>
      </w:r>
      <w:r w:rsidRPr="002F5F3E">
        <w:t xml:space="preserve"> but</w:t>
      </w:r>
      <w:r w:rsidR="00AE3BD9">
        <w:t xml:space="preserve"> </w:t>
      </w:r>
      <w:r w:rsidR="00D24356">
        <w:t>is</w:t>
      </w:r>
      <w:r w:rsidRPr="002F5F3E">
        <w:t xml:space="preserve"> not yet in force</w:t>
      </w:r>
      <w:r>
        <w:t xml:space="preserve">. </w:t>
      </w:r>
    </w:p>
    <w:p w:rsidR="00356EDE" w:rsidRPr="00AB3166" w:rsidRDefault="003E56E7" w:rsidP="00D10D28">
      <w:pPr>
        <w:pStyle w:val="Heading2"/>
      </w:pPr>
      <w:r>
        <w:t>Australia’s i</w:t>
      </w:r>
      <w:r w:rsidR="00356EDE" w:rsidRPr="00AB3166">
        <w:t>nternational investment position</w:t>
      </w:r>
    </w:p>
    <w:p w:rsidR="00356EDE" w:rsidRPr="00AB3166" w:rsidRDefault="00356EDE">
      <w:r w:rsidRPr="00AB3166">
        <w:t>This section summarises trends in foreign investment in Australia and Australian investment abroad using Australian Bureau of Statistics (ABS) data</w:t>
      </w:r>
      <w:r w:rsidR="00631FE7">
        <w:t>.</w:t>
      </w:r>
      <w:r w:rsidR="001E1CFB">
        <w:rPr>
          <w:rStyle w:val="FootnoteReference"/>
        </w:rPr>
        <w:footnoteReference w:id="2"/>
      </w:r>
      <w:r w:rsidR="00B938A5">
        <w:t xml:space="preserve"> </w:t>
      </w:r>
      <w:r w:rsidRPr="00AB3166">
        <w:t>Foreign investment in Australia refers to the stock of financial assets in Australia owned by non</w:t>
      </w:r>
      <w:r w:rsidR="00826B98">
        <w:noBreakHyphen/>
      </w:r>
      <w:r w:rsidRPr="00AB3166">
        <w:t>residents and financial transactions that increase or decrease this stock</w:t>
      </w:r>
      <w:r>
        <w:t xml:space="preserve">. </w:t>
      </w:r>
      <w:r w:rsidRPr="00AB3166">
        <w:t>Conversely, Australian investment abroad refers to the stock of foreign financial assets owned by Australian residents and financial transactions that increase or decrease that stock.</w:t>
      </w:r>
    </w:p>
    <w:p w:rsidR="00356EDE" w:rsidRPr="00AB3166" w:rsidRDefault="00356EDE" w:rsidP="008E05BC">
      <w:r w:rsidRPr="00AB3166">
        <w:t>ABS data on Australia</w:t>
      </w:r>
      <w:r w:rsidR="00CF38A0">
        <w:t>’</w:t>
      </w:r>
      <w:r w:rsidRPr="00AB3166">
        <w:t>s international investment</w:t>
      </w:r>
      <w:r>
        <w:t xml:space="preserve"> position</w:t>
      </w:r>
      <w:r w:rsidR="00DD5BAA">
        <w:t xml:space="preserve"> is</w:t>
      </w:r>
      <w:r w:rsidRPr="00AB3166">
        <w:t xml:space="preserve"> compiled in accordance with the relevant international statistical standards promulgated by the OECD and the International Monetary Fund</w:t>
      </w:r>
      <w:r w:rsidR="002034E4">
        <w:t>.</w:t>
      </w:r>
      <w:r w:rsidR="00DD5BAA" w:rsidRPr="00AB3166" w:rsidDel="00DD5BAA">
        <w:t xml:space="preserve"> </w:t>
      </w:r>
      <w:r w:rsidR="002034E4">
        <w:t>This</w:t>
      </w:r>
      <w:r w:rsidR="002034E4" w:rsidRPr="00AB3166">
        <w:t xml:space="preserve"> </w:t>
      </w:r>
      <w:r w:rsidRPr="00AB3166">
        <w:t xml:space="preserve">data </w:t>
      </w:r>
      <w:r w:rsidR="00DD5BAA">
        <w:t>is</w:t>
      </w:r>
      <w:r w:rsidR="00DD5BAA" w:rsidRPr="00AB3166">
        <w:t xml:space="preserve"> </w:t>
      </w:r>
      <w:r w:rsidRPr="00AB3166">
        <w:t>a measure of the actual cross</w:t>
      </w:r>
      <w:r w:rsidR="00826B98">
        <w:noBreakHyphen/>
      </w:r>
      <w:r w:rsidRPr="00AB3166">
        <w:t xml:space="preserve">border transactions that have occurred and the level of foreign investment held at a particular </w:t>
      </w:r>
      <w:r w:rsidRPr="001E1CFB">
        <w:t xml:space="preserve">time. </w:t>
      </w:r>
      <w:r w:rsidR="00DD5BAA" w:rsidRPr="001E1CFB">
        <w:t xml:space="preserve">By contrast, FIRB statistics relate to proposals </w:t>
      </w:r>
      <w:r w:rsidRPr="001E1CFB">
        <w:t>submitted for approval, regardless</w:t>
      </w:r>
      <w:r w:rsidRPr="00AB3166">
        <w:t xml:space="preserve"> of the source of finance </w:t>
      </w:r>
      <w:r w:rsidR="00DD5BAA">
        <w:t>or whether proposals were actually implemented</w:t>
      </w:r>
      <w:r w:rsidR="00705684">
        <w:t>.</w:t>
      </w:r>
      <w:r w:rsidR="00DD5BAA">
        <w:t xml:space="preserve"> These differences are explained </w:t>
      </w:r>
      <w:r w:rsidRPr="00AB3166">
        <w:t>in Chapter</w:t>
      </w:r>
      <w:r w:rsidR="00DD11AF">
        <w:t> </w:t>
      </w:r>
      <w:r w:rsidRPr="00AB3166">
        <w:t>2.</w:t>
      </w:r>
    </w:p>
    <w:p w:rsidR="00AD5344" w:rsidRDefault="00AD5344" w:rsidP="00AD5344">
      <w:pPr>
        <w:pStyle w:val="Heading3"/>
      </w:pPr>
      <w:r>
        <w:t>Foreign investment levels</w:t>
      </w:r>
      <w:r w:rsidR="00D56913">
        <w:rPr>
          <w:rStyle w:val="FootnoteReference"/>
          <w:rFonts w:cs="Arial"/>
        </w:rPr>
        <w:footnoteReference w:id="3"/>
      </w:r>
    </w:p>
    <w:p w:rsidR="00AD5344" w:rsidRPr="0025033C" w:rsidRDefault="00FD126C" w:rsidP="00AD5344">
      <w:r w:rsidRPr="0025033C">
        <w:t>According to ABS statistics</w:t>
      </w:r>
      <w:r w:rsidR="008101A1" w:rsidRPr="0025033C">
        <w:t>,</w:t>
      </w:r>
      <w:r w:rsidR="00705684" w:rsidRPr="0025033C">
        <w:rPr>
          <w:rStyle w:val="FootnoteReference"/>
        </w:rPr>
        <w:footnoteReference w:id="4"/>
      </w:r>
      <w:r w:rsidR="00AD5344" w:rsidRPr="0025033C">
        <w:t xml:space="preserve"> the stock of foreign investment in Australia </w:t>
      </w:r>
      <w:r w:rsidR="003E56E7" w:rsidRPr="0025033C">
        <w:t>at the end of June 200</w:t>
      </w:r>
      <w:r w:rsidR="00C669D4">
        <w:t>8</w:t>
      </w:r>
      <w:r w:rsidR="003E56E7" w:rsidRPr="0025033C">
        <w:t xml:space="preserve"> </w:t>
      </w:r>
      <w:r w:rsidR="00AD5344" w:rsidRPr="0025033C">
        <w:t>was $</w:t>
      </w:r>
      <w:r w:rsidR="007958C8" w:rsidRPr="007958C8">
        <w:t>1</w:t>
      </w:r>
      <w:r w:rsidR="007958C8">
        <w:t>,</w:t>
      </w:r>
      <w:r w:rsidR="007958C8" w:rsidRPr="007958C8">
        <w:t>682</w:t>
      </w:r>
      <w:r w:rsidR="007958C8">
        <w:t>.1</w:t>
      </w:r>
      <w:r w:rsidR="00885268" w:rsidRPr="0025033C">
        <w:t> </w:t>
      </w:r>
      <w:r w:rsidR="00AD5344" w:rsidRPr="0025033C">
        <w:t>billion. This represents an increase of $</w:t>
      </w:r>
      <w:r w:rsidR="00885268">
        <w:t>8</w:t>
      </w:r>
      <w:r w:rsidR="00540197">
        <w:t>5.3</w:t>
      </w:r>
      <w:r w:rsidR="00885268" w:rsidRPr="0025033C">
        <w:t xml:space="preserve"> </w:t>
      </w:r>
      <w:r w:rsidR="00AD5344" w:rsidRPr="0025033C">
        <w:t>billion over the level at 30 June 200</w:t>
      </w:r>
      <w:r w:rsidR="00C669D4">
        <w:t>7</w:t>
      </w:r>
      <w:r w:rsidR="00AD5344" w:rsidRPr="0025033C">
        <w:t>. FDI accounted for $</w:t>
      </w:r>
      <w:r w:rsidR="00885268">
        <w:t>39</w:t>
      </w:r>
      <w:r w:rsidR="00540197">
        <w:t>1.6</w:t>
      </w:r>
      <w:r w:rsidR="00A633A4" w:rsidRPr="0025033C">
        <w:t> </w:t>
      </w:r>
      <w:r w:rsidR="00AD5344" w:rsidRPr="0025033C">
        <w:t>billion of total investment, a $</w:t>
      </w:r>
      <w:r w:rsidR="00885268">
        <w:t>4</w:t>
      </w:r>
      <w:r w:rsidR="00540197">
        <w:t>0.4</w:t>
      </w:r>
      <w:r w:rsidR="00885268" w:rsidRPr="0025033C">
        <w:t> </w:t>
      </w:r>
      <w:r w:rsidR="00AD5344" w:rsidRPr="0025033C">
        <w:t>billion (</w:t>
      </w:r>
      <w:r w:rsidR="00885268">
        <w:t>1</w:t>
      </w:r>
      <w:r w:rsidR="00540197">
        <w:t>1</w:t>
      </w:r>
      <w:r w:rsidR="00885268" w:rsidRPr="0025033C">
        <w:t> </w:t>
      </w:r>
      <w:r w:rsidR="00AD5344" w:rsidRPr="0025033C">
        <w:t>per cent) increase over the level at</w:t>
      </w:r>
      <w:r w:rsidR="00AD5344" w:rsidRPr="0025033C">
        <w:rPr>
          <w:bCs/>
        </w:rPr>
        <w:t xml:space="preserve"> 30 June 200</w:t>
      </w:r>
      <w:r w:rsidR="00C669D4">
        <w:rPr>
          <w:bCs/>
        </w:rPr>
        <w:t>7</w:t>
      </w:r>
      <w:r w:rsidR="00AD5344" w:rsidRPr="0025033C">
        <w:t>.</w:t>
      </w:r>
    </w:p>
    <w:p w:rsidR="00AD5344" w:rsidRDefault="00AD5344" w:rsidP="00AD5344">
      <w:r w:rsidRPr="0025033C">
        <w:t>At the same time</w:t>
      </w:r>
      <w:r w:rsidR="00CF6188">
        <w:t xml:space="preserve">, </w:t>
      </w:r>
      <w:r w:rsidRPr="0025033C">
        <w:t>the stock of Australian investment abroad was $</w:t>
      </w:r>
      <w:r w:rsidR="007958C8">
        <w:t>1,002.7</w:t>
      </w:r>
      <w:r w:rsidR="00A633A4" w:rsidRPr="0025033C">
        <w:t> </w:t>
      </w:r>
      <w:r w:rsidRPr="0025033C">
        <w:t>billion. This represents an increase of $</w:t>
      </w:r>
      <w:r w:rsidR="007958C8">
        <w:t>34.1</w:t>
      </w:r>
      <w:r w:rsidR="00885268" w:rsidRPr="0025033C">
        <w:t xml:space="preserve"> </w:t>
      </w:r>
      <w:r w:rsidRPr="0025033C">
        <w:t>billion over the stock at 30 June 200</w:t>
      </w:r>
      <w:r w:rsidR="00BE3860">
        <w:t>7</w:t>
      </w:r>
      <w:r w:rsidRPr="0025033C">
        <w:t>. FDI accounted for $</w:t>
      </w:r>
      <w:r w:rsidR="00885268">
        <w:t>3</w:t>
      </w:r>
      <w:r w:rsidR="007958C8">
        <w:t>18.2</w:t>
      </w:r>
      <w:r w:rsidR="00A633A4" w:rsidRPr="0025033C">
        <w:t xml:space="preserve"> </w:t>
      </w:r>
      <w:r w:rsidRPr="0025033C">
        <w:t>billion of the total stock of investment</w:t>
      </w:r>
      <w:r w:rsidR="00FD126C" w:rsidRPr="0025033C">
        <w:t xml:space="preserve"> abroad</w:t>
      </w:r>
      <w:r w:rsidR="00C669D4">
        <w:t>.</w:t>
      </w:r>
    </w:p>
    <w:p w:rsidR="003E56E7" w:rsidRPr="001005D7" w:rsidRDefault="003E56E7" w:rsidP="003E56E7">
      <w:pPr>
        <w:pStyle w:val="Heading3"/>
      </w:pPr>
      <w:r w:rsidRPr="001005D7">
        <w:t xml:space="preserve">Foreign </w:t>
      </w:r>
      <w:r w:rsidR="00705684">
        <w:t xml:space="preserve">direct </w:t>
      </w:r>
      <w:r w:rsidRPr="001005D7">
        <w:t>investment levels by country</w:t>
      </w:r>
    </w:p>
    <w:p w:rsidR="003E56E7" w:rsidRPr="009316E2" w:rsidRDefault="003E56E7" w:rsidP="003E56E7">
      <w:pPr>
        <w:rPr>
          <w:highlight w:val="yellow"/>
        </w:rPr>
      </w:pPr>
      <w:r w:rsidRPr="001005D7">
        <w:t xml:space="preserve">Chart 4.1 </w:t>
      </w:r>
      <w:r>
        <w:t xml:space="preserve">depicts recent trends in FDI </w:t>
      </w:r>
      <w:r w:rsidR="00295621">
        <w:t xml:space="preserve">levels </w:t>
      </w:r>
      <w:r>
        <w:t xml:space="preserve">between Australia and its five most important FDI partners: </w:t>
      </w:r>
      <w:r w:rsidRPr="001005D7">
        <w:t>the US, the U</w:t>
      </w:r>
      <w:r w:rsidR="0051429E">
        <w:t xml:space="preserve">nited </w:t>
      </w:r>
      <w:r w:rsidRPr="001005D7">
        <w:t>K</w:t>
      </w:r>
      <w:r w:rsidR="0051429E">
        <w:t>ingdom (UK)</w:t>
      </w:r>
      <w:r w:rsidRPr="001005D7">
        <w:t>, Japan, New Zealand</w:t>
      </w:r>
      <w:r>
        <w:t xml:space="preserve"> and the European Union (EU) (other than the UK).</w:t>
      </w:r>
    </w:p>
    <w:p w:rsidR="00D10D28" w:rsidRDefault="003E56E7" w:rsidP="003E56E7">
      <w:r>
        <w:t xml:space="preserve">The US is Australia’s single largest source of inward FDI and the most important destination for Australian FDI abroad. </w:t>
      </w:r>
      <w:r w:rsidR="00705684">
        <w:t>Almost a</w:t>
      </w:r>
      <w:r>
        <w:t xml:space="preserve"> quarter of all FDI in Australia comes from the US and </w:t>
      </w:r>
      <w:r w:rsidR="00705684">
        <w:t>approximately 4</w:t>
      </w:r>
      <w:r w:rsidR="00772386">
        <w:t>3</w:t>
      </w:r>
      <w:r w:rsidR="00705684">
        <w:t> per cent</w:t>
      </w:r>
      <w:r>
        <w:t xml:space="preserve"> of all Australian direct investment abroad flows to the US. </w:t>
      </w:r>
    </w:p>
    <w:p w:rsidR="003E56E7" w:rsidRPr="00340977" w:rsidRDefault="003E56E7" w:rsidP="003E56E7">
      <w:r>
        <w:t xml:space="preserve">The UK has traditionally been Australia’s other major source of FDI. </w:t>
      </w:r>
      <w:r w:rsidRPr="00340977">
        <w:t>At the end of 200</w:t>
      </w:r>
      <w:r w:rsidR="00772386">
        <w:t>8</w:t>
      </w:r>
      <w:r w:rsidRPr="00340977">
        <w:t>, $</w:t>
      </w:r>
      <w:r w:rsidR="007715B4">
        <w:t>6</w:t>
      </w:r>
      <w:r w:rsidR="00772386">
        <w:t>0</w:t>
      </w:r>
      <w:r w:rsidRPr="00340977">
        <w:t xml:space="preserve"> billion, or approximately </w:t>
      </w:r>
      <w:r w:rsidR="00A2752C">
        <w:t>1</w:t>
      </w:r>
      <w:r w:rsidR="00772386">
        <w:t>5</w:t>
      </w:r>
      <w:r w:rsidRPr="00340977">
        <w:t xml:space="preserve"> per cent, of the level of FDI in Australia originated from the UK. The level of Australian direct investment in the UK </w:t>
      </w:r>
      <w:r w:rsidR="00CC5DFD">
        <w:t>was $2</w:t>
      </w:r>
      <w:r w:rsidR="00772386">
        <w:t>3</w:t>
      </w:r>
      <w:r w:rsidR="00295621">
        <w:t> </w:t>
      </w:r>
      <w:r w:rsidR="00CC5DFD">
        <w:t xml:space="preserve">billion </w:t>
      </w:r>
      <w:r w:rsidR="005318B8">
        <w:t xml:space="preserve">at the end of </w:t>
      </w:r>
      <w:r w:rsidR="00CC5DFD">
        <w:t>200</w:t>
      </w:r>
      <w:r w:rsidR="00772386">
        <w:t>8</w:t>
      </w:r>
      <w:r w:rsidR="002B4644">
        <w:t xml:space="preserve">. </w:t>
      </w:r>
    </w:p>
    <w:p w:rsidR="003E56E7" w:rsidRPr="00340977" w:rsidRDefault="003E56E7" w:rsidP="003E56E7">
      <w:r w:rsidRPr="00340977">
        <w:t xml:space="preserve">The level of Japanese FDI in Australia </w:t>
      </w:r>
      <w:r w:rsidR="005318B8">
        <w:t>at the end of</w:t>
      </w:r>
      <w:r w:rsidR="005318B8" w:rsidRPr="00340977">
        <w:t xml:space="preserve"> </w:t>
      </w:r>
      <w:r w:rsidRPr="00340977">
        <w:t>200</w:t>
      </w:r>
      <w:r w:rsidR="00772386">
        <w:t>8</w:t>
      </w:r>
      <w:r w:rsidRPr="00340977">
        <w:t xml:space="preserve"> </w:t>
      </w:r>
      <w:r w:rsidR="00184F83">
        <w:t>was</w:t>
      </w:r>
      <w:r w:rsidRPr="00340977">
        <w:t xml:space="preserve"> $</w:t>
      </w:r>
      <w:r w:rsidR="00772386">
        <w:t>36</w:t>
      </w:r>
      <w:r w:rsidRPr="00340977">
        <w:t> billion. However, Australian FDI in Japan remains at a very low level.</w:t>
      </w:r>
    </w:p>
    <w:p w:rsidR="003E56E7" w:rsidRPr="00340977" w:rsidRDefault="003E56E7" w:rsidP="003E56E7">
      <w:r w:rsidRPr="00340977">
        <w:t xml:space="preserve">The level of Australian direct investment in New Zealand </w:t>
      </w:r>
      <w:r w:rsidR="00772386">
        <w:t>at the end of</w:t>
      </w:r>
      <w:r w:rsidR="00772386" w:rsidRPr="00340977">
        <w:t xml:space="preserve"> 200</w:t>
      </w:r>
      <w:r w:rsidR="00772386">
        <w:t>8 was</w:t>
      </w:r>
      <w:r w:rsidRPr="00340977">
        <w:t xml:space="preserve"> $</w:t>
      </w:r>
      <w:r w:rsidR="00772386">
        <w:t>34</w:t>
      </w:r>
      <w:r w:rsidRPr="00340977">
        <w:t> billion. New Zealand direct investment in Australia</w:t>
      </w:r>
      <w:r w:rsidR="009C7EB4">
        <w:t xml:space="preserve"> was</w:t>
      </w:r>
      <w:r w:rsidRPr="00340977">
        <w:t xml:space="preserve"> $</w:t>
      </w:r>
      <w:r w:rsidR="00772386">
        <w:t>5</w:t>
      </w:r>
      <w:r w:rsidRPr="00340977">
        <w:t xml:space="preserve"> billion </w:t>
      </w:r>
      <w:r w:rsidR="005318B8">
        <w:t>at the end of</w:t>
      </w:r>
      <w:r w:rsidR="005318B8" w:rsidRPr="00340977">
        <w:t xml:space="preserve"> </w:t>
      </w:r>
      <w:r w:rsidRPr="00340977">
        <w:t>200</w:t>
      </w:r>
      <w:r w:rsidR="00772386">
        <w:t>8</w:t>
      </w:r>
      <w:r w:rsidRPr="00340977">
        <w:t>.</w:t>
      </w:r>
    </w:p>
    <w:p w:rsidR="003E56E7" w:rsidRDefault="003E56E7" w:rsidP="00D10D28">
      <w:pPr>
        <w:spacing w:after="360"/>
      </w:pPr>
      <w:r w:rsidRPr="00340977">
        <w:t>The level of EU (excluding the UK) direct investment in the Australian economy grew to $</w:t>
      </w:r>
      <w:r w:rsidR="007715B4">
        <w:t>7</w:t>
      </w:r>
      <w:r w:rsidR="00772386">
        <w:t>3</w:t>
      </w:r>
      <w:r w:rsidRPr="00340977">
        <w:t> billion</w:t>
      </w:r>
      <w:r w:rsidR="005318B8">
        <w:t xml:space="preserve"> by the end of 200</w:t>
      </w:r>
      <w:r w:rsidR="00772386">
        <w:t>8</w:t>
      </w:r>
      <w:r w:rsidRPr="00340977">
        <w:t>. Australian direct investment in the EU</w:t>
      </w:r>
      <w:r w:rsidR="008254DE">
        <w:t xml:space="preserve"> </w:t>
      </w:r>
      <w:r w:rsidR="008254DE" w:rsidRPr="00340977">
        <w:t>(excluding the UK)</w:t>
      </w:r>
      <w:r w:rsidRPr="00340977">
        <w:t xml:space="preserve"> </w:t>
      </w:r>
      <w:r w:rsidR="00CC5DFD">
        <w:t>was $2</w:t>
      </w:r>
      <w:r w:rsidR="00772386">
        <w:t>0</w:t>
      </w:r>
      <w:r w:rsidR="00CC5DFD">
        <w:t xml:space="preserve"> billion</w:t>
      </w:r>
      <w:r w:rsidRPr="00340977">
        <w:t xml:space="preserve"> at the end of 200</w:t>
      </w:r>
      <w:r w:rsidR="00772386">
        <w:t>8</w:t>
      </w:r>
      <w:r w:rsidRPr="00340977">
        <w:t>.</w:t>
      </w:r>
    </w:p>
    <w:p w:rsidR="00356EDE" w:rsidRPr="00AB3166" w:rsidRDefault="00356EDE" w:rsidP="009B7173">
      <w:pPr>
        <w:pStyle w:val="ChartMainHeading"/>
      </w:pPr>
      <w:r w:rsidRPr="00722A88">
        <w:t>Chart 4.1</w:t>
      </w:r>
      <w:r w:rsidR="00DC46AB">
        <w:t xml:space="preserve">: </w:t>
      </w:r>
      <w:r w:rsidRPr="00722A88">
        <w:t>Level of foreign direct investment by</w:t>
      </w:r>
      <w:r w:rsidR="00B9443E">
        <w:t xml:space="preserve"> </w:t>
      </w:r>
      <w:r w:rsidRPr="00722A88">
        <w:t>country</w:t>
      </w:r>
      <w:r w:rsidR="008F7887">
        <w:t xml:space="preserve"> </w:t>
      </w:r>
      <w:r w:rsidRPr="00722A88">
        <w:t>at 31</w:t>
      </w:r>
      <w:r w:rsidR="008F7887">
        <w:t> </w:t>
      </w:r>
      <w:r w:rsidR="008F7887" w:rsidRPr="00722A88">
        <w:t>December</w:t>
      </w:r>
      <w:r w:rsidR="008F7887">
        <w:t> </w:t>
      </w:r>
      <w:r w:rsidR="00AF2519" w:rsidRPr="00722A88">
        <w:t>200</w:t>
      </w:r>
      <w:r w:rsidR="00772386">
        <w:t>8</w:t>
      </w:r>
    </w:p>
    <w:p w:rsidR="00356EDE" w:rsidRPr="0045261C" w:rsidRDefault="00F47692" w:rsidP="00DA134C">
      <w:pPr>
        <w:pStyle w:val="ChartGraphic"/>
      </w:pPr>
      <w:r>
        <w:object w:dxaOrig="7377" w:dyaOrig="4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37.75pt" o:ole="">
            <v:imagedata r:id="rId19" o:title=""/>
          </v:shape>
          <o:OLEObject Type="Link" ProgID="Excel.Sheet.8" ShapeID="_x0000_i1025" DrawAspect="Content" r:id="rId20" UpdateMode="Always">
            <o:LinkType>Picture</o:LinkType>
            <o:LockedField>false</o:LockedField>
          </o:OLEObject>
        </w:object>
      </w:r>
    </w:p>
    <w:p w:rsidR="00356EDE" w:rsidRDefault="00356EDE" w:rsidP="00263844">
      <w:pPr>
        <w:pStyle w:val="ChartorTableNote"/>
        <w:tabs>
          <w:tab w:val="left" w:pos="680"/>
        </w:tabs>
        <w:ind w:left="680" w:hanging="680"/>
      </w:pPr>
      <w:bookmarkStart w:id="6" w:name="OLE_LINK1"/>
      <w:r w:rsidRPr="00AB3166">
        <w:t>Source</w:t>
      </w:r>
      <w:r w:rsidR="00DC46AB">
        <w:t>:</w:t>
      </w:r>
      <w:r w:rsidR="00263844">
        <w:tab/>
      </w:r>
      <w:r w:rsidRPr="00722A88">
        <w:t xml:space="preserve">ABS </w:t>
      </w:r>
      <w:r w:rsidR="002B4CF3">
        <w:t>c</w:t>
      </w:r>
      <w:r w:rsidRPr="00722A88">
        <w:t>at</w:t>
      </w:r>
      <w:r w:rsidR="002B4CF3">
        <w:t>.</w:t>
      </w:r>
      <w:r w:rsidRPr="00722A88">
        <w:t xml:space="preserve"> </w:t>
      </w:r>
      <w:r w:rsidR="002B4CF3">
        <w:t>n</w:t>
      </w:r>
      <w:r w:rsidRPr="00722A88">
        <w:t xml:space="preserve">o. 5352.0 International Investment Position, Australia: Supplementary Country Statistics </w:t>
      </w:r>
      <w:bookmarkEnd w:id="6"/>
      <w:r w:rsidR="00772386" w:rsidRPr="00722A88">
        <w:t>200</w:t>
      </w:r>
      <w:r w:rsidR="00772386">
        <w:t>8</w:t>
      </w:r>
      <w:r w:rsidR="00640032">
        <w:t>.</w:t>
      </w:r>
    </w:p>
    <w:p w:rsidR="00DC46AB" w:rsidRPr="00DC46AB" w:rsidRDefault="00DC46AB" w:rsidP="00DC46AB">
      <w:pPr>
        <w:pStyle w:val="SingleParagraph"/>
      </w:pPr>
    </w:p>
    <w:p w:rsidR="00356EDE" w:rsidRPr="00403760" w:rsidRDefault="00356EDE" w:rsidP="00D10D28">
      <w:pPr>
        <w:pStyle w:val="Heading3"/>
        <w:spacing w:before="240"/>
      </w:pPr>
      <w:r w:rsidRPr="00403760">
        <w:t>Foreign investment flows</w:t>
      </w:r>
    </w:p>
    <w:p w:rsidR="00356EDE" w:rsidRPr="009316E2" w:rsidRDefault="00356EDE">
      <w:pPr>
        <w:rPr>
          <w:highlight w:val="yellow"/>
        </w:rPr>
      </w:pPr>
      <w:r w:rsidRPr="00403760">
        <w:t>Foreign investment transactions involve changes in the levels of Australian foreign assets and liabilities (including the creation or extinction of foreign assets and liabilities)</w:t>
      </w:r>
      <w:r>
        <w:t xml:space="preserve">. </w:t>
      </w:r>
      <w:r w:rsidRPr="00403760">
        <w:t>A current account deficit is balanced by a surplus on the capital and financial account, after allowing for errors and omissions</w:t>
      </w:r>
      <w:r>
        <w:t xml:space="preserve">. </w:t>
      </w:r>
      <w:r w:rsidRPr="00403760">
        <w:t>The balance on the financial account represents net financial transactions with the rest of the world, that is, the inflow of foreign investment into Australia, minus the outflow of Australian investment abroad.</w:t>
      </w:r>
    </w:p>
    <w:p w:rsidR="003E56E7" w:rsidRDefault="00356EDE" w:rsidP="003E56E7">
      <w:r w:rsidRPr="00403760">
        <w:t xml:space="preserve">International investment </w:t>
      </w:r>
      <w:r>
        <w:t>flows and stocks</w:t>
      </w:r>
      <w:r w:rsidRPr="00403760">
        <w:t xml:space="preserve"> are divided into direct, portfolio, financial derivatives, other investment</w:t>
      </w:r>
      <w:r w:rsidR="003F209B">
        <w:t>,</w:t>
      </w:r>
      <w:r w:rsidRPr="00403760">
        <w:t xml:space="preserve"> and reserve assets</w:t>
      </w:r>
      <w:r>
        <w:t xml:space="preserve">. </w:t>
      </w:r>
      <w:r w:rsidRPr="00403760">
        <w:t xml:space="preserve">Under the international standards used to compile ABS foreign investment statistics, direct investment represents capital invested in an enterprise by an investor in another country which gives the investor a </w:t>
      </w:r>
      <w:r w:rsidR="00CF38A0">
        <w:t>‘</w:t>
      </w:r>
      <w:r w:rsidRPr="00403760">
        <w:t>significant influence</w:t>
      </w:r>
      <w:r w:rsidR="00CF38A0">
        <w:t>’</w:t>
      </w:r>
      <w:r w:rsidRPr="00403760">
        <w:t xml:space="preserve"> (either potentially or actually exercised) over </w:t>
      </w:r>
      <w:r w:rsidRPr="003C2EEC">
        <w:t xml:space="preserve">the key policies of the enterprise. </w:t>
      </w:r>
      <w:r w:rsidR="00AA68AC" w:rsidRPr="003C2EEC">
        <w:t>Ownership of 10 </w:t>
      </w:r>
      <w:r w:rsidRPr="003C2EEC">
        <w:t>per cent or more of the ordinary</w:t>
      </w:r>
      <w:r w:rsidRPr="00403760">
        <w:t xml:space="preserve"> shares or voting stock of an enterprise is considered, under the ABS framework, to indicate significant influence by an investor</w:t>
      </w:r>
      <w:r>
        <w:t xml:space="preserve">. </w:t>
      </w:r>
      <w:r w:rsidRPr="00403760">
        <w:t>Portfolio investment is cross</w:t>
      </w:r>
      <w:r w:rsidR="00826B98">
        <w:noBreakHyphen/>
      </w:r>
      <w:r w:rsidRPr="00403760">
        <w:t>border investment in equity and debt securities other than direct investment</w:t>
      </w:r>
      <w:r>
        <w:t xml:space="preserve">. </w:t>
      </w:r>
      <w:r w:rsidR="001D45EE">
        <w:t xml:space="preserve">Financial </w:t>
      </w:r>
      <w:r w:rsidR="001D45EE" w:rsidRPr="003C2EEC">
        <w:t>derivatives are linked to a specific financial instrument or indicator, or to a particular</w:t>
      </w:r>
      <w:r w:rsidR="001D45EE">
        <w:t xml:space="preserve"> commodity. </w:t>
      </w:r>
      <w:r w:rsidRPr="00403760">
        <w:t>Other investment is a residual group that comprises many different kinds of investment</w:t>
      </w:r>
      <w:r>
        <w:t xml:space="preserve">. </w:t>
      </w:r>
      <w:r w:rsidRPr="00403760">
        <w:t xml:space="preserve">Reserve assets are those external financial assets available to and controlled by the Reserve Bank of Australia or the </w:t>
      </w:r>
      <w:r w:rsidR="00AA68AC">
        <w:t>Australian</w:t>
      </w:r>
      <w:r w:rsidRPr="00403760">
        <w:t xml:space="preserve"> Treasury for use in financing payment imbalances or intervention in foreign exchange markets.</w:t>
      </w:r>
      <w:r w:rsidR="003E56E7" w:rsidRPr="003E56E7">
        <w:t xml:space="preserve"> </w:t>
      </w:r>
    </w:p>
    <w:p w:rsidR="00356EDE" w:rsidRPr="00AB3166" w:rsidRDefault="003E56E7" w:rsidP="003E56E7">
      <w:r>
        <w:t>Table 4.1 provides a breakdown of the flow of foreign investment over the past five years measured by ABS statistics.</w:t>
      </w:r>
      <w:r w:rsidR="009243BF">
        <w:t xml:space="preserve"> In 2007</w:t>
      </w:r>
      <w:r w:rsidR="00826B98">
        <w:noBreakHyphen/>
      </w:r>
      <w:r w:rsidR="009243BF">
        <w:t>08, the inflow of foreign investment into Australia was $</w:t>
      </w:r>
      <w:r w:rsidR="00630C21">
        <w:t>159.2</w:t>
      </w:r>
      <w:r w:rsidR="009243BF">
        <w:t xml:space="preserve"> billion. The outflow of Australian investment abroad was $</w:t>
      </w:r>
      <w:r w:rsidR="00630C21">
        <w:t>9</w:t>
      </w:r>
      <w:r w:rsidR="007E489A">
        <w:t>1.9</w:t>
      </w:r>
      <w:r w:rsidR="00630C21">
        <w:t> </w:t>
      </w:r>
      <w:r w:rsidR="009243BF">
        <w:t>billion.</w:t>
      </w:r>
      <w:r>
        <w:t xml:space="preserve"> </w:t>
      </w:r>
    </w:p>
    <w:p w:rsidR="00356EDE" w:rsidRDefault="00356EDE" w:rsidP="00650B14">
      <w:pPr>
        <w:pStyle w:val="TableMainHeading"/>
      </w:pPr>
      <w:r>
        <w:t>Table 4.</w:t>
      </w:r>
      <w:r w:rsidR="003E56E7">
        <w:t>1</w:t>
      </w:r>
      <w:r w:rsidR="00DC46AB">
        <w:t xml:space="preserve">: </w:t>
      </w:r>
      <w:r>
        <w:t xml:space="preserve">Foreign investment flows </w:t>
      </w:r>
      <w:r w:rsidR="00FE2189">
        <w:t>200</w:t>
      </w:r>
      <w:r w:rsidR="00BE3860">
        <w:t>3</w:t>
      </w:r>
      <w:r w:rsidR="00826B98">
        <w:noBreakHyphen/>
      </w:r>
      <w:r w:rsidR="00FE2189">
        <w:t>0</w:t>
      </w:r>
      <w:r w:rsidR="00BE3860">
        <w:t>4</w:t>
      </w:r>
      <w:r w:rsidR="00FE2189">
        <w:t xml:space="preserve"> to 200</w:t>
      </w:r>
      <w:r w:rsidR="00BE3860">
        <w:t>7</w:t>
      </w:r>
      <w:r w:rsidR="00826B98">
        <w:noBreakHyphen/>
      </w:r>
      <w:r w:rsidR="00FE2189">
        <w:t>0</w:t>
      </w:r>
      <w:r w:rsidR="00BE3860">
        <w:t>8</w:t>
      </w:r>
    </w:p>
    <w:p w:rsidR="00810E36" w:rsidRPr="00810E36" w:rsidRDefault="007E489A" w:rsidP="00A23B38">
      <w:pPr>
        <w:pStyle w:val="TableGraphic"/>
      </w:pPr>
      <w:r>
        <w:object w:dxaOrig="7685" w:dyaOrig="5347">
          <v:shape id="_x0000_i1026" type="#_x0000_t75" style="width:384pt;height:267pt" o:ole="">
            <v:imagedata r:id="rId21" o:title=""/>
          </v:shape>
          <o:OLEObject Type="Link" ProgID="Excel.Sheet.8" ShapeID="_x0000_i1026" DrawAspect="Content" r:id="rId22" UpdateMode="OnCall">
            <o:LinkType>Picture</o:LinkType>
            <o:LockedField>false</o:LockedField>
          </o:OLEObject>
        </w:object>
      </w:r>
    </w:p>
    <w:p w:rsidR="00EF0EFA" w:rsidRDefault="00EF0EFA" w:rsidP="005812EF">
      <w:pPr>
        <w:pStyle w:val="ChartandTableFootnoteAlpha"/>
        <w:tabs>
          <w:tab w:val="clear" w:pos="283"/>
          <w:tab w:val="num" w:pos="360"/>
        </w:tabs>
        <w:ind w:left="360" w:hanging="360"/>
      </w:pPr>
      <w:r>
        <w:t>The figures for 2004</w:t>
      </w:r>
      <w:r w:rsidR="00826B98">
        <w:noBreakHyphen/>
      </w:r>
      <w:r>
        <w:t xml:space="preserve">05 were significantly affected by one particular transaction whereby a major corporate reorganisation was recorded both as a transaction reducing Australian </w:t>
      </w:r>
      <w:r w:rsidR="00CE6F2D">
        <w:t>investment a</w:t>
      </w:r>
      <w:r>
        <w:t xml:space="preserve">broad and also reducing </w:t>
      </w:r>
      <w:r w:rsidR="005B4E8D">
        <w:t>d</w:t>
      </w:r>
      <w:r>
        <w:t xml:space="preserve">irect </w:t>
      </w:r>
      <w:r w:rsidR="005B4E8D">
        <w:t>i</w:t>
      </w:r>
      <w:r>
        <w:t xml:space="preserve">nvestment in Australia. The </w:t>
      </w:r>
      <w:r w:rsidRPr="007B6942">
        <w:t xml:space="preserve">net </w:t>
      </w:r>
      <w:r>
        <w:t>effect of this transaction was zero.</w:t>
      </w:r>
    </w:p>
    <w:p w:rsidR="00356EDE" w:rsidRPr="00AB3166" w:rsidRDefault="00356EDE" w:rsidP="005812EF">
      <w:pPr>
        <w:pStyle w:val="ChartandTableFootnoteAlpha"/>
        <w:tabs>
          <w:tab w:val="clear" w:pos="283"/>
          <w:tab w:val="num" w:pos="360"/>
        </w:tabs>
        <w:ind w:left="360" w:hanging="360"/>
      </w:pPr>
      <w:r w:rsidRPr="00AB3166">
        <w:t>In keeping with balance of payment conventions, credit entries are shown without sign and debit items are shown as negative entries</w:t>
      </w:r>
      <w:r>
        <w:t xml:space="preserve">. </w:t>
      </w:r>
      <w:r w:rsidRPr="00AB3166">
        <w:t>Thus, investment flows going from Australia to offshore destinations are shown as a negative.</w:t>
      </w:r>
    </w:p>
    <w:p w:rsidR="00356EDE" w:rsidRPr="00AB3166" w:rsidRDefault="00356EDE" w:rsidP="005812EF">
      <w:pPr>
        <w:pStyle w:val="ChartandTableFootnoteAlpha"/>
        <w:tabs>
          <w:tab w:val="clear" w:pos="283"/>
          <w:tab w:val="num" w:pos="360"/>
        </w:tabs>
        <w:ind w:left="360" w:hanging="360"/>
      </w:pPr>
      <w:r w:rsidRPr="00AB3166">
        <w:t>Other investment includes all other investment.</w:t>
      </w:r>
    </w:p>
    <w:p w:rsidR="00263844" w:rsidRPr="00AB3166" w:rsidRDefault="00263844" w:rsidP="00D525E8">
      <w:pPr>
        <w:pStyle w:val="ChartorTableNote"/>
      </w:pPr>
      <w:r w:rsidRPr="00AB3166">
        <w:t>Note</w:t>
      </w:r>
      <w:r w:rsidR="005812EF">
        <w:t>:</w:t>
      </w:r>
      <w:r w:rsidR="005812EF">
        <w:tab/>
      </w:r>
      <w:r w:rsidRPr="00AB3166">
        <w:t>Figures may not add due to rounding.</w:t>
      </w:r>
    </w:p>
    <w:p w:rsidR="00356EDE" w:rsidRPr="00AB3166" w:rsidRDefault="00356EDE" w:rsidP="002F6EDD">
      <w:pPr>
        <w:pStyle w:val="ChartorTableNote"/>
        <w:tabs>
          <w:tab w:val="left" w:pos="680"/>
        </w:tabs>
        <w:ind w:left="680" w:hanging="680"/>
      </w:pPr>
      <w:r w:rsidRPr="00AB3166">
        <w:t>Source</w:t>
      </w:r>
      <w:r w:rsidR="00DC46AB">
        <w:t>:</w:t>
      </w:r>
      <w:r w:rsidR="00263844">
        <w:tab/>
      </w:r>
      <w:r w:rsidRPr="00AB3166">
        <w:t xml:space="preserve">ABS </w:t>
      </w:r>
      <w:r w:rsidR="002B4CF3">
        <w:t>c</w:t>
      </w:r>
      <w:r w:rsidR="002B4CF3" w:rsidRPr="00722A88">
        <w:t>at</w:t>
      </w:r>
      <w:r w:rsidR="002B4CF3">
        <w:t>.</w:t>
      </w:r>
      <w:r w:rsidR="002B4CF3" w:rsidRPr="00722A88">
        <w:t xml:space="preserve"> </w:t>
      </w:r>
      <w:r w:rsidR="002B4CF3">
        <w:t>n</w:t>
      </w:r>
      <w:r w:rsidR="002B4CF3" w:rsidRPr="00722A88">
        <w:t xml:space="preserve">o. </w:t>
      </w:r>
      <w:r w:rsidRPr="00AB3166">
        <w:t xml:space="preserve">5302.0 Balance of Payments and International </w:t>
      </w:r>
      <w:r w:rsidR="002F6EDD">
        <w:t xml:space="preserve">Investment Position, Australia, </w:t>
      </w:r>
      <w:r w:rsidR="004E047C">
        <w:t>March</w:t>
      </w:r>
      <w:r w:rsidR="002F6EDD">
        <w:t xml:space="preserve"> </w:t>
      </w:r>
      <w:r w:rsidRPr="00AB3166">
        <w:t>Q</w:t>
      </w:r>
      <w:r w:rsidR="00DB24FC">
        <w:t>uar</w:t>
      </w:r>
      <w:r w:rsidRPr="00AB3166">
        <w:t>t</w:t>
      </w:r>
      <w:r w:rsidR="00DB24FC">
        <w:t>e</w:t>
      </w:r>
      <w:r w:rsidRPr="00AB3166">
        <w:t>r</w:t>
      </w:r>
      <w:r>
        <w:t xml:space="preserve"> </w:t>
      </w:r>
      <w:r w:rsidR="004E047C" w:rsidRPr="00AB3166">
        <w:t>200</w:t>
      </w:r>
      <w:r w:rsidR="004E047C">
        <w:t>9</w:t>
      </w:r>
      <w:r>
        <w:t xml:space="preserve">, Table </w:t>
      </w:r>
      <w:r w:rsidR="001031AF">
        <w:t xml:space="preserve">75. </w:t>
      </w:r>
      <w:r>
        <w:t>Financial Account</w:t>
      </w:r>
      <w:r w:rsidR="002B4644">
        <w:t xml:space="preserve"> — </w:t>
      </w:r>
      <w:r w:rsidR="001031AF">
        <w:t>Financial Year</w:t>
      </w:r>
      <w:r w:rsidRPr="00AB3166">
        <w:t>.</w:t>
      </w:r>
    </w:p>
    <w:p w:rsidR="00356EDE" w:rsidRDefault="003E56E7">
      <w:r>
        <w:br w:type="page"/>
        <w:t>Chart 4.2 summarises major trends in foreign investment flows using the data in Table</w:t>
      </w:r>
      <w:r w:rsidR="005B6790">
        <w:t> </w:t>
      </w:r>
      <w:r>
        <w:t>4.1. It indicates that Australia remains a net importer of capital.</w:t>
      </w:r>
    </w:p>
    <w:p w:rsidR="00356EDE" w:rsidRPr="00AB3166" w:rsidRDefault="00356EDE" w:rsidP="009B7173">
      <w:pPr>
        <w:pStyle w:val="ChartMainHeading"/>
      </w:pPr>
      <w:r>
        <w:t>Chart 4.2</w:t>
      </w:r>
      <w:r w:rsidR="00DC46AB">
        <w:t xml:space="preserve">: </w:t>
      </w:r>
      <w:r>
        <w:t>Foreign investment flows</w:t>
      </w:r>
      <w:r w:rsidR="00FE2189">
        <w:t xml:space="preserve"> 200</w:t>
      </w:r>
      <w:r w:rsidR="000B5B3C">
        <w:t>3</w:t>
      </w:r>
      <w:r w:rsidR="00826B98">
        <w:noBreakHyphen/>
      </w:r>
      <w:r w:rsidR="00FE2189">
        <w:t>0</w:t>
      </w:r>
      <w:r w:rsidR="000B5B3C">
        <w:t>4</w:t>
      </w:r>
      <w:r w:rsidR="00FE2189">
        <w:t xml:space="preserve"> to 200</w:t>
      </w:r>
      <w:r w:rsidR="000B5B3C">
        <w:t>7</w:t>
      </w:r>
      <w:r w:rsidR="00826B98">
        <w:noBreakHyphen/>
      </w:r>
      <w:r w:rsidR="00FE2189">
        <w:t>0</w:t>
      </w:r>
      <w:r w:rsidR="000B5B3C">
        <w:t>8</w:t>
      </w:r>
    </w:p>
    <w:p w:rsidR="00356EDE" w:rsidRPr="00BE3860" w:rsidRDefault="00F47692">
      <w:pPr>
        <w:pStyle w:val="ChartGraphic"/>
      </w:pPr>
      <w:r>
        <w:object w:dxaOrig="7380" w:dyaOrig="4546">
          <v:shape id="_x0000_i1027" type="#_x0000_t75" style="width:369pt;height:227.25pt" o:ole="">
            <v:imagedata r:id="rId23" o:title=""/>
          </v:shape>
          <o:OLEObject Type="Link" ProgID="Excel.Sheet.8" ShapeID="_x0000_i1027" DrawAspect="Content" r:id="rId24" UpdateMode="OnCall">
            <o:LinkType>Picture</o:LinkType>
            <o:LockedField>false</o:LockedField>
          </o:OLEObject>
        </w:object>
      </w:r>
    </w:p>
    <w:p w:rsidR="005B4E8D" w:rsidRDefault="005B4E8D" w:rsidP="00D525E8">
      <w:pPr>
        <w:pStyle w:val="ChartandTableFootnoteAlpha"/>
        <w:numPr>
          <w:ilvl w:val="0"/>
          <w:numId w:val="44"/>
        </w:numPr>
      </w:pPr>
      <w:r>
        <w:t>The figures for 2004</w:t>
      </w:r>
      <w:r w:rsidR="00826B98">
        <w:noBreakHyphen/>
      </w:r>
      <w:r>
        <w:t xml:space="preserve">05 were significantly affected by one particular transaction whereby a major corporate reorganisation was recorded both as a transaction reducing Australian investment abroad and also reducing direct investment in Australia. The </w:t>
      </w:r>
      <w:r w:rsidRPr="007B6942">
        <w:t xml:space="preserve">net </w:t>
      </w:r>
      <w:r>
        <w:t>effect of this transaction was zero.</w:t>
      </w:r>
    </w:p>
    <w:p w:rsidR="00356EDE" w:rsidRPr="00AB3166" w:rsidRDefault="00356EDE" w:rsidP="00D525E8">
      <w:pPr>
        <w:pStyle w:val="ChartandTableFootnoteAlpha"/>
        <w:numPr>
          <w:ilvl w:val="0"/>
          <w:numId w:val="44"/>
        </w:numPr>
      </w:pPr>
      <w:r w:rsidRPr="00AB3166">
        <w:t>The net foreign investment figure has been derived from determining the difference between foreign investment in Australia and Australian investment abroad.</w:t>
      </w:r>
    </w:p>
    <w:p w:rsidR="00356EDE" w:rsidRPr="00AB3166" w:rsidRDefault="00356EDE" w:rsidP="002F6EDD">
      <w:pPr>
        <w:pStyle w:val="ChartorTableNote"/>
        <w:ind w:left="680" w:hanging="680"/>
      </w:pPr>
      <w:r w:rsidRPr="00AB3166">
        <w:t>Source</w:t>
      </w:r>
      <w:r w:rsidR="00DC46AB">
        <w:t>:</w:t>
      </w:r>
      <w:r w:rsidR="00263844">
        <w:tab/>
      </w:r>
      <w:r w:rsidRPr="00AB3166">
        <w:t xml:space="preserve">ABS </w:t>
      </w:r>
      <w:r w:rsidR="002B4CF3">
        <w:t>c</w:t>
      </w:r>
      <w:r w:rsidR="002B4CF3" w:rsidRPr="00722A88">
        <w:t>at</w:t>
      </w:r>
      <w:r w:rsidR="002B4CF3">
        <w:t>.</w:t>
      </w:r>
      <w:r w:rsidR="002B4CF3" w:rsidRPr="00722A88">
        <w:t xml:space="preserve"> </w:t>
      </w:r>
      <w:r w:rsidR="002B4CF3">
        <w:t>n</w:t>
      </w:r>
      <w:r w:rsidR="002B4CF3" w:rsidRPr="00722A88">
        <w:t xml:space="preserve">o. </w:t>
      </w:r>
      <w:r w:rsidRPr="00AB3166">
        <w:t xml:space="preserve">5302.0 Balance of Payments and International Investment Position, Australia, </w:t>
      </w:r>
      <w:r w:rsidR="00FA0835">
        <w:t xml:space="preserve">March </w:t>
      </w:r>
      <w:r w:rsidRPr="00AB3166">
        <w:t>Q</w:t>
      </w:r>
      <w:r w:rsidR="0080625A">
        <w:t>uar</w:t>
      </w:r>
      <w:r w:rsidRPr="00AB3166">
        <w:t>t</w:t>
      </w:r>
      <w:r w:rsidR="0080625A">
        <w:t>e</w:t>
      </w:r>
      <w:r w:rsidRPr="00AB3166">
        <w:t>r</w:t>
      </w:r>
      <w:r>
        <w:t xml:space="preserve"> </w:t>
      </w:r>
      <w:r w:rsidR="00FA0835" w:rsidRPr="00AB3166">
        <w:t>200</w:t>
      </w:r>
      <w:r w:rsidR="00FA0835">
        <w:t>9</w:t>
      </w:r>
      <w:r>
        <w:t xml:space="preserve">, Table </w:t>
      </w:r>
      <w:r w:rsidR="001031AF">
        <w:t>75.</w:t>
      </w:r>
      <w:r>
        <w:t xml:space="preserve"> Financial Account</w:t>
      </w:r>
      <w:r w:rsidR="002B4644">
        <w:t xml:space="preserve"> — </w:t>
      </w:r>
      <w:r w:rsidR="001031AF">
        <w:t>Financial Year</w:t>
      </w:r>
      <w:r w:rsidRPr="00AB3166">
        <w:t>.</w:t>
      </w:r>
    </w:p>
    <w:p w:rsidR="00356EDE" w:rsidRPr="00AB3166" w:rsidRDefault="00D10D28" w:rsidP="00A23B38">
      <w:pPr>
        <w:pStyle w:val="Heading2"/>
      </w:pPr>
      <w:r>
        <w:br w:type="page"/>
      </w:r>
      <w:r w:rsidR="00356EDE" w:rsidRPr="00AB3166">
        <w:t>Useful references on international investment issues</w:t>
      </w:r>
    </w:p>
    <w:p w:rsidR="00356EDE" w:rsidRPr="006364E8" w:rsidRDefault="00356EDE" w:rsidP="00B75557">
      <w:pPr>
        <w:pStyle w:val="Heading3"/>
        <w:keepLines/>
      </w:pPr>
      <w:r w:rsidRPr="00AB3166">
        <w:t>Websites</w:t>
      </w:r>
    </w:p>
    <w:tbl>
      <w:tblPr>
        <w:tblW w:w="7711" w:type="dxa"/>
        <w:tblInd w:w="108" w:type="dxa"/>
        <w:tblLayout w:type="fixed"/>
        <w:tblCellMar>
          <w:left w:w="0" w:type="dxa"/>
          <w:right w:w="0" w:type="dxa"/>
        </w:tblCellMar>
        <w:tblLook w:val="0000" w:firstRow="0" w:lastRow="0" w:firstColumn="0" w:lastColumn="0" w:noHBand="0" w:noVBand="0"/>
      </w:tblPr>
      <w:tblGrid>
        <w:gridCol w:w="4332"/>
        <w:gridCol w:w="3379"/>
      </w:tblGrid>
      <w:tr w:rsidR="00356EDE" w:rsidTr="00491FA7">
        <w:tblPrEx>
          <w:tblCellMar>
            <w:top w:w="0" w:type="dxa"/>
            <w:bottom w:w="0" w:type="dxa"/>
          </w:tblCellMar>
        </w:tblPrEx>
        <w:tc>
          <w:tcPr>
            <w:tcW w:w="4308" w:type="dxa"/>
          </w:tcPr>
          <w:p w:rsidR="00356EDE" w:rsidRDefault="00356EDE" w:rsidP="00B75557">
            <w:pPr>
              <w:pStyle w:val="Normalbold"/>
              <w:keepNext/>
              <w:keepLines/>
              <w:spacing w:before="60" w:after="60"/>
            </w:pPr>
            <w:r>
              <w:t>Organisation</w:t>
            </w:r>
          </w:p>
        </w:tc>
        <w:tc>
          <w:tcPr>
            <w:tcW w:w="3360" w:type="dxa"/>
          </w:tcPr>
          <w:p w:rsidR="00356EDE" w:rsidRDefault="00356EDE" w:rsidP="00B75557">
            <w:pPr>
              <w:pStyle w:val="Normalbold"/>
              <w:keepNext/>
              <w:keepLines/>
              <w:spacing w:before="60" w:after="60"/>
              <w:ind w:left="612"/>
            </w:pPr>
            <w:r>
              <w:t>Address</w:t>
            </w:r>
          </w:p>
        </w:tc>
      </w:tr>
      <w:tr w:rsidR="00356EDE" w:rsidTr="00491FA7">
        <w:tblPrEx>
          <w:tblCellMar>
            <w:top w:w="0" w:type="dxa"/>
            <w:bottom w:w="0" w:type="dxa"/>
          </w:tblCellMar>
        </w:tblPrEx>
        <w:tc>
          <w:tcPr>
            <w:tcW w:w="4308" w:type="dxa"/>
          </w:tcPr>
          <w:p w:rsidR="00356EDE" w:rsidRDefault="00FB054B" w:rsidP="00B75557">
            <w:pPr>
              <w:keepNext/>
              <w:keepLines/>
              <w:spacing w:before="60" w:after="60"/>
              <w:jc w:val="left"/>
            </w:pPr>
            <w:r>
              <w:t>APEC: Investment Experts Group (IEG)</w:t>
            </w:r>
          </w:p>
        </w:tc>
        <w:tc>
          <w:tcPr>
            <w:tcW w:w="3360" w:type="dxa"/>
          </w:tcPr>
          <w:p w:rsidR="00356EDE" w:rsidRDefault="00FB054B" w:rsidP="00B75557">
            <w:pPr>
              <w:keepNext/>
              <w:keepLines/>
              <w:spacing w:before="60" w:after="60"/>
              <w:ind w:left="612"/>
            </w:pPr>
            <w:r w:rsidRPr="002467F7">
              <w:t>www.apecsec.org.sg</w:t>
            </w:r>
          </w:p>
        </w:tc>
      </w:tr>
      <w:tr w:rsidR="00356EDE" w:rsidTr="00491FA7">
        <w:tblPrEx>
          <w:tblCellMar>
            <w:top w:w="0" w:type="dxa"/>
            <w:bottom w:w="0" w:type="dxa"/>
          </w:tblCellMar>
        </w:tblPrEx>
        <w:tc>
          <w:tcPr>
            <w:tcW w:w="4308" w:type="dxa"/>
          </w:tcPr>
          <w:p w:rsidR="00356EDE" w:rsidRDefault="00356EDE" w:rsidP="00B75557">
            <w:pPr>
              <w:keepNext/>
              <w:keepLines/>
              <w:spacing w:before="60" w:after="60"/>
              <w:jc w:val="left"/>
            </w:pPr>
            <w:r>
              <w:t>Attorney</w:t>
            </w:r>
            <w:r w:rsidR="00826B98">
              <w:noBreakHyphen/>
            </w:r>
            <w:r>
              <w:t>General</w:t>
            </w:r>
            <w:r w:rsidR="00CF38A0">
              <w:t>’</w:t>
            </w:r>
            <w:r>
              <w:t>s Department</w:t>
            </w:r>
          </w:p>
        </w:tc>
        <w:tc>
          <w:tcPr>
            <w:tcW w:w="3360" w:type="dxa"/>
          </w:tcPr>
          <w:p w:rsidR="00356EDE" w:rsidRDefault="00356EDE" w:rsidP="00B75557">
            <w:pPr>
              <w:keepNext/>
              <w:keepLines/>
              <w:spacing w:before="60" w:after="60"/>
              <w:ind w:left="612"/>
            </w:pPr>
            <w:r>
              <w:t>www.ag.gov.au</w:t>
            </w:r>
          </w:p>
        </w:tc>
      </w:tr>
      <w:tr w:rsidR="00356EDE" w:rsidTr="00491FA7">
        <w:tblPrEx>
          <w:tblCellMar>
            <w:top w:w="0" w:type="dxa"/>
            <w:bottom w:w="0" w:type="dxa"/>
          </w:tblCellMar>
        </w:tblPrEx>
        <w:tc>
          <w:tcPr>
            <w:tcW w:w="4308" w:type="dxa"/>
          </w:tcPr>
          <w:p w:rsidR="00356EDE" w:rsidRDefault="00356EDE" w:rsidP="00B75557">
            <w:pPr>
              <w:keepNext/>
              <w:keepLines/>
              <w:spacing w:before="60" w:after="60"/>
              <w:jc w:val="left"/>
            </w:pPr>
            <w:r>
              <w:t>Australian Bureau of Statistics</w:t>
            </w:r>
            <w:r w:rsidR="00DC2C6F">
              <w:t xml:space="preserve"> (ABS)</w:t>
            </w:r>
          </w:p>
        </w:tc>
        <w:tc>
          <w:tcPr>
            <w:tcW w:w="3360" w:type="dxa"/>
          </w:tcPr>
          <w:p w:rsidR="00356EDE" w:rsidRDefault="00356EDE" w:rsidP="00B75557">
            <w:pPr>
              <w:keepNext/>
              <w:keepLines/>
              <w:spacing w:before="60" w:after="60"/>
              <w:ind w:left="612"/>
            </w:pPr>
            <w:r>
              <w:t>www.abs.gov.au</w:t>
            </w:r>
          </w:p>
        </w:tc>
      </w:tr>
      <w:tr w:rsidR="00356EDE" w:rsidTr="00491FA7">
        <w:tblPrEx>
          <w:tblCellMar>
            <w:top w:w="0" w:type="dxa"/>
            <w:bottom w:w="0" w:type="dxa"/>
          </w:tblCellMar>
        </w:tblPrEx>
        <w:tc>
          <w:tcPr>
            <w:tcW w:w="4308" w:type="dxa"/>
          </w:tcPr>
          <w:p w:rsidR="00356EDE" w:rsidRDefault="00356EDE" w:rsidP="00B75557">
            <w:pPr>
              <w:keepNext/>
              <w:keepLines/>
              <w:spacing w:before="60" w:after="60"/>
              <w:jc w:val="left"/>
            </w:pPr>
            <w:r>
              <w:t>Australian Competition and Consumer Commission</w:t>
            </w:r>
          </w:p>
        </w:tc>
        <w:tc>
          <w:tcPr>
            <w:tcW w:w="3360" w:type="dxa"/>
          </w:tcPr>
          <w:p w:rsidR="00356EDE" w:rsidRDefault="00356EDE" w:rsidP="00B75557">
            <w:pPr>
              <w:keepNext/>
              <w:keepLines/>
              <w:spacing w:before="60" w:after="60"/>
              <w:ind w:left="612"/>
            </w:pPr>
            <w:r>
              <w:t>www.accc.gov.au</w:t>
            </w:r>
          </w:p>
        </w:tc>
      </w:tr>
      <w:tr w:rsidR="00356EDE" w:rsidTr="00491FA7">
        <w:tblPrEx>
          <w:tblCellMar>
            <w:top w:w="0" w:type="dxa"/>
            <w:bottom w:w="0" w:type="dxa"/>
          </w:tblCellMar>
        </w:tblPrEx>
        <w:tc>
          <w:tcPr>
            <w:tcW w:w="4308" w:type="dxa"/>
          </w:tcPr>
          <w:p w:rsidR="00356EDE" w:rsidRDefault="00356EDE" w:rsidP="00B75557">
            <w:pPr>
              <w:keepNext/>
              <w:keepLines/>
              <w:spacing w:before="60" w:after="60"/>
              <w:jc w:val="left"/>
            </w:pPr>
            <w:r>
              <w:t xml:space="preserve">ANCP for the </w:t>
            </w:r>
            <w:r w:rsidRPr="004C2A77">
              <w:rPr>
                <w:i/>
              </w:rPr>
              <w:t>OECD Guidelines for Multinational Enterprises</w:t>
            </w:r>
          </w:p>
        </w:tc>
        <w:tc>
          <w:tcPr>
            <w:tcW w:w="3360" w:type="dxa"/>
          </w:tcPr>
          <w:p w:rsidR="00356EDE" w:rsidRDefault="00356EDE" w:rsidP="00B75557">
            <w:pPr>
              <w:keepNext/>
              <w:keepLines/>
              <w:spacing w:before="60" w:after="60"/>
              <w:ind w:left="612"/>
            </w:pPr>
            <w:r>
              <w:t>www.ausncp.gov.au</w:t>
            </w:r>
          </w:p>
        </w:tc>
      </w:tr>
      <w:tr w:rsidR="00356EDE" w:rsidTr="00491FA7">
        <w:tblPrEx>
          <w:tblCellMar>
            <w:top w:w="0" w:type="dxa"/>
            <w:bottom w:w="0" w:type="dxa"/>
          </w:tblCellMar>
        </w:tblPrEx>
        <w:tc>
          <w:tcPr>
            <w:tcW w:w="4308" w:type="dxa"/>
          </w:tcPr>
          <w:p w:rsidR="00356EDE" w:rsidRDefault="00356EDE" w:rsidP="00B75557">
            <w:pPr>
              <w:keepNext/>
              <w:keepLines/>
              <w:spacing w:before="60" w:after="60"/>
              <w:jc w:val="left"/>
            </w:pPr>
            <w:r>
              <w:t>Australian Prudential Regulatory Authority</w:t>
            </w:r>
          </w:p>
        </w:tc>
        <w:tc>
          <w:tcPr>
            <w:tcW w:w="3360" w:type="dxa"/>
          </w:tcPr>
          <w:p w:rsidR="00356EDE" w:rsidRDefault="00356EDE" w:rsidP="00B75557">
            <w:pPr>
              <w:keepNext/>
              <w:keepLines/>
              <w:spacing w:before="60" w:after="60"/>
              <w:ind w:left="612"/>
            </w:pPr>
            <w:r>
              <w:t>www.apra.gov.au</w:t>
            </w:r>
          </w:p>
        </w:tc>
      </w:tr>
      <w:tr w:rsidR="00356EDE" w:rsidTr="00491FA7">
        <w:tblPrEx>
          <w:tblCellMar>
            <w:top w:w="0" w:type="dxa"/>
            <w:bottom w:w="0" w:type="dxa"/>
          </w:tblCellMar>
        </w:tblPrEx>
        <w:tc>
          <w:tcPr>
            <w:tcW w:w="4308" w:type="dxa"/>
          </w:tcPr>
          <w:p w:rsidR="00356EDE" w:rsidRDefault="00356EDE" w:rsidP="00B75557">
            <w:pPr>
              <w:keepNext/>
              <w:keepLines/>
              <w:spacing w:before="60" w:after="60"/>
              <w:jc w:val="left"/>
            </w:pPr>
            <w:r>
              <w:t>Australian Securities and Investment</w:t>
            </w:r>
            <w:r w:rsidR="00411AB1">
              <w:t>s</w:t>
            </w:r>
            <w:r>
              <w:t xml:space="preserve"> Commission</w:t>
            </w:r>
          </w:p>
        </w:tc>
        <w:tc>
          <w:tcPr>
            <w:tcW w:w="3360" w:type="dxa"/>
          </w:tcPr>
          <w:p w:rsidR="00356EDE" w:rsidRDefault="00356EDE" w:rsidP="00B75557">
            <w:pPr>
              <w:keepNext/>
              <w:keepLines/>
              <w:spacing w:before="60" w:after="60"/>
              <w:ind w:left="612"/>
            </w:pPr>
            <w:r>
              <w:t>www.asic.gov.au</w:t>
            </w:r>
          </w:p>
        </w:tc>
      </w:tr>
      <w:tr w:rsidR="00356EDE" w:rsidTr="00491FA7">
        <w:tblPrEx>
          <w:tblCellMar>
            <w:top w:w="0" w:type="dxa"/>
            <w:bottom w:w="0" w:type="dxa"/>
          </w:tblCellMar>
        </w:tblPrEx>
        <w:tc>
          <w:tcPr>
            <w:tcW w:w="4308" w:type="dxa"/>
          </w:tcPr>
          <w:p w:rsidR="00356EDE" w:rsidRDefault="00AA68AC" w:rsidP="00B75557">
            <w:pPr>
              <w:keepNext/>
              <w:keepLines/>
              <w:spacing w:before="60" w:after="60"/>
              <w:jc w:val="left"/>
            </w:pPr>
            <w:r>
              <w:t>Australia</w:t>
            </w:r>
            <w:r w:rsidR="00DC2C6F">
              <w:t>n</w:t>
            </w:r>
            <w:r w:rsidR="00356EDE">
              <w:t xml:space="preserve"> Treasurer</w:t>
            </w:r>
          </w:p>
        </w:tc>
        <w:tc>
          <w:tcPr>
            <w:tcW w:w="3360" w:type="dxa"/>
          </w:tcPr>
          <w:p w:rsidR="00356EDE" w:rsidRDefault="00356EDE" w:rsidP="00B75557">
            <w:pPr>
              <w:keepNext/>
              <w:keepLines/>
              <w:spacing w:before="60" w:after="60"/>
              <w:ind w:left="612"/>
            </w:pPr>
            <w:r>
              <w:t>www.treasurer.gov.au</w:t>
            </w:r>
          </w:p>
        </w:tc>
      </w:tr>
      <w:tr w:rsidR="008F5720" w:rsidTr="00491FA7">
        <w:tblPrEx>
          <w:tblCellMar>
            <w:top w:w="0" w:type="dxa"/>
            <w:bottom w:w="0" w:type="dxa"/>
          </w:tblCellMar>
        </w:tblPrEx>
        <w:tc>
          <w:tcPr>
            <w:tcW w:w="4308" w:type="dxa"/>
          </w:tcPr>
          <w:p w:rsidR="008F5720" w:rsidRDefault="008F5720" w:rsidP="00736B72">
            <w:pPr>
              <w:keepNext/>
              <w:keepLines/>
              <w:spacing w:before="60" w:after="60"/>
              <w:jc w:val="left"/>
            </w:pPr>
            <w:r>
              <w:t>Business and Industry Advisory Committee to the OECD</w:t>
            </w:r>
          </w:p>
        </w:tc>
        <w:tc>
          <w:tcPr>
            <w:tcW w:w="3360" w:type="dxa"/>
          </w:tcPr>
          <w:p w:rsidR="008F5720" w:rsidRDefault="008F5720" w:rsidP="00736B72">
            <w:pPr>
              <w:keepNext/>
              <w:keepLines/>
              <w:spacing w:before="60" w:after="60"/>
              <w:ind w:left="612"/>
            </w:pPr>
            <w:r>
              <w:t>www.biac.org</w:t>
            </w:r>
          </w:p>
        </w:tc>
      </w:tr>
      <w:tr w:rsidR="008F5720" w:rsidTr="00491FA7">
        <w:tblPrEx>
          <w:tblCellMar>
            <w:top w:w="0" w:type="dxa"/>
            <w:bottom w:w="0" w:type="dxa"/>
          </w:tblCellMar>
        </w:tblPrEx>
        <w:tc>
          <w:tcPr>
            <w:tcW w:w="4308" w:type="dxa"/>
          </w:tcPr>
          <w:p w:rsidR="008F5720" w:rsidRDefault="008F5720" w:rsidP="00736B72">
            <w:pPr>
              <w:keepNext/>
              <w:keepLines/>
              <w:spacing w:before="60" w:after="60"/>
              <w:jc w:val="left"/>
            </w:pPr>
            <w:r>
              <w:t>ComLaw</w:t>
            </w:r>
            <w:r w:rsidR="00261732">
              <w:t xml:space="preserve"> (Commonwealth Law)</w:t>
            </w:r>
          </w:p>
        </w:tc>
        <w:tc>
          <w:tcPr>
            <w:tcW w:w="3360" w:type="dxa"/>
          </w:tcPr>
          <w:p w:rsidR="008F5720" w:rsidRDefault="008F5720" w:rsidP="00736B72">
            <w:pPr>
              <w:keepNext/>
              <w:keepLines/>
              <w:spacing w:before="60" w:after="60"/>
              <w:ind w:left="612"/>
            </w:pPr>
            <w:r>
              <w:t>www.comlaw.gov.au</w:t>
            </w:r>
          </w:p>
        </w:tc>
      </w:tr>
      <w:tr w:rsidR="008F5720" w:rsidTr="00491FA7">
        <w:tblPrEx>
          <w:tblCellMar>
            <w:top w:w="0" w:type="dxa"/>
            <w:bottom w:w="0" w:type="dxa"/>
          </w:tblCellMar>
        </w:tblPrEx>
        <w:tc>
          <w:tcPr>
            <w:tcW w:w="4308" w:type="dxa"/>
          </w:tcPr>
          <w:p w:rsidR="008F5720" w:rsidRDefault="008F5720" w:rsidP="00B75557">
            <w:pPr>
              <w:keepNext/>
              <w:keepLines/>
              <w:spacing w:before="60" w:after="60"/>
              <w:jc w:val="left"/>
            </w:pPr>
            <w:r>
              <w:t>Department of Foreign Affairs and Trade</w:t>
            </w:r>
          </w:p>
        </w:tc>
        <w:tc>
          <w:tcPr>
            <w:tcW w:w="3360" w:type="dxa"/>
          </w:tcPr>
          <w:p w:rsidR="008F5720" w:rsidRDefault="008F5720" w:rsidP="00B75557">
            <w:pPr>
              <w:keepNext/>
              <w:keepLines/>
              <w:spacing w:before="60" w:after="60"/>
              <w:ind w:left="612"/>
            </w:pPr>
            <w:r>
              <w:t>www.dfat.gov.au</w:t>
            </w:r>
          </w:p>
        </w:tc>
      </w:tr>
      <w:tr w:rsidR="008F5720" w:rsidTr="00491FA7">
        <w:tblPrEx>
          <w:tblCellMar>
            <w:top w:w="0" w:type="dxa"/>
            <w:bottom w:w="0" w:type="dxa"/>
          </w:tblCellMar>
        </w:tblPrEx>
        <w:tc>
          <w:tcPr>
            <w:tcW w:w="4308" w:type="dxa"/>
          </w:tcPr>
          <w:p w:rsidR="008F5720" w:rsidRDefault="008F5720" w:rsidP="00B75557">
            <w:pPr>
              <w:keepNext/>
              <w:keepLines/>
              <w:spacing w:before="60" w:after="60"/>
              <w:jc w:val="left"/>
            </w:pPr>
            <w:r>
              <w:t>Foreign Investment Review Board</w:t>
            </w:r>
          </w:p>
        </w:tc>
        <w:tc>
          <w:tcPr>
            <w:tcW w:w="3360" w:type="dxa"/>
          </w:tcPr>
          <w:p w:rsidR="008F5720" w:rsidRDefault="008F5720" w:rsidP="00B75557">
            <w:pPr>
              <w:keepNext/>
              <w:keepLines/>
              <w:spacing w:before="60" w:after="60"/>
              <w:ind w:left="612"/>
            </w:pPr>
            <w:r>
              <w:t>www.firb.gov.au</w:t>
            </w:r>
          </w:p>
        </w:tc>
      </w:tr>
      <w:tr w:rsidR="008F5720" w:rsidTr="00491FA7">
        <w:tblPrEx>
          <w:tblCellMar>
            <w:top w:w="0" w:type="dxa"/>
            <w:bottom w:w="0" w:type="dxa"/>
          </w:tblCellMar>
        </w:tblPrEx>
        <w:tc>
          <w:tcPr>
            <w:tcW w:w="4308" w:type="dxa"/>
          </w:tcPr>
          <w:p w:rsidR="008F5720" w:rsidRDefault="008F5720" w:rsidP="00B75557">
            <w:pPr>
              <w:keepNext/>
              <w:keepLines/>
              <w:spacing w:before="60" w:after="60"/>
              <w:jc w:val="left"/>
            </w:pPr>
            <w:r>
              <w:t>International Monetary Fund</w:t>
            </w:r>
          </w:p>
        </w:tc>
        <w:tc>
          <w:tcPr>
            <w:tcW w:w="3360" w:type="dxa"/>
          </w:tcPr>
          <w:p w:rsidR="008F5720" w:rsidRDefault="008F5720" w:rsidP="00B75557">
            <w:pPr>
              <w:keepNext/>
              <w:keepLines/>
              <w:spacing w:before="60" w:after="60"/>
              <w:ind w:left="612"/>
            </w:pPr>
            <w:r>
              <w:t>www.imf.org</w:t>
            </w:r>
          </w:p>
        </w:tc>
      </w:tr>
      <w:tr w:rsidR="008F5720" w:rsidTr="00491FA7">
        <w:tblPrEx>
          <w:tblCellMar>
            <w:top w:w="0" w:type="dxa"/>
            <w:bottom w:w="0" w:type="dxa"/>
          </w:tblCellMar>
        </w:tblPrEx>
        <w:tc>
          <w:tcPr>
            <w:tcW w:w="4308" w:type="dxa"/>
          </w:tcPr>
          <w:p w:rsidR="008F5720" w:rsidRPr="00D52937" w:rsidRDefault="008F5720" w:rsidP="00B75557">
            <w:pPr>
              <w:keepNext/>
              <w:keepLines/>
              <w:spacing w:before="60" w:after="60"/>
              <w:jc w:val="left"/>
            </w:pPr>
            <w:r w:rsidRPr="00D52937">
              <w:t>OECD Guidelines for Multinational Enterprises</w:t>
            </w:r>
          </w:p>
        </w:tc>
        <w:tc>
          <w:tcPr>
            <w:tcW w:w="3360" w:type="dxa"/>
          </w:tcPr>
          <w:p w:rsidR="008F5720" w:rsidRDefault="008F5720" w:rsidP="00B75557">
            <w:pPr>
              <w:keepNext/>
              <w:keepLines/>
              <w:spacing w:before="60" w:after="60"/>
              <w:ind w:left="612"/>
            </w:pPr>
            <w:r>
              <w:t>www.oecd.org</w:t>
            </w:r>
          </w:p>
        </w:tc>
      </w:tr>
      <w:tr w:rsidR="00832CCE" w:rsidTr="00491FA7">
        <w:tblPrEx>
          <w:tblCellMar>
            <w:top w:w="0" w:type="dxa"/>
            <w:bottom w:w="0" w:type="dxa"/>
          </w:tblCellMar>
        </w:tblPrEx>
        <w:tc>
          <w:tcPr>
            <w:tcW w:w="4308" w:type="dxa"/>
          </w:tcPr>
          <w:p w:rsidR="00832CCE" w:rsidRDefault="00832CCE" w:rsidP="00B75557">
            <w:pPr>
              <w:keepNext/>
              <w:keepLines/>
              <w:spacing w:before="60" w:after="60"/>
              <w:jc w:val="left"/>
            </w:pPr>
            <w:r>
              <w:t>Online guide to Australia’s Free Trade Agreements</w:t>
            </w:r>
          </w:p>
        </w:tc>
        <w:tc>
          <w:tcPr>
            <w:tcW w:w="3360" w:type="dxa"/>
          </w:tcPr>
          <w:p w:rsidR="00832CCE" w:rsidRDefault="00832CCE" w:rsidP="00B75557">
            <w:pPr>
              <w:keepNext/>
              <w:keepLines/>
              <w:spacing w:before="60" w:after="60"/>
              <w:ind w:left="612"/>
            </w:pPr>
            <w:r>
              <w:t>www.fta.gov.au</w:t>
            </w:r>
          </w:p>
        </w:tc>
      </w:tr>
      <w:tr w:rsidR="008F5720" w:rsidTr="00491FA7">
        <w:tblPrEx>
          <w:tblCellMar>
            <w:top w:w="0" w:type="dxa"/>
            <w:bottom w:w="0" w:type="dxa"/>
          </w:tblCellMar>
        </w:tblPrEx>
        <w:tc>
          <w:tcPr>
            <w:tcW w:w="4308" w:type="dxa"/>
          </w:tcPr>
          <w:p w:rsidR="008F5720" w:rsidRDefault="008F5720" w:rsidP="00B75557">
            <w:pPr>
              <w:keepNext/>
              <w:keepLines/>
              <w:spacing w:before="60" w:after="60"/>
              <w:jc w:val="left"/>
            </w:pPr>
            <w:r>
              <w:t>Organisation for Economic Co</w:t>
            </w:r>
            <w:r w:rsidR="00826B98">
              <w:noBreakHyphen/>
            </w:r>
            <w:r>
              <w:t>operation and Development (OECD)</w:t>
            </w:r>
          </w:p>
        </w:tc>
        <w:tc>
          <w:tcPr>
            <w:tcW w:w="3360" w:type="dxa"/>
          </w:tcPr>
          <w:p w:rsidR="008F5720" w:rsidRDefault="008F5720" w:rsidP="00B75557">
            <w:pPr>
              <w:keepNext/>
              <w:keepLines/>
              <w:spacing w:before="60" w:after="60"/>
              <w:ind w:left="612"/>
            </w:pPr>
            <w:r>
              <w:t>www.oecd.org</w:t>
            </w:r>
          </w:p>
        </w:tc>
      </w:tr>
      <w:tr w:rsidR="00DC2C6F" w:rsidTr="00491FA7">
        <w:tblPrEx>
          <w:tblCellMar>
            <w:top w:w="0" w:type="dxa"/>
            <w:bottom w:w="0" w:type="dxa"/>
          </w:tblCellMar>
        </w:tblPrEx>
        <w:tc>
          <w:tcPr>
            <w:tcW w:w="4308" w:type="dxa"/>
          </w:tcPr>
          <w:p w:rsidR="00DC2C6F" w:rsidRDefault="00DC2C6F" w:rsidP="00B75557">
            <w:pPr>
              <w:keepNext/>
              <w:keepLines/>
              <w:spacing w:before="60" w:after="60"/>
              <w:jc w:val="left"/>
            </w:pPr>
            <w:r>
              <w:t>The Treasury</w:t>
            </w:r>
          </w:p>
        </w:tc>
        <w:tc>
          <w:tcPr>
            <w:tcW w:w="3360" w:type="dxa"/>
          </w:tcPr>
          <w:p w:rsidR="00DC2C6F" w:rsidRDefault="00DC2C6F" w:rsidP="00B75557">
            <w:pPr>
              <w:keepNext/>
              <w:keepLines/>
              <w:spacing w:before="60" w:after="60"/>
              <w:ind w:left="612"/>
            </w:pPr>
            <w:r>
              <w:t>www.treasury.gov.au</w:t>
            </w:r>
          </w:p>
        </w:tc>
      </w:tr>
      <w:tr w:rsidR="008F5720" w:rsidTr="00491FA7">
        <w:tblPrEx>
          <w:tblCellMar>
            <w:top w:w="0" w:type="dxa"/>
            <w:bottom w:w="0" w:type="dxa"/>
          </w:tblCellMar>
        </w:tblPrEx>
        <w:tc>
          <w:tcPr>
            <w:tcW w:w="4308" w:type="dxa"/>
          </w:tcPr>
          <w:p w:rsidR="008F5720" w:rsidRDefault="00FB054B" w:rsidP="00B75557">
            <w:pPr>
              <w:keepNext/>
              <w:keepLines/>
              <w:spacing w:before="60" w:after="60"/>
              <w:jc w:val="left"/>
            </w:pPr>
            <w:r>
              <w:t>United Nations Conference on Trade and Development (UNCTAD)</w:t>
            </w:r>
          </w:p>
        </w:tc>
        <w:tc>
          <w:tcPr>
            <w:tcW w:w="3360" w:type="dxa"/>
          </w:tcPr>
          <w:p w:rsidR="008F5720" w:rsidRDefault="00FB054B" w:rsidP="00B75557">
            <w:pPr>
              <w:keepNext/>
              <w:keepLines/>
              <w:spacing w:before="60" w:after="60"/>
              <w:ind w:left="612"/>
            </w:pPr>
            <w:r>
              <w:t>www.unctad.org</w:t>
            </w:r>
          </w:p>
        </w:tc>
      </w:tr>
      <w:tr w:rsidR="008F5720" w:rsidTr="00491FA7">
        <w:tblPrEx>
          <w:tblCellMar>
            <w:top w:w="0" w:type="dxa"/>
            <w:bottom w:w="0" w:type="dxa"/>
          </w:tblCellMar>
        </w:tblPrEx>
        <w:tc>
          <w:tcPr>
            <w:tcW w:w="4308" w:type="dxa"/>
          </w:tcPr>
          <w:p w:rsidR="008F5720" w:rsidRDefault="008F5720" w:rsidP="00B75557">
            <w:pPr>
              <w:keepNext/>
              <w:keepLines/>
              <w:spacing w:before="60" w:after="60"/>
              <w:jc w:val="left"/>
            </w:pPr>
            <w:r>
              <w:t>World Trade Organization (WTO)</w:t>
            </w:r>
          </w:p>
        </w:tc>
        <w:tc>
          <w:tcPr>
            <w:tcW w:w="3360" w:type="dxa"/>
          </w:tcPr>
          <w:p w:rsidR="008F5720" w:rsidRDefault="008F5720" w:rsidP="00B75557">
            <w:pPr>
              <w:pStyle w:val="NumberedParagraph"/>
              <w:keepNext/>
              <w:keepLines/>
              <w:numPr>
                <w:ilvl w:val="0"/>
                <w:numId w:val="0"/>
              </w:numPr>
              <w:spacing w:before="60" w:after="60"/>
              <w:ind w:left="612"/>
            </w:pPr>
            <w:r>
              <w:t>www.wto.org</w:t>
            </w:r>
          </w:p>
        </w:tc>
      </w:tr>
    </w:tbl>
    <w:p w:rsidR="00356EDE" w:rsidRDefault="00340977" w:rsidP="00BF1E73">
      <w:pPr>
        <w:pStyle w:val="Heading3"/>
        <w:keepLines/>
      </w:pPr>
      <w:r>
        <w:br w:type="page"/>
      </w:r>
      <w:r w:rsidR="00217CFA">
        <w:t>D</w:t>
      </w:r>
      <w:r w:rsidR="00356EDE">
        <w:t>ocuments</w:t>
      </w:r>
    </w:p>
    <w:tbl>
      <w:tblPr>
        <w:tblW w:w="7711" w:type="dxa"/>
        <w:tblLayout w:type="fixed"/>
        <w:tblCellMar>
          <w:left w:w="0" w:type="dxa"/>
          <w:right w:w="0" w:type="dxa"/>
        </w:tblCellMar>
        <w:tblLook w:val="0000" w:firstRow="0" w:lastRow="0" w:firstColumn="0" w:lastColumn="0" w:noHBand="0" w:noVBand="0"/>
      </w:tblPr>
      <w:tblGrid>
        <w:gridCol w:w="4265"/>
        <w:gridCol w:w="3446"/>
      </w:tblGrid>
      <w:tr w:rsidR="00356EDE" w:rsidTr="000028F0">
        <w:tblPrEx>
          <w:tblCellMar>
            <w:top w:w="0" w:type="dxa"/>
            <w:bottom w:w="0" w:type="dxa"/>
          </w:tblCellMar>
        </w:tblPrEx>
        <w:tc>
          <w:tcPr>
            <w:tcW w:w="4308" w:type="dxa"/>
          </w:tcPr>
          <w:p w:rsidR="00356EDE" w:rsidRDefault="00356EDE" w:rsidP="00BF1E73">
            <w:pPr>
              <w:pStyle w:val="Normalbold"/>
              <w:keepNext/>
              <w:keepLines/>
              <w:spacing w:before="60" w:after="60"/>
            </w:pPr>
            <w:r>
              <w:t>Document title</w:t>
            </w:r>
          </w:p>
        </w:tc>
        <w:tc>
          <w:tcPr>
            <w:tcW w:w="3480" w:type="dxa"/>
          </w:tcPr>
          <w:p w:rsidR="00356EDE" w:rsidRDefault="00356EDE" w:rsidP="00AC1AF1">
            <w:pPr>
              <w:pStyle w:val="Normalbold"/>
              <w:keepNext/>
              <w:keepLines/>
              <w:spacing w:before="60" w:after="60"/>
              <w:ind w:left="612"/>
            </w:pPr>
            <w:r>
              <w:t>Available at:</w:t>
            </w:r>
          </w:p>
        </w:tc>
      </w:tr>
      <w:tr w:rsidR="00356EDE" w:rsidTr="000028F0">
        <w:tblPrEx>
          <w:tblCellMar>
            <w:top w:w="0" w:type="dxa"/>
            <w:bottom w:w="0" w:type="dxa"/>
          </w:tblCellMar>
        </w:tblPrEx>
        <w:tc>
          <w:tcPr>
            <w:tcW w:w="4308" w:type="dxa"/>
          </w:tcPr>
          <w:p w:rsidR="00356EDE" w:rsidRPr="005B0607" w:rsidRDefault="00356EDE">
            <w:pPr>
              <w:spacing w:before="60" w:after="60"/>
              <w:jc w:val="left"/>
              <w:rPr>
                <w:i/>
              </w:rPr>
            </w:pPr>
            <w:r w:rsidRPr="005B0607">
              <w:rPr>
                <w:i/>
              </w:rPr>
              <w:t>Code of Liberalisation of Capital Movements</w:t>
            </w:r>
          </w:p>
        </w:tc>
        <w:tc>
          <w:tcPr>
            <w:tcW w:w="3480" w:type="dxa"/>
          </w:tcPr>
          <w:p w:rsidR="00356EDE" w:rsidRDefault="00356EDE" w:rsidP="00AC1AF1">
            <w:pPr>
              <w:spacing w:before="60" w:after="60"/>
              <w:ind w:left="612"/>
            </w:pPr>
            <w:r>
              <w:t>www.oecd.org</w:t>
            </w:r>
          </w:p>
        </w:tc>
      </w:tr>
      <w:tr w:rsidR="00356EDE" w:rsidTr="000028F0">
        <w:tblPrEx>
          <w:tblCellMar>
            <w:top w:w="0" w:type="dxa"/>
            <w:bottom w:w="0" w:type="dxa"/>
          </w:tblCellMar>
        </w:tblPrEx>
        <w:tc>
          <w:tcPr>
            <w:tcW w:w="4308" w:type="dxa"/>
          </w:tcPr>
          <w:p w:rsidR="00356EDE" w:rsidRDefault="00356EDE">
            <w:pPr>
              <w:spacing w:before="60" w:after="60"/>
              <w:jc w:val="left"/>
            </w:pPr>
            <w:r w:rsidRPr="005B0607">
              <w:rPr>
                <w:i/>
              </w:rPr>
              <w:t>Economic Round</w:t>
            </w:r>
            <w:r w:rsidR="005B0607">
              <w:rPr>
                <w:i/>
              </w:rPr>
              <w:t>u</w:t>
            </w:r>
            <w:r w:rsidRPr="005B0607">
              <w:rPr>
                <w:i/>
              </w:rPr>
              <w:t>p</w:t>
            </w:r>
            <w:r>
              <w:t xml:space="preserve"> (Treasury series)</w:t>
            </w:r>
          </w:p>
        </w:tc>
        <w:tc>
          <w:tcPr>
            <w:tcW w:w="3480" w:type="dxa"/>
          </w:tcPr>
          <w:p w:rsidR="00356EDE" w:rsidRDefault="00356EDE" w:rsidP="00AC1AF1">
            <w:pPr>
              <w:spacing w:before="60" w:after="60"/>
              <w:ind w:left="612"/>
            </w:pPr>
            <w:r>
              <w:t>www.treasury.gov.au</w:t>
            </w:r>
          </w:p>
        </w:tc>
      </w:tr>
      <w:tr w:rsidR="00356EDE" w:rsidTr="000028F0">
        <w:tblPrEx>
          <w:tblCellMar>
            <w:top w:w="0" w:type="dxa"/>
            <w:bottom w:w="0" w:type="dxa"/>
          </w:tblCellMar>
        </w:tblPrEx>
        <w:tc>
          <w:tcPr>
            <w:tcW w:w="4308" w:type="dxa"/>
          </w:tcPr>
          <w:p w:rsidR="00356EDE" w:rsidRDefault="00356EDE">
            <w:pPr>
              <w:spacing w:before="60" w:after="60"/>
              <w:jc w:val="left"/>
            </w:pPr>
            <w:r>
              <w:t>General Agreement on Tariffs in Trade (GATT)</w:t>
            </w:r>
          </w:p>
        </w:tc>
        <w:tc>
          <w:tcPr>
            <w:tcW w:w="3480" w:type="dxa"/>
          </w:tcPr>
          <w:p w:rsidR="00356EDE" w:rsidRDefault="00356EDE" w:rsidP="00AC1AF1">
            <w:pPr>
              <w:spacing w:before="60" w:after="60"/>
              <w:ind w:left="612"/>
            </w:pPr>
            <w:r>
              <w:t>www.wto.org</w:t>
            </w:r>
          </w:p>
        </w:tc>
      </w:tr>
      <w:tr w:rsidR="00356EDE" w:rsidTr="000028F0">
        <w:tblPrEx>
          <w:tblCellMar>
            <w:top w:w="0" w:type="dxa"/>
            <w:bottom w:w="0" w:type="dxa"/>
          </w:tblCellMar>
        </w:tblPrEx>
        <w:tc>
          <w:tcPr>
            <w:tcW w:w="4308" w:type="dxa"/>
          </w:tcPr>
          <w:p w:rsidR="00356EDE" w:rsidRDefault="00356EDE">
            <w:pPr>
              <w:spacing w:before="60" w:after="60"/>
              <w:jc w:val="left"/>
            </w:pPr>
            <w:r>
              <w:t>General Agreement on Trade in Services (GATS)</w:t>
            </w:r>
          </w:p>
        </w:tc>
        <w:tc>
          <w:tcPr>
            <w:tcW w:w="3480" w:type="dxa"/>
          </w:tcPr>
          <w:p w:rsidR="00356EDE" w:rsidRDefault="00356EDE" w:rsidP="00AC1AF1">
            <w:pPr>
              <w:spacing w:before="60" w:after="60"/>
              <w:ind w:left="612"/>
            </w:pPr>
            <w:r>
              <w:t>www.wto.org</w:t>
            </w:r>
          </w:p>
        </w:tc>
      </w:tr>
      <w:tr w:rsidR="00356EDE" w:rsidTr="000028F0">
        <w:tblPrEx>
          <w:tblCellMar>
            <w:top w:w="0" w:type="dxa"/>
            <w:bottom w:w="0" w:type="dxa"/>
          </w:tblCellMar>
        </w:tblPrEx>
        <w:tc>
          <w:tcPr>
            <w:tcW w:w="4308" w:type="dxa"/>
          </w:tcPr>
          <w:p w:rsidR="00356EDE" w:rsidRDefault="00356EDE">
            <w:pPr>
              <w:spacing w:before="60" w:after="60"/>
              <w:jc w:val="left"/>
            </w:pPr>
            <w:r w:rsidRPr="005B0607">
              <w:rPr>
                <w:i/>
              </w:rPr>
              <w:t>Guide to the Investment Regimes of the APEC Member Economies</w:t>
            </w:r>
            <w:r w:rsidR="00FB054B">
              <w:t xml:space="preserve"> (5th Edition)</w:t>
            </w:r>
          </w:p>
        </w:tc>
        <w:tc>
          <w:tcPr>
            <w:tcW w:w="3480" w:type="dxa"/>
          </w:tcPr>
          <w:p w:rsidR="00356EDE" w:rsidRDefault="00FB054B" w:rsidP="00AC1AF1">
            <w:pPr>
              <w:spacing w:before="60" w:after="60"/>
              <w:ind w:left="612"/>
            </w:pPr>
            <w:r w:rsidRPr="002467F7">
              <w:t>www.apecsec.org.sg</w:t>
            </w:r>
          </w:p>
        </w:tc>
      </w:tr>
      <w:tr w:rsidR="00356EDE" w:rsidTr="000028F0">
        <w:tblPrEx>
          <w:tblCellMar>
            <w:top w:w="0" w:type="dxa"/>
            <w:bottom w:w="0" w:type="dxa"/>
          </w:tblCellMar>
        </w:tblPrEx>
        <w:tc>
          <w:tcPr>
            <w:tcW w:w="4308" w:type="dxa"/>
          </w:tcPr>
          <w:p w:rsidR="00356EDE" w:rsidRPr="005B0607" w:rsidRDefault="00356EDE">
            <w:pPr>
              <w:spacing w:before="60" w:after="60"/>
              <w:jc w:val="left"/>
              <w:rPr>
                <w:i/>
              </w:rPr>
            </w:pPr>
            <w:r w:rsidRPr="005B0607">
              <w:rPr>
                <w:i/>
              </w:rPr>
              <w:t>International Direct Investment Statistics Yearbook</w:t>
            </w:r>
          </w:p>
        </w:tc>
        <w:tc>
          <w:tcPr>
            <w:tcW w:w="3480" w:type="dxa"/>
          </w:tcPr>
          <w:p w:rsidR="00356EDE" w:rsidRDefault="00356EDE" w:rsidP="00AC1AF1">
            <w:pPr>
              <w:spacing w:before="60" w:after="60"/>
              <w:ind w:left="612"/>
            </w:pPr>
            <w:r>
              <w:t>www.oecd.org</w:t>
            </w:r>
          </w:p>
        </w:tc>
      </w:tr>
      <w:tr w:rsidR="00356EDE" w:rsidTr="000028F0">
        <w:tblPrEx>
          <w:tblCellMar>
            <w:top w:w="0" w:type="dxa"/>
            <w:bottom w:w="0" w:type="dxa"/>
          </w:tblCellMar>
        </w:tblPrEx>
        <w:tc>
          <w:tcPr>
            <w:tcW w:w="4308" w:type="dxa"/>
          </w:tcPr>
          <w:p w:rsidR="00356EDE" w:rsidRPr="005B0607" w:rsidRDefault="00356EDE">
            <w:pPr>
              <w:spacing w:before="60" w:after="60"/>
              <w:jc w:val="left"/>
              <w:rPr>
                <w:i/>
              </w:rPr>
            </w:pPr>
            <w:r w:rsidRPr="005B0607">
              <w:rPr>
                <w:i/>
              </w:rPr>
              <w:t>OECD Code of Liberalisation of Current Invisible Operations</w:t>
            </w:r>
          </w:p>
        </w:tc>
        <w:tc>
          <w:tcPr>
            <w:tcW w:w="3480" w:type="dxa"/>
          </w:tcPr>
          <w:p w:rsidR="00356EDE" w:rsidRDefault="00356EDE" w:rsidP="00AC1AF1">
            <w:pPr>
              <w:spacing w:before="60" w:after="60"/>
              <w:ind w:left="612"/>
            </w:pPr>
            <w:r>
              <w:t>www.oecd.org</w:t>
            </w:r>
          </w:p>
        </w:tc>
      </w:tr>
      <w:tr w:rsidR="00356EDE" w:rsidTr="000028F0">
        <w:tblPrEx>
          <w:tblCellMar>
            <w:top w:w="0" w:type="dxa"/>
            <w:bottom w:w="0" w:type="dxa"/>
          </w:tblCellMar>
        </w:tblPrEx>
        <w:tc>
          <w:tcPr>
            <w:tcW w:w="4308" w:type="dxa"/>
          </w:tcPr>
          <w:p w:rsidR="00356EDE" w:rsidRPr="005B0607" w:rsidRDefault="005B0607">
            <w:pPr>
              <w:spacing w:before="60" w:after="60"/>
              <w:jc w:val="left"/>
              <w:rPr>
                <w:i/>
              </w:rPr>
            </w:pPr>
            <w:r w:rsidRPr="005B0607">
              <w:rPr>
                <w:i/>
              </w:rPr>
              <w:t xml:space="preserve">OECD </w:t>
            </w:r>
            <w:r w:rsidR="00356EDE" w:rsidRPr="005B0607">
              <w:rPr>
                <w:i/>
              </w:rPr>
              <w:t>Declaration on International Investment and Multinational Enterprises</w:t>
            </w:r>
          </w:p>
        </w:tc>
        <w:tc>
          <w:tcPr>
            <w:tcW w:w="3480" w:type="dxa"/>
          </w:tcPr>
          <w:p w:rsidR="00356EDE" w:rsidRDefault="00356EDE" w:rsidP="00AC1AF1">
            <w:pPr>
              <w:spacing w:before="60" w:after="60"/>
              <w:ind w:left="612"/>
            </w:pPr>
            <w:r>
              <w:t>www.ausncp.gov.au</w:t>
            </w:r>
          </w:p>
        </w:tc>
      </w:tr>
      <w:tr w:rsidR="00356EDE" w:rsidTr="000028F0">
        <w:tblPrEx>
          <w:tblCellMar>
            <w:top w:w="0" w:type="dxa"/>
            <w:bottom w:w="0" w:type="dxa"/>
          </w:tblCellMar>
        </w:tblPrEx>
        <w:tc>
          <w:tcPr>
            <w:tcW w:w="4308" w:type="dxa"/>
          </w:tcPr>
          <w:p w:rsidR="00356EDE" w:rsidRPr="00E37609" w:rsidRDefault="00356EDE">
            <w:pPr>
              <w:spacing w:before="60" w:after="60"/>
              <w:jc w:val="left"/>
              <w:rPr>
                <w:i/>
              </w:rPr>
            </w:pPr>
            <w:r w:rsidRPr="00E37609">
              <w:rPr>
                <w:i/>
              </w:rPr>
              <w:t>OECD Guidelines for Multinational Enterprises</w:t>
            </w:r>
          </w:p>
        </w:tc>
        <w:tc>
          <w:tcPr>
            <w:tcW w:w="3480" w:type="dxa"/>
          </w:tcPr>
          <w:p w:rsidR="00356EDE" w:rsidRDefault="00356EDE" w:rsidP="00AC1AF1">
            <w:pPr>
              <w:spacing w:before="60" w:after="60"/>
              <w:ind w:left="612"/>
            </w:pPr>
            <w:r>
              <w:t>www.ausncp.gov.au</w:t>
            </w:r>
          </w:p>
        </w:tc>
      </w:tr>
      <w:tr w:rsidR="00356EDE" w:rsidTr="000028F0">
        <w:tblPrEx>
          <w:tblCellMar>
            <w:top w:w="0" w:type="dxa"/>
            <w:bottom w:w="0" w:type="dxa"/>
          </w:tblCellMar>
        </w:tblPrEx>
        <w:tc>
          <w:tcPr>
            <w:tcW w:w="4308" w:type="dxa"/>
          </w:tcPr>
          <w:p w:rsidR="00356EDE" w:rsidRDefault="00356EDE">
            <w:pPr>
              <w:spacing w:before="60" w:after="60"/>
              <w:jc w:val="left"/>
            </w:pPr>
            <w:r w:rsidRPr="005B0607">
              <w:rPr>
                <w:i/>
              </w:rPr>
              <w:t>Policies and International Integration: Influences on Trade and Foreign Direct Investment</w:t>
            </w:r>
            <w:r>
              <w:t xml:space="preserve"> (</w:t>
            </w:r>
            <w:r w:rsidR="005B0607">
              <w:t>OECD </w:t>
            </w:r>
            <w:r>
              <w:t>Study)</w:t>
            </w:r>
          </w:p>
        </w:tc>
        <w:tc>
          <w:tcPr>
            <w:tcW w:w="3480" w:type="dxa"/>
          </w:tcPr>
          <w:p w:rsidR="00356EDE" w:rsidRDefault="00356EDE" w:rsidP="00AC1AF1">
            <w:pPr>
              <w:spacing w:before="60" w:after="60"/>
              <w:ind w:left="612"/>
            </w:pPr>
            <w:r>
              <w:t>www.oecd.org</w:t>
            </w:r>
          </w:p>
        </w:tc>
      </w:tr>
      <w:tr w:rsidR="00356EDE" w:rsidTr="000028F0">
        <w:tblPrEx>
          <w:tblCellMar>
            <w:top w:w="0" w:type="dxa"/>
            <w:bottom w:w="0" w:type="dxa"/>
          </w:tblCellMar>
        </w:tblPrEx>
        <w:tc>
          <w:tcPr>
            <w:tcW w:w="4308" w:type="dxa"/>
          </w:tcPr>
          <w:p w:rsidR="00356EDE" w:rsidRDefault="00356EDE">
            <w:pPr>
              <w:spacing w:before="60" w:after="60"/>
              <w:jc w:val="left"/>
            </w:pPr>
            <w:r>
              <w:t>The Trade and Investment Effects of Preferential Trading Arrangements</w:t>
            </w:r>
            <w:r w:rsidR="008A73C6">
              <w:t xml:space="preserve"> — </w:t>
            </w:r>
            <w:r>
              <w:t>Old and New Evidence (</w:t>
            </w:r>
            <w:r w:rsidRPr="00E37609">
              <w:t>Australian Productivity Commission Staff Working Paper)</w:t>
            </w:r>
          </w:p>
        </w:tc>
        <w:tc>
          <w:tcPr>
            <w:tcW w:w="3480" w:type="dxa"/>
          </w:tcPr>
          <w:p w:rsidR="00356EDE" w:rsidRDefault="00356EDE" w:rsidP="00AC1AF1">
            <w:pPr>
              <w:spacing w:before="60" w:after="60"/>
              <w:ind w:left="612"/>
            </w:pPr>
            <w:r>
              <w:t>www.pc.gov.au</w:t>
            </w:r>
          </w:p>
        </w:tc>
      </w:tr>
      <w:tr w:rsidR="00356EDE" w:rsidTr="000028F0">
        <w:tblPrEx>
          <w:tblCellMar>
            <w:top w:w="0" w:type="dxa"/>
            <w:bottom w:w="0" w:type="dxa"/>
          </w:tblCellMar>
        </w:tblPrEx>
        <w:tc>
          <w:tcPr>
            <w:tcW w:w="4308" w:type="dxa"/>
          </w:tcPr>
          <w:p w:rsidR="00356EDE" w:rsidRPr="004C2A77" w:rsidRDefault="00921500">
            <w:pPr>
              <w:spacing w:before="60" w:after="60"/>
              <w:jc w:val="left"/>
              <w:rPr>
                <w:i/>
              </w:rPr>
            </w:pPr>
            <w:r w:rsidRPr="004C2A77">
              <w:rPr>
                <w:i/>
              </w:rPr>
              <w:t xml:space="preserve">The </w:t>
            </w:r>
            <w:r w:rsidR="00356EDE" w:rsidRPr="004C2A77">
              <w:rPr>
                <w:i/>
              </w:rPr>
              <w:t>Treasury Annual Report</w:t>
            </w:r>
            <w:r w:rsidR="004C2A77" w:rsidRPr="004C2A77">
              <w:rPr>
                <w:i/>
              </w:rPr>
              <w:t xml:space="preserve"> 200</w:t>
            </w:r>
            <w:r w:rsidR="002F6EDD">
              <w:rPr>
                <w:i/>
              </w:rPr>
              <w:t>7</w:t>
            </w:r>
            <w:r w:rsidR="00826B98">
              <w:rPr>
                <w:i/>
              </w:rPr>
              <w:noBreakHyphen/>
            </w:r>
            <w:r w:rsidR="004C2A77" w:rsidRPr="004C2A77">
              <w:rPr>
                <w:i/>
              </w:rPr>
              <w:t>0</w:t>
            </w:r>
            <w:r w:rsidR="002F6EDD">
              <w:rPr>
                <w:i/>
              </w:rPr>
              <w:t>8</w:t>
            </w:r>
          </w:p>
        </w:tc>
        <w:tc>
          <w:tcPr>
            <w:tcW w:w="3480" w:type="dxa"/>
          </w:tcPr>
          <w:p w:rsidR="00356EDE" w:rsidRDefault="00356EDE" w:rsidP="00AC1AF1">
            <w:pPr>
              <w:spacing w:before="60" w:after="60"/>
              <w:ind w:left="612"/>
            </w:pPr>
            <w:r>
              <w:t>www.treasury.gov.au</w:t>
            </w:r>
          </w:p>
        </w:tc>
      </w:tr>
      <w:tr w:rsidR="00356EDE" w:rsidTr="000028F0">
        <w:tblPrEx>
          <w:tblCellMar>
            <w:top w:w="0" w:type="dxa"/>
            <w:bottom w:w="0" w:type="dxa"/>
          </w:tblCellMar>
        </w:tblPrEx>
        <w:tc>
          <w:tcPr>
            <w:tcW w:w="4308" w:type="dxa"/>
          </w:tcPr>
          <w:p w:rsidR="00356EDE" w:rsidRDefault="00356EDE">
            <w:pPr>
              <w:spacing w:before="60" w:after="60"/>
              <w:jc w:val="left"/>
            </w:pPr>
            <w:r>
              <w:t>UNCTAD Series on Issues in International Investment Agreements</w:t>
            </w:r>
          </w:p>
        </w:tc>
        <w:tc>
          <w:tcPr>
            <w:tcW w:w="3480" w:type="dxa"/>
          </w:tcPr>
          <w:p w:rsidR="00356EDE" w:rsidRDefault="00356EDE" w:rsidP="00AC1AF1">
            <w:pPr>
              <w:spacing w:before="60" w:after="60"/>
              <w:ind w:left="612"/>
            </w:pPr>
            <w:r>
              <w:t>www.un</w:t>
            </w:r>
            <w:r w:rsidR="00AA6C8D">
              <w:t>c</w:t>
            </w:r>
            <w:r w:rsidR="007F1AB9">
              <w:t>tad</w:t>
            </w:r>
            <w:r>
              <w:t>.org</w:t>
            </w:r>
          </w:p>
        </w:tc>
      </w:tr>
      <w:tr w:rsidR="00356EDE" w:rsidTr="000028F0">
        <w:tblPrEx>
          <w:tblCellMar>
            <w:top w:w="0" w:type="dxa"/>
            <w:bottom w:w="0" w:type="dxa"/>
          </w:tblCellMar>
        </w:tblPrEx>
        <w:tc>
          <w:tcPr>
            <w:tcW w:w="4308" w:type="dxa"/>
          </w:tcPr>
          <w:p w:rsidR="00356EDE" w:rsidRDefault="00356EDE">
            <w:pPr>
              <w:spacing w:before="60" w:after="60"/>
              <w:jc w:val="left"/>
            </w:pPr>
            <w:r>
              <w:t>UNCTAD World Investment Directory</w:t>
            </w:r>
          </w:p>
        </w:tc>
        <w:tc>
          <w:tcPr>
            <w:tcW w:w="3480" w:type="dxa"/>
          </w:tcPr>
          <w:p w:rsidR="00356EDE" w:rsidRDefault="00356EDE" w:rsidP="00AC1AF1">
            <w:pPr>
              <w:spacing w:before="60" w:after="60"/>
              <w:ind w:left="612"/>
            </w:pPr>
            <w:r>
              <w:t>www.un</w:t>
            </w:r>
            <w:r w:rsidR="00AA6C8D">
              <w:t>c</w:t>
            </w:r>
            <w:r w:rsidR="007F1AB9">
              <w:t>tad</w:t>
            </w:r>
            <w:r>
              <w:t>.org</w:t>
            </w:r>
          </w:p>
        </w:tc>
      </w:tr>
      <w:tr w:rsidR="00356EDE" w:rsidTr="000028F0">
        <w:tblPrEx>
          <w:tblCellMar>
            <w:top w:w="0" w:type="dxa"/>
            <w:bottom w:w="0" w:type="dxa"/>
          </w:tblCellMar>
        </w:tblPrEx>
        <w:tc>
          <w:tcPr>
            <w:tcW w:w="4308" w:type="dxa"/>
          </w:tcPr>
          <w:p w:rsidR="00356EDE" w:rsidRPr="00890E25" w:rsidRDefault="00356EDE">
            <w:pPr>
              <w:spacing w:before="60" w:after="60"/>
              <w:jc w:val="left"/>
              <w:rPr>
                <w:i/>
              </w:rPr>
            </w:pPr>
            <w:r w:rsidRPr="00890E25">
              <w:rPr>
                <w:i/>
              </w:rPr>
              <w:t>UNCTAD World Investment Report</w:t>
            </w:r>
          </w:p>
        </w:tc>
        <w:tc>
          <w:tcPr>
            <w:tcW w:w="3480" w:type="dxa"/>
          </w:tcPr>
          <w:p w:rsidR="00356EDE" w:rsidRDefault="00356EDE" w:rsidP="00AC1AF1">
            <w:pPr>
              <w:spacing w:before="60" w:after="60"/>
              <w:ind w:left="612"/>
            </w:pPr>
            <w:r>
              <w:t>www.un</w:t>
            </w:r>
            <w:r w:rsidR="00AA6C8D">
              <w:t>c</w:t>
            </w:r>
            <w:r w:rsidR="007F1AB9">
              <w:t>tad</w:t>
            </w:r>
            <w:r>
              <w:t>.org</w:t>
            </w:r>
          </w:p>
        </w:tc>
      </w:tr>
    </w:tbl>
    <w:p w:rsidR="00356EDE" w:rsidRPr="00167A9E" w:rsidRDefault="00356EDE" w:rsidP="00D525E8"/>
    <w:sectPr w:rsidR="00356EDE" w:rsidRPr="00167A9E" w:rsidSect="004C4DC6">
      <w:footerReference w:type="even" r:id="rId25"/>
      <w:headerReference w:type="first" r:id="rId26"/>
      <w:footerReference w:type="first" r:id="rId27"/>
      <w:footnotePr>
        <w:numRestart w:val="eachSect"/>
      </w:footnotePr>
      <w:pgSz w:w="11907" w:h="16840" w:code="9"/>
      <w:pgMar w:top="2466" w:right="2098" w:bottom="2466" w:left="2098" w:header="1899" w:footer="1899" w:gutter="0"/>
      <w:paperSrc w:first="15" w:other="15"/>
      <w:pgNumType w:start="5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76" w:rsidRDefault="00E87976">
      <w:r>
        <w:separator/>
      </w:r>
    </w:p>
  </w:endnote>
  <w:endnote w:type="continuationSeparator" w:id="0">
    <w:p w:rsidR="00E87976" w:rsidRDefault="00E8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rsidP="00E60510">
    <w:pPr>
      <w:pStyle w:val="FooterEven"/>
    </w:pPr>
    <w:r w:rsidRPr="00E60510">
      <w:t>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rsidP="00E60510">
    <w:pPr>
      <w:pStyle w:val="FooterOdd"/>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A05C0">
      <w:rPr>
        <w:rStyle w:val="PageNumber"/>
        <w:rFonts w:ascii="Arial" w:hAnsi="Arial"/>
        <w:noProof/>
      </w:rPr>
      <w:t>67</w:t>
    </w:r>
    <w:r>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rsidP="00E60510">
    <w:pPr>
      <w:pStyle w:val="FooterEven"/>
    </w:pPr>
    <w:r w:rsidRPr="00E60510">
      <w:rPr>
        <w:rStyle w:val="PageNumber"/>
        <w:rFonts w:ascii="Arial" w:hAnsi="Arial"/>
      </w:rPr>
      <w:fldChar w:fldCharType="begin"/>
    </w:r>
    <w:r w:rsidRPr="00E60510">
      <w:rPr>
        <w:rStyle w:val="PageNumber"/>
        <w:rFonts w:ascii="Arial" w:hAnsi="Arial"/>
      </w:rPr>
      <w:instrText xml:space="preserve"> PAGE </w:instrText>
    </w:r>
    <w:r w:rsidRPr="00E60510">
      <w:rPr>
        <w:rStyle w:val="PageNumber"/>
        <w:rFonts w:ascii="Arial" w:hAnsi="Arial"/>
      </w:rPr>
      <w:fldChar w:fldCharType="separate"/>
    </w:r>
    <w:r w:rsidR="003A05C0">
      <w:rPr>
        <w:rStyle w:val="PageNumber"/>
        <w:rFonts w:ascii="Arial" w:hAnsi="Arial"/>
        <w:noProof/>
      </w:rPr>
      <w:t>68</w:t>
    </w:r>
    <w:r w:rsidRPr="00E60510">
      <w:rPr>
        <w:rStyle w:val="PageNumber"/>
        <w:rFonts w:ascii="Arial" w:hAnsi="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pPr>
      <w:pStyle w:val="FooterOdd"/>
    </w:pPr>
    <w:r>
      <w:fldChar w:fldCharType="begin"/>
    </w:r>
    <w:r>
      <w:instrText xml:space="preserve"> PAGE  \* Arabic  \* MERGEFORMAT </w:instrText>
    </w:r>
    <w:r>
      <w:fldChar w:fldCharType="separate"/>
    </w:r>
    <w:r w:rsidR="003A05C0">
      <w:rPr>
        <w:noProof/>
      </w:rPr>
      <w:t>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76" w:rsidRDefault="00E87976" w:rsidP="002C71C1">
      <w:pPr>
        <w:spacing w:before="120" w:after="120" w:line="240" w:lineRule="auto"/>
      </w:pPr>
      <w:r>
        <w:separator/>
      </w:r>
    </w:p>
  </w:footnote>
  <w:footnote w:type="continuationSeparator" w:id="0">
    <w:p w:rsidR="00E87976" w:rsidRDefault="00E87976">
      <w:r>
        <w:continuationSeparator/>
      </w:r>
    </w:p>
  </w:footnote>
  <w:footnote w:id="1">
    <w:p w:rsidR="00000000" w:rsidRDefault="00E87976" w:rsidP="00E76C05">
      <w:pPr>
        <w:pStyle w:val="FootnoteText"/>
      </w:pPr>
      <w:r w:rsidRPr="00E76C05">
        <w:rPr>
          <w:rStyle w:val="FootnoteReference"/>
          <w:vertAlign w:val="baseline"/>
        </w:rPr>
        <w:footnoteRef/>
      </w:r>
      <w:r>
        <w:tab/>
      </w:r>
      <w:r>
        <w:rPr>
          <w:rStyle w:val="FootnoteTextChar"/>
        </w:rPr>
        <w:t>Adams, R, Dee, P, Gali, J and McGuire G, (2003), ‘</w:t>
      </w:r>
      <w:r w:rsidRPr="00B0748A">
        <w:rPr>
          <w:rStyle w:val="FootnoteTextChar"/>
        </w:rPr>
        <w:t>The Trade and Investment Effects of Pref</w:t>
      </w:r>
      <w:r>
        <w:rPr>
          <w:rStyle w:val="FootnoteTextChar"/>
        </w:rPr>
        <w:t xml:space="preserve">erential Trading Arrangements — </w:t>
      </w:r>
      <w:r w:rsidRPr="00B0748A">
        <w:rPr>
          <w:rStyle w:val="FootnoteTextChar"/>
        </w:rPr>
        <w:t>Old and New Evidence</w:t>
      </w:r>
      <w:r>
        <w:rPr>
          <w:rStyle w:val="FootnoteTextChar"/>
        </w:rPr>
        <w:t>’</w:t>
      </w:r>
      <w:r w:rsidRPr="00E96881">
        <w:rPr>
          <w:rStyle w:val="FootnoteTextChar"/>
        </w:rPr>
        <w:t xml:space="preserve">, </w:t>
      </w:r>
      <w:r w:rsidRPr="00B0748A">
        <w:rPr>
          <w:rStyle w:val="FootnoteTextChar"/>
          <w:i/>
        </w:rPr>
        <w:t>Productivity Commission Staff Working Paper</w:t>
      </w:r>
      <w:r w:rsidRPr="00E96881">
        <w:rPr>
          <w:rStyle w:val="FootnoteTextChar"/>
        </w:rPr>
        <w:t>, Canbe</w:t>
      </w:r>
      <w:r>
        <w:rPr>
          <w:rStyle w:val="FootnoteTextChar"/>
        </w:rPr>
        <w:t>rra, May 2003</w:t>
      </w:r>
      <w:r w:rsidRPr="00E96881">
        <w:rPr>
          <w:rStyle w:val="FootnoteTextChar"/>
        </w:rPr>
        <w:t>.</w:t>
      </w:r>
    </w:p>
  </w:footnote>
  <w:footnote w:id="2">
    <w:p w:rsidR="00000000" w:rsidRDefault="00E87976" w:rsidP="006C1177">
      <w:pPr>
        <w:pStyle w:val="FootnoteText"/>
        <w:spacing w:after="40"/>
      </w:pPr>
      <w:r w:rsidRPr="00486BE3">
        <w:rPr>
          <w:rStyle w:val="FootnoteReference"/>
          <w:vertAlign w:val="baseline"/>
        </w:rPr>
        <w:footnoteRef/>
      </w:r>
      <w:r>
        <w:t xml:space="preserve"> </w:t>
      </w:r>
      <w:r>
        <w:tab/>
        <w:t xml:space="preserve">As </w:t>
      </w:r>
      <w:r w:rsidRPr="00340977">
        <w:t>ABS data is subject to periodic revision,</w:t>
      </w:r>
      <w:r>
        <w:t xml:space="preserve"> data included in the current report may differ from that published for the same period in previous reports.</w:t>
      </w:r>
    </w:p>
  </w:footnote>
  <w:footnote w:id="3">
    <w:p w:rsidR="00000000" w:rsidRDefault="00E87976" w:rsidP="006C1177">
      <w:pPr>
        <w:pStyle w:val="FootnoteText"/>
        <w:spacing w:after="40"/>
      </w:pPr>
      <w:r w:rsidRPr="00486BE3">
        <w:rPr>
          <w:rStyle w:val="FootnoteReference"/>
          <w:vertAlign w:val="baseline"/>
        </w:rPr>
        <w:footnoteRef/>
      </w:r>
      <w:r>
        <w:t xml:space="preserve"> </w:t>
      </w:r>
      <w:r>
        <w:tab/>
        <w:t>Prior to 2005</w:t>
      </w:r>
      <w:r>
        <w:noBreakHyphen/>
        <w:t>06, foreign investment levels were reported on a non</w:t>
      </w:r>
      <w:r>
        <w:noBreakHyphen/>
        <w:t xml:space="preserve">financial year basis.  </w:t>
      </w:r>
    </w:p>
  </w:footnote>
  <w:footnote w:id="4">
    <w:p w:rsidR="00000000" w:rsidRDefault="00E87976">
      <w:pPr>
        <w:pStyle w:val="FootnoteText"/>
      </w:pPr>
      <w:r w:rsidRPr="00486BE3">
        <w:rPr>
          <w:rStyle w:val="FootnoteReference"/>
          <w:vertAlign w:val="baseline"/>
        </w:rPr>
        <w:footnoteRef/>
      </w:r>
      <w:r>
        <w:t xml:space="preserve"> </w:t>
      </w:r>
      <w:r>
        <w:tab/>
        <w:t xml:space="preserve">Source: </w:t>
      </w:r>
      <w:r w:rsidRPr="00705684">
        <w:t xml:space="preserve">ABS </w:t>
      </w:r>
      <w:r>
        <w:t>c</w:t>
      </w:r>
      <w:r w:rsidRPr="00705684">
        <w:t>at</w:t>
      </w:r>
      <w:r>
        <w:t>. n</w:t>
      </w:r>
      <w:r w:rsidRPr="00705684">
        <w:t>o. 53</w:t>
      </w:r>
      <w:r>
        <w:t>0</w:t>
      </w:r>
      <w:r w:rsidRPr="00705684">
        <w:t>2.0</w:t>
      </w:r>
      <w:r>
        <w:t xml:space="preserve"> </w:t>
      </w:r>
      <w:r w:rsidRPr="00705684">
        <w:t xml:space="preserve">Balance of Payments and International Investment Position, Australia, </w:t>
      </w:r>
      <w:r>
        <w:t>March</w:t>
      </w:r>
      <w:r w:rsidRPr="00705684">
        <w:t xml:space="preserve"> Q</w:t>
      </w:r>
      <w:r>
        <w:t>uarter</w:t>
      </w:r>
      <w:r w:rsidRPr="00705684">
        <w:t xml:space="preserve"> 200</w:t>
      </w:r>
      <w:r>
        <w:t>9</w:t>
      </w:r>
      <w:r w:rsidRPr="0070568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pPr>
      <w:framePr w:wrap="around" w:hAnchor="page" w:x="14460" w:yAlign="top" w:anchorLock="1"/>
      <w:textDirection w:val="tbRl"/>
      <w:rPr>
        <w:rStyle w:val="FramedHeader"/>
        <w:color w:val="000080"/>
      </w:rPr>
    </w:pPr>
    <w:r>
      <w:rPr>
        <w:color w:val="000080"/>
      </w:rPr>
      <w:fldChar w:fldCharType="begin"/>
    </w:r>
    <w:r>
      <w:rPr>
        <w:color w:val="000080"/>
      </w:rPr>
      <w:instrText xml:space="preserve"> PAGE  \* MERGEFORMAT </w:instrText>
    </w:r>
    <w:r>
      <w:rPr>
        <w:color w:val="000080"/>
      </w:rPr>
      <w:fldChar w:fldCharType="separate"/>
    </w:r>
    <w:r w:rsidR="003A05C0">
      <w:rPr>
        <w:noProof/>
        <w:color w:val="000080"/>
      </w:rPr>
      <w:t>68</w:t>
    </w:r>
    <w:r>
      <w:rPr>
        <w:color w:val="000080"/>
      </w:rPr>
      <w:fldChar w:fldCharType="end"/>
    </w:r>
    <w:r>
      <w:rPr>
        <w:color w:val="000080"/>
      </w:rPr>
      <w:t xml:space="preserve">  Foreign Investment Review Board Report 2002</w:t>
    </w:r>
    <w:r>
      <w:rPr>
        <w:color w:val="000080"/>
      </w:rPr>
      <w:noBreakHyphen/>
      <w:t>03</w:t>
    </w:r>
    <w:r>
      <w:rPr>
        <w:rStyle w:val="FramedHeader"/>
        <w:color w:val="000080"/>
      </w:rPr>
      <w:fldChar w:fldCharType="begin"/>
    </w:r>
    <w:r>
      <w:rPr>
        <w:rStyle w:val="FramedHeader"/>
        <w:color w:val="000080"/>
      </w:rPr>
      <w:instrText xml:space="preserve"> SUBJECT  \* MERGEFORMAT </w:instrText>
    </w:r>
    <w:r>
      <w:rPr>
        <w:rStyle w:val="FramedHeader"/>
        <w:color w:val="000080"/>
      </w:rPr>
      <w:fldChar w:fldCharType="end"/>
    </w:r>
  </w:p>
  <w:p w:rsidR="00E87976" w:rsidRDefault="00E87976">
    <w:pPr>
      <w:pStyle w:val="HeaderEven"/>
    </w:pPr>
    <w:r>
      <w:t>Foreign Investment Review Board Annual Report 2007-08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pPr>
      <w:framePr w:wrap="around" w:hAnchor="page" w:x="14460" w:yAlign="bottom" w:anchorLock="1"/>
      <w:textDirection w:val="tbRl"/>
      <w:rPr>
        <w:rStyle w:val="FramedHeader"/>
        <w:color w:val="008080"/>
      </w:rPr>
    </w:pPr>
    <w:r>
      <w:rPr>
        <w:color w:val="008080"/>
      </w:rPr>
      <w:t xml:space="preserve">Chapter 4: International Investment issues and Australia’s International Investment Position  </w:t>
    </w:r>
    <w:r>
      <w:rPr>
        <w:color w:val="008080"/>
      </w:rPr>
      <w:fldChar w:fldCharType="begin"/>
    </w:r>
    <w:r>
      <w:rPr>
        <w:color w:val="008080"/>
      </w:rPr>
      <w:instrText xml:space="preserve"> PAGE  \* MERGEFORMAT </w:instrText>
    </w:r>
    <w:r>
      <w:rPr>
        <w:color w:val="008080"/>
      </w:rPr>
      <w:fldChar w:fldCharType="separate"/>
    </w:r>
    <w:r w:rsidR="003A05C0">
      <w:rPr>
        <w:noProof/>
        <w:color w:val="008080"/>
      </w:rPr>
      <w:t>67</w:t>
    </w:r>
    <w:r>
      <w:rPr>
        <w:color w:val="008080"/>
      </w:rPr>
      <w:fldChar w:fldCharType="end"/>
    </w:r>
    <w:r>
      <w:rPr>
        <w:rStyle w:val="FramedHeader"/>
        <w:color w:val="008080"/>
      </w:rPr>
      <w:fldChar w:fldCharType="begin"/>
    </w:r>
    <w:r>
      <w:rPr>
        <w:rStyle w:val="FramedHeader"/>
        <w:color w:val="008080"/>
      </w:rPr>
      <w:instrText xml:space="preserve"> SUBJECT  \* MERGEFORMAT </w:instrText>
    </w:r>
    <w:r>
      <w:rPr>
        <w:rStyle w:val="FramedHeader"/>
        <w:color w:val="008080"/>
      </w:rPr>
      <w:fldChar w:fldCharType="end"/>
    </w:r>
  </w:p>
  <w:p w:rsidR="00E87976" w:rsidRDefault="00E87976">
    <w:pPr>
      <w:pStyle w:val="HeaderOdd"/>
    </w:pPr>
    <w:r>
      <w:t>Chapter 4: International investment issues and Australia’s international investment position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pPr>
      <w:framePr w:wrap="around" w:hAnchor="page" w:x="14460" w:yAlign="top" w:anchorLock="1"/>
      <w:textDirection w:val="tbRl"/>
      <w:rPr>
        <w:rStyle w:val="FramedHeader"/>
        <w:color w:val="008080"/>
      </w:rPr>
    </w:pPr>
    <w:r>
      <w:rPr>
        <w:rStyle w:val="FramedHeader"/>
        <w:color w:val="008080"/>
      </w:rPr>
      <w:fldChar w:fldCharType="begin"/>
    </w:r>
    <w:r>
      <w:rPr>
        <w:rStyle w:val="FramedHeader"/>
        <w:color w:val="008080"/>
      </w:rPr>
      <w:instrText xml:space="preserve"> PAGE  \* MERGEFORMAT </w:instrText>
    </w:r>
    <w:r>
      <w:rPr>
        <w:rStyle w:val="FramedHeader"/>
        <w:color w:val="008080"/>
      </w:rPr>
      <w:fldChar w:fldCharType="separate"/>
    </w:r>
    <w:r w:rsidR="003A05C0">
      <w:rPr>
        <w:rStyle w:val="FramedHeader"/>
        <w:noProof/>
        <w:color w:val="008080"/>
      </w:rPr>
      <w:t>51</w:t>
    </w:r>
    <w:r>
      <w:rPr>
        <w:rStyle w:val="FramedHeader"/>
        <w:color w:val="008080"/>
      </w:rPr>
      <w:fldChar w:fldCharType="end"/>
    </w:r>
    <w:r>
      <w:rPr>
        <w:rStyle w:val="FramedHeader"/>
        <w:color w:val="008080"/>
      </w:rPr>
      <w:t xml:space="preserve">  </w:t>
    </w:r>
    <w:r>
      <w:rPr>
        <w:color w:val="008080"/>
      </w:rPr>
      <w:t>Foreign Investment Review Board Report 2002</w:t>
    </w:r>
    <w:r>
      <w:rPr>
        <w:color w:val="008080"/>
      </w:rPr>
      <w:noBreakHyphen/>
      <w:t>03</w:t>
    </w:r>
    <w:r>
      <w:rPr>
        <w:rStyle w:val="FramedHeader"/>
        <w:color w:val="008080"/>
      </w:rPr>
      <w:fldChar w:fldCharType="begin"/>
    </w:r>
    <w:r>
      <w:rPr>
        <w:rStyle w:val="FramedHeader"/>
        <w:color w:val="008080"/>
      </w:rPr>
      <w:instrText xml:space="preserve"> SUBJECT  \* MERGEFORMAT </w:instrText>
    </w:r>
    <w:r>
      <w:rPr>
        <w:rStyle w:val="FramedHeader"/>
        <w:color w:val="008080"/>
      </w:rPr>
      <w:fldChar w:fldCharType="end"/>
    </w:r>
  </w:p>
  <w:p w:rsidR="00E87976" w:rsidRDefault="00E879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pPr>
      <w:framePr w:wrap="around" w:hAnchor="page" w:x="14460" w:yAlign="top" w:anchorLock="1"/>
      <w:textDirection w:val="tbRl"/>
      <w:rPr>
        <w:rStyle w:val="FramedHeader"/>
        <w:color w:val="008080"/>
      </w:rPr>
    </w:pPr>
    <w:r>
      <w:rPr>
        <w:rStyle w:val="FramedHeader"/>
        <w:color w:val="008080"/>
      </w:rPr>
      <w:fldChar w:fldCharType="begin"/>
    </w:r>
    <w:r>
      <w:rPr>
        <w:rStyle w:val="FramedHeader"/>
        <w:color w:val="008080"/>
      </w:rPr>
      <w:instrText xml:space="preserve"> PAGE  \* MERGEFORMAT </w:instrText>
    </w:r>
    <w:r>
      <w:rPr>
        <w:rStyle w:val="FramedHeader"/>
        <w:color w:val="008080"/>
      </w:rPr>
      <w:fldChar w:fldCharType="separate"/>
    </w:r>
    <w:r w:rsidR="003A05C0">
      <w:rPr>
        <w:rStyle w:val="FramedHeader"/>
        <w:noProof/>
        <w:color w:val="008080"/>
      </w:rPr>
      <w:t>52</w:t>
    </w:r>
    <w:r>
      <w:rPr>
        <w:rStyle w:val="FramedHeader"/>
        <w:color w:val="008080"/>
      </w:rPr>
      <w:fldChar w:fldCharType="end"/>
    </w:r>
    <w:r>
      <w:rPr>
        <w:rStyle w:val="FramedHeader"/>
        <w:color w:val="008080"/>
      </w:rPr>
      <w:t xml:space="preserve">  </w:t>
    </w:r>
    <w:r>
      <w:rPr>
        <w:color w:val="008080"/>
      </w:rPr>
      <w:t>Foreign Investment Review Board Report 2002</w:t>
    </w:r>
    <w:r>
      <w:rPr>
        <w:color w:val="008080"/>
      </w:rPr>
      <w:noBreakHyphen/>
      <w:t>03</w:t>
    </w:r>
    <w:r>
      <w:rPr>
        <w:rStyle w:val="FramedHeader"/>
        <w:color w:val="008080"/>
      </w:rPr>
      <w:fldChar w:fldCharType="begin"/>
    </w:r>
    <w:r>
      <w:rPr>
        <w:rStyle w:val="FramedHeader"/>
        <w:color w:val="008080"/>
      </w:rPr>
      <w:instrText xml:space="preserve"> SUBJECT  \* MERGEFORMAT </w:instrText>
    </w:r>
    <w:r>
      <w:rPr>
        <w:rStyle w:val="FramedHeader"/>
        <w:color w:val="008080"/>
      </w:rPr>
      <w:fldChar w:fldCharType="end"/>
    </w:r>
  </w:p>
  <w:p w:rsidR="00E87976" w:rsidRDefault="00E879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76" w:rsidRDefault="00E87976">
    <w:pPr>
      <w:framePr w:wrap="around" w:hAnchor="page" w:x="14460" w:yAlign="top" w:anchorLock="1"/>
      <w:textDirection w:val="tbRl"/>
      <w:rPr>
        <w:rStyle w:val="FramedHeader"/>
        <w:color w:val="008080"/>
      </w:rPr>
    </w:pPr>
    <w:r>
      <w:rPr>
        <w:rStyle w:val="FramedHeader"/>
        <w:color w:val="008080"/>
      </w:rPr>
      <w:fldChar w:fldCharType="begin"/>
    </w:r>
    <w:r>
      <w:rPr>
        <w:rStyle w:val="FramedHeader"/>
        <w:color w:val="008080"/>
      </w:rPr>
      <w:instrText xml:space="preserve"> PAGE  \* MERGEFORMAT </w:instrText>
    </w:r>
    <w:r>
      <w:rPr>
        <w:rStyle w:val="FramedHeader"/>
        <w:color w:val="008080"/>
      </w:rPr>
      <w:fldChar w:fldCharType="separate"/>
    </w:r>
    <w:r w:rsidR="003A05C0">
      <w:rPr>
        <w:rStyle w:val="FramedHeader"/>
        <w:noProof/>
        <w:color w:val="008080"/>
      </w:rPr>
      <w:t>55</w:t>
    </w:r>
    <w:r>
      <w:rPr>
        <w:rStyle w:val="FramedHeader"/>
        <w:color w:val="008080"/>
      </w:rPr>
      <w:fldChar w:fldCharType="end"/>
    </w:r>
    <w:r>
      <w:rPr>
        <w:rStyle w:val="FramedHeader"/>
        <w:color w:val="008080"/>
      </w:rPr>
      <w:t xml:space="preserve">  </w:t>
    </w:r>
    <w:r>
      <w:rPr>
        <w:color w:val="008080"/>
      </w:rPr>
      <w:t>Foreign Investment Review Board Report 2002</w:t>
    </w:r>
    <w:r>
      <w:rPr>
        <w:color w:val="008080"/>
      </w:rPr>
      <w:noBreakHyphen/>
      <w:t>03</w:t>
    </w:r>
    <w:r>
      <w:rPr>
        <w:rStyle w:val="FramedHeader"/>
        <w:color w:val="008080"/>
      </w:rPr>
      <w:fldChar w:fldCharType="begin"/>
    </w:r>
    <w:r>
      <w:rPr>
        <w:rStyle w:val="FramedHeader"/>
        <w:color w:val="008080"/>
      </w:rPr>
      <w:instrText xml:space="preserve"> SUBJECT  \* MERGEFORMAT </w:instrText>
    </w:r>
    <w:r>
      <w:rPr>
        <w:rStyle w:val="FramedHeader"/>
        <w:color w:val="008080"/>
      </w:rPr>
      <w:fldChar w:fldCharType="end"/>
    </w:r>
  </w:p>
  <w:p w:rsidR="00E87976" w:rsidRDefault="00E87976" w:rsidP="007B6942">
    <w:pPr>
      <w:framePr w:wrap="around" w:hAnchor="page" w:x="14460" w:y="1" w:anchorLock="1"/>
      <w:textDirection w:val="tbRl"/>
      <w:rPr>
        <w:rStyle w:val="FramedHeader"/>
      </w:rPr>
    </w:pPr>
    <w:r>
      <w:rPr>
        <w:rStyle w:val="FramedHeader"/>
      </w:rPr>
      <w:t>Foreign Investment Review Board Annual Report 2004</w:t>
    </w:r>
    <w:r>
      <w:rPr>
        <w:rStyle w:val="FramedHeader"/>
      </w:rPr>
      <w:noBreakHyphen/>
      <w:t>05</w:t>
    </w:r>
  </w:p>
  <w:p w:rsidR="00E87976" w:rsidRDefault="00E87976" w:rsidP="0015426A">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0EC6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72D9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1A6F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A0A1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E05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5C95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F636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949D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6268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00ECE0"/>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3">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7">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18">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19">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0">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1">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2">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3">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4">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6">
    <w:nsid w:val="52BA7462"/>
    <w:multiLevelType w:val="multilevel"/>
    <w:tmpl w:val="5A7A97A2"/>
    <w:lvl w:ilvl="0">
      <w:start w:val="1"/>
      <w:numFmt w:val="bullet"/>
      <w:lvlRestart w:val="0"/>
      <w:lvlText w:val=""/>
      <w:lvlJc w:val="left"/>
      <w:pPr>
        <w:tabs>
          <w:tab w:val="num" w:pos="360"/>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35357C1"/>
    <w:multiLevelType w:val="singleLevel"/>
    <w:tmpl w:val="0C09000F"/>
    <w:name w:val="AppendixAList"/>
    <w:lvl w:ilvl="0">
      <w:start w:val="1"/>
      <w:numFmt w:val="decimal"/>
      <w:lvlText w:val="%1."/>
      <w:lvlJc w:val="left"/>
      <w:pPr>
        <w:tabs>
          <w:tab w:val="num" w:pos="720"/>
        </w:tabs>
        <w:ind w:left="720" w:hanging="360"/>
      </w:pPr>
      <w:rPr>
        <w:rFonts w:cs="Times New Roman"/>
      </w:rPr>
    </w:lvl>
  </w:abstractNum>
  <w:abstractNum w:abstractNumId="28">
    <w:nsid w:val="56E01CD5"/>
    <w:multiLevelType w:val="singleLevel"/>
    <w:tmpl w:val="ADDA07C0"/>
    <w:name w:val="StandardBulletedList"/>
    <w:lvl w:ilvl="0">
      <w:start w:val="1"/>
      <w:numFmt w:val="bullet"/>
      <w:lvlText w:val="•"/>
      <w:lvlJc w:val="left"/>
      <w:pPr>
        <w:tabs>
          <w:tab w:val="num" w:pos="567"/>
        </w:tabs>
        <w:ind w:left="567" w:hanging="567"/>
      </w:pPr>
      <w:rPr>
        <w:rFonts w:ascii="Times New Roman" w:hAnsi="Times New Roman" w:hint="default"/>
      </w:rPr>
    </w:lvl>
  </w:abstractNum>
  <w:abstractNum w:abstractNumId="29">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0">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C433E74"/>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3">
    <w:nsid w:val="5E8840E7"/>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65FB0D17"/>
    <w:multiLevelType w:val="singleLevel"/>
    <w:tmpl w:val="0C09000F"/>
    <w:name w:val="RecommendationBulletedList"/>
    <w:lvl w:ilvl="0">
      <w:start w:val="1"/>
      <w:numFmt w:val="decimal"/>
      <w:lvlText w:val="%1."/>
      <w:lvlJc w:val="left"/>
      <w:pPr>
        <w:tabs>
          <w:tab w:val="num" w:pos="720"/>
        </w:tabs>
        <w:ind w:left="720" w:hanging="360"/>
      </w:pPr>
      <w:rPr>
        <w:rFonts w:cs="Times New Roman"/>
      </w:rPr>
    </w:lvl>
  </w:abstractNum>
  <w:abstractNum w:abstractNumId="35">
    <w:nsid w:val="66022277"/>
    <w:multiLevelType w:val="singleLevel"/>
    <w:tmpl w:val="9C7240A2"/>
    <w:lvl w:ilvl="0">
      <w:start w:val="1"/>
      <w:numFmt w:val="lowerLetter"/>
      <w:lvlRestart w:val="0"/>
      <w:lvlText w:val="(%1)"/>
      <w:lvlJc w:val="left"/>
      <w:pPr>
        <w:tabs>
          <w:tab w:val="num" w:pos="283"/>
        </w:tabs>
        <w:ind w:left="283" w:hanging="283"/>
      </w:pPr>
      <w:rPr>
        <w:rFonts w:ascii="Book Antiqua" w:hAnsi="Book Antiqua" w:cs="Times New Roman" w:hint="default"/>
      </w:rPr>
    </w:lvl>
  </w:abstractNum>
  <w:abstractNum w:abstractNumId="36">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4"/>
  </w:num>
  <w:num w:numId="3">
    <w:abstractNumId w:val="18"/>
  </w:num>
  <w:num w:numId="4">
    <w:abstractNumId w:val="24"/>
  </w:num>
  <w:num w:numId="5">
    <w:abstractNumId w:val="13"/>
  </w:num>
  <w:num w:numId="6">
    <w:abstractNumId w:val="13"/>
  </w:num>
  <w:num w:numId="7">
    <w:abstractNumId w:val="13"/>
  </w:num>
  <w:num w:numId="8">
    <w:abstractNumId w:val="37"/>
  </w:num>
  <w:num w:numId="9">
    <w:abstractNumId w:val="29"/>
  </w:num>
  <w:num w:numId="10">
    <w:abstractNumId w:val="10"/>
  </w:num>
  <w:num w:numId="11">
    <w:abstractNumId w:val="3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20"/>
  </w:num>
  <w:num w:numId="24">
    <w:abstractNumId w:val="35"/>
  </w:num>
  <w:num w:numId="25">
    <w:abstractNumId w:val="26"/>
  </w:num>
  <w:num w:numId="26">
    <w:abstractNumId w:val="35"/>
    <w:lvlOverride w:ilvl="0">
      <w:startOverride w:val="1"/>
    </w:lvlOverride>
  </w:num>
  <w:num w:numId="27">
    <w:abstractNumId w:val="24"/>
  </w:num>
  <w:num w:numId="28">
    <w:abstractNumId w:val="17"/>
  </w:num>
  <w:num w:numId="29">
    <w:abstractNumId w:val="33"/>
  </w:num>
  <w:num w:numId="30">
    <w:abstractNumId w:val="31"/>
  </w:num>
  <w:num w:numId="31">
    <w:abstractNumId w:val="36"/>
  </w:num>
  <w:num w:numId="32">
    <w:abstractNumId w:val="24"/>
  </w:num>
  <w:num w:numId="33">
    <w:abstractNumId w:val="30"/>
  </w:num>
  <w:num w:numId="34">
    <w:abstractNumId w:val="21"/>
  </w:num>
  <w:num w:numId="35">
    <w:abstractNumId w:val="28"/>
  </w:num>
  <w:num w:numId="36">
    <w:abstractNumId w:val="11"/>
  </w:num>
  <w:num w:numId="37">
    <w:abstractNumId w:val="23"/>
  </w:num>
  <w:num w:numId="38">
    <w:abstractNumId w:val="12"/>
  </w:num>
  <w:num w:numId="39">
    <w:abstractNumId w:val="24"/>
  </w:num>
  <w:num w:numId="40">
    <w:abstractNumId w:val="24"/>
    <w:lvlOverride w:ilvl="0">
      <w:startOverride w:val="1"/>
    </w:lvlOverride>
  </w:num>
  <w:num w:numId="41">
    <w:abstractNumId w:val="24"/>
    <w:lvlOverride w:ilvl="0">
      <w:startOverride w:val="1"/>
    </w:lvlOverride>
  </w:num>
  <w:num w:numId="42">
    <w:abstractNumId w:val="19"/>
  </w:num>
  <w:num w:numId="43">
    <w:abstractNumId w:val="16"/>
  </w:num>
  <w:num w:numId="4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footnotePr>
    <w:numStart w:val="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8AE6EA3-1FB1-4D34-AF36-A836386C703A}"/>
    <w:docVar w:name="dgnword-eventsink" w:val="11530488"/>
  </w:docVars>
  <w:rsids>
    <w:rsidRoot w:val="00C2453E"/>
    <w:rsid w:val="00002202"/>
    <w:rsid w:val="000028F0"/>
    <w:rsid w:val="00003A65"/>
    <w:rsid w:val="00006614"/>
    <w:rsid w:val="0000760A"/>
    <w:rsid w:val="00012E70"/>
    <w:rsid w:val="000136CC"/>
    <w:rsid w:val="00017E37"/>
    <w:rsid w:val="00021810"/>
    <w:rsid w:val="00021A10"/>
    <w:rsid w:val="0002273B"/>
    <w:rsid w:val="00023D83"/>
    <w:rsid w:val="00026A58"/>
    <w:rsid w:val="00026B45"/>
    <w:rsid w:val="00026C31"/>
    <w:rsid w:val="00031396"/>
    <w:rsid w:val="00031518"/>
    <w:rsid w:val="00032305"/>
    <w:rsid w:val="000361BF"/>
    <w:rsid w:val="000417AB"/>
    <w:rsid w:val="00044166"/>
    <w:rsid w:val="00044969"/>
    <w:rsid w:val="00051204"/>
    <w:rsid w:val="00051235"/>
    <w:rsid w:val="00052922"/>
    <w:rsid w:val="00057BAC"/>
    <w:rsid w:val="00057EDC"/>
    <w:rsid w:val="000607C0"/>
    <w:rsid w:val="00061BCE"/>
    <w:rsid w:val="00062C71"/>
    <w:rsid w:val="00063BCA"/>
    <w:rsid w:val="0006403A"/>
    <w:rsid w:val="00065200"/>
    <w:rsid w:val="00065D9B"/>
    <w:rsid w:val="00066824"/>
    <w:rsid w:val="0006715B"/>
    <w:rsid w:val="000676D7"/>
    <w:rsid w:val="000700F7"/>
    <w:rsid w:val="0007369A"/>
    <w:rsid w:val="000742B7"/>
    <w:rsid w:val="000747CB"/>
    <w:rsid w:val="00081169"/>
    <w:rsid w:val="00082C5C"/>
    <w:rsid w:val="00090C01"/>
    <w:rsid w:val="00092122"/>
    <w:rsid w:val="000A1BD2"/>
    <w:rsid w:val="000B0130"/>
    <w:rsid w:val="000B01F7"/>
    <w:rsid w:val="000B16ED"/>
    <w:rsid w:val="000B1985"/>
    <w:rsid w:val="000B4175"/>
    <w:rsid w:val="000B5B3C"/>
    <w:rsid w:val="000B5FCF"/>
    <w:rsid w:val="000B6BA3"/>
    <w:rsid w:val="000B72D1"/>
    <w:rsid w:val="000C534D"/>
    <w:rsid w:val="000D3CC6"/>
    <w:rsid w:val="000D50E6"/>
    <w:rsid w:val="000D6D5D"/>
    <w:rsid w:val="000E4925"/>
    <w:rsid w:val="000E6B3F"/>
    <w:rsid w:val="000F0B9D"/>
    <w:rsid w:val="000F2880"/>
    <w:rsid w:val="000F2DDB"/>
    <w:rsid w:val="000F337B"/>
    <w:rsid w:val="000F39AB"/>
    <w:rsid w:val="001005D7"/>
    <w:rsid w:val="00101029"/>
    <w:rsid w:val="00101514"/>
    <w:rsid w:val="001026D3"/>
    <w:rsid w:val="001028F4"/>
    <w:rsid w:val="001031AF"/>
    <w:rsid w:val="00104EE1"/>
    <w:rsid w:val="00104FB1"/>
    <w:rsid w:val="00113993"/>
    <w:rsid w:val="00114FA8"/>
    <w:rsid w:val="00121486"/>
    <w:rsid w:val="00122EDB"/>
    <w:rsid w:val="00126133"/>
    <w:rsid w:val="00127559"/>
    <w:rsid w:val="00130638"/>
    <w:rsid w:val="00130C6F"/>
    <w:rsid w:val="00134914"/>
    <w:rsid w:val="00143E75"/>
    <w:rsid w:val="00145C70"/>
    <w:rsid w:val="00150509"/>
    <w:rsid w:val="0015207E"/>
    <w:rsid w:val="001521FC"/>
    <w:rsid w:val="00152AC1"/>
    <w:rsid w:val="0015426A"/>
    <w:rsid w:val="0016121F"/>
    <w:rsid w:val="00161CBF"/>
    <w:rsid w:val="00162C71"/>
    <w:rsid w:val="00164AA4"/>
    <w:rsid w:val="00165744"/>
    <w:rsid w:val="00165D78"/>
    <w:rsid w:val="00167792"/>
    <w:rsid w:val="00167A9E"/>
    <w:rsid w:val="00172892"/>
    <w:rsid w:val="00181130"/>
    <w:rsid w:val="00182CBD"/>
    <w:rsid w:val="00184F83"/>
    <w:rsid w:val="001855EF"/>
    <w:rsid w:val="001868A5"/>
    <w:rsid w:val="0018775E"/>
    <w:rsid w:val="00195C04"/>
    <w:rsid w:val="001A114B"/>
    <w:rsid w:val="001A224F"/>
    <w:rsid w:val="001A6CD8"/>
    <w:rsid w:val="001B1924"/>
    <w:rsid w:val="001B3FD3"/>
    <w:rsid w:val="001B54CB"/>
    <w:rsid w:val="001C2B53"/>
    <w:rsid w:val="001C39B7"/>
    <w:rsid w:val="001C3F84"/>
    <w:rsid w:val="001C528A"/>
    <w:rsid w:val="001D45EE"/>
    <w:rsid w:val="001D5CC8"/>
    <w:rsid w:val="001E1CFB"/>
    <w:rsid w:val="001E34A2"/>
    <w:rsid w:val="001F0A72"/>
    <w:rsid w:val="001F5EB1"/>
    <w:rsid w:val="001F6709"/>
    <w:rsid w:val="0020174E"/>
    <w:rsid w:val="002020AA"/>
    <w:rsid w:val="002034E4"/>
    <w:rsid w:val="00203E71"/>
    <w:rsid w:val="0020503B"/>
    <w:rsid w:val="00207DB6"/>
    <w:rsid w:val="00211985"/>
    <w:rsid w:val="002140D0"/>
    <w:rsid w:val="00217CFA"/>
    <w:rsid w:val="0022061D"/>
    <w:rsid w:val="00220C25"/>
    <w:rsid w:val="00227006"/>
    <w:rsid w:val="0022754D"/>
    <w:rsid w:val="002349B0"/>
    <w:rsid w:val="002377E2"/>
    <w:rsid w:val="00241C0B"/>
    <w:rsid w:val="00241FFF"/>
    <w:rsid w:val="00244E33"/>
    <w:rsid w:val="0024653F"/>
    <w:rsid w:val="002467F7"/>
    <w:rsid w:val="002469B8"/>
    <w:rsid w:val="002476F8"/>
    <w:rsid w:val="00247735"/>
    <w:rsid w:val="00247796"/>
    <w:rsid w:val="0025031C"/>
    <w:rsid w:val="0025033C"/>
    <w:rsid w:val="00250527"/>
    <w:rsid w:val="00252344"/>
    <w:rsid w:val="00252A63"/>
    <w:rsid w:val="002603B4"/>
    <w:rsid w:val="00261732"/>
    <w:rsid w:val="00263844"/>
    <w:rsid w:val="002661B0"/>
    <w:rsid w:val="00270032"/>
    <w:rsid w:val="00271AED"/>
    <w:rsid w:val="00274684"/>
    <w:rsid w:val="002823B4"/>
    <w:rsid w:val="002901FC"/>
    <w:rsid w:val="00291FCB"/>
    <w:rsid w:val="00292514"/>
    <w:rsid w:val="002937A9"/>
    <w:rsid w:val="002947AC"/>
    <w:rsid w:val="00295621"/>
    <w:rsid w:val="00295E7F"/>
    <w:rsid w:val="00296939"/>
    <w:rsid w:val="002A00C8"/>
    <w:rsid w:val="002B01D9"/>
    <w:rsid w:val="002B3AFE"/>
    <w:rsid w:val="002B4644"/>
    <w:rsid w:val="002B4B5F"/>
    <w:rsid w:val="002B4CF3"/>
    <w:rsid w:val="002B6BC9"/>
    <w:rsid w:val="002C0677"/>
    <w:rsid w:val="002C5EBC"/>
    <w:rsid w:val="002C6DAE"/>
    <w:rsid w:val="002C71C1"/>
    <w:rsid w:val="002D0B0C"/>
    <w:rsid w:val="002D6546"/>
    <w:rsid w:val="002E0338"/>
    <w:rsid w:val="002E1E38"/>
    <w:rsid w:val="002E26F4"/>
    <w:rsid w:val="002E3E6A"/>
    <w:rsid w:val="002E5181"/>
    <w:rsid w:val="002E6E0F"/>
    <w:rsid w:val="002F11D8"/>
    <w:rsid w:val="002F3731"/>
    <w:rsid w:val="002F5F3E"/>
    <w:rsid w:val="002F6EDD"/>
    <w:rsid w:val="00301870"/>
    <w:rsid w:val="0031458F"/>
    <w:rsid w:val="00320D04"/>
    <w:rsid w:val="003211E3"/>
    <w:rsid w:val="003225BA"/>
    <w:rsid w:val="003333FA"/>
    <w:rsid w:val="0033355B"/>
    <w:rsid w:val="00333756"/>
    <w:rsid w:val="00336A21"/>
    <w:rsid w:val="00340977"/>
    <w:rsid w:val="00342AF3"/>
    <w:rsid w:val="003458AD"/>
    <w:rsid w:val="00355747"/>
    <w:rsid w:val="00356EDE"/>
    <w:rsid w:val="00356F90"/>
    <w:rsid w:val="003577BB"/>
    <w:rsid w:val="00362AD5"/>
    <w:rsid w:val="0036313B"/>
    <w:rsid w:val="00366618"/>
    <w:rsid w:val="00367242"/>
    <w:rsid w:val="00367337"/>
    <w:rsid w:val="00373230"/>
    <w:rsid w:val="00374510"/>
    <w:rsid w:val="00383B9E"/>
    <w:rsid w:val="00386D67"/>
    <w:rsid w:val="003919B4"/>
    <w:rsid w:val="0039364D"/>
    <w:rsid w:val="00393C1A"/>
    <w:rsid w:val="00395BA4"/>
    <w:rsid w:val="0039634C"/>
    <w:rsid w:val="003A05C0"/>
    <w:rsid w:val="003A2F89"/>
    <w:rsid w:val="003A4350"/>
    <w:rsid w:val="003A6FE6"/>
    <w:rsid w:val="003B123C"/>
    <w:rsid w:val="003B7AD2"/>
    <w:rsid w:val="003B7E69"/>
    <w:rsid w:val="003C2EEC"/>
    <w:rsid w:val="003C699A"/>
    <w:rsid w:val="003C7420"/>
    <w:rsid w:val="003D22DE"/>
    <w:rsid w:val="003D694C"/>
    <w:rsid w:val="003D6A2D"/>
    <w:rsid w:val="003E2396"/>
    <w:rsid w:val="003E56E7"/>
    <w:rsid w:val="003F0865"/>
    <w:rsid w:val="003F209B"/>
    <w:rsid w:val="003F24EE"/>
    <w:rsid w:val="00400335"/>
    <w:rsid w:val="00403760"/>
    <w:rsid w:val="00407FB7"/>
    <w:rsid w:val="00411AB1"/>
    <w:rsid w:val="004158E4"/>
    <w:rsid w:val="00416F70"/>
    <w:rsid w:val="00417F79"/>
    <w:rsid w:val="0042494D"/>
    <w:rsid w:val="00434D0D"/>
    <w:rsid w:val="0043718F"/>
    <w:rsid w:val="00446B4A"/>
    <w:rsid w:val="0045261C"/>
    <w:rsid w:val="00452CFF"/>
    <w:rsid w:val="00456ECF"/>
    <w:rsid w:val="00457C80"/>
    <w:rsid w:val="00457EB1"/>
    <w:rsid w:val="00461DF0"/>
    <w:rsid w:val="00464A2F"/>
    <w:rsid w:val="00471298"/>
    <w:rsid w:val="0047417F"/>
    <w:rsid w:val="00476D51"/>
    <w:rsid w:val="00477685"/>
    <w:rsid w:val="00483724"/>
    <w:rsid w:val="00484DA5"/>
    <w:rsid w:val="00486BE3"/>
    <w:rsid w:val="00487342"/>
    <w:rsid w:val="00490642"/>
    <w:rsid w:val="00491595"/>
    <w:rsid w:val="00491FA7"/>
    <w:rsid w:val="00497292"/>
    <w:rsid w:val="004A0509"/>
    <w:rsid w:val="004A0938"/>
    <w:rsid w:val="004A1F21"/>
    <w:rsid w:val="004A2113"/>
    <w:rsid w:val="004A2C8F"/>
    <w:rsid w:val="004A2DF1"/>
    <w:rsid w:val="004A3D78"/>
    <w:rsid w:val="004A7DE7"/>
    <w:rsid w:val="004B0B6E"/>
    <w:rsid w:val="004B10B0"/>
    <w:rsid w:val="004B3304"/>
    <w:rsid w:val="004C0C69"/>
    <w:rsid w:val="004C1378"/>
    <w:rsid w:val="004C2A77"/>
    <w:rsid w:val="004C2FDC"/>
    <w:rsid w:val="004C4DC6"/>
    <w:rsid w:val="004C59C3"/>
    <w:rsid w:val="004D0BFF"/>
    <w:rsid w:val="004D4CEA"/>
    <w:rsid w:val="004E047C"/>
    <w:rsid w:val="004E23AD"/>
    <w:rsid w:val="004E69A5"/>
    <w:rsid w:val="004F2064"/>
    <w:rsid w:val="004F6624"/>
    <w:rsid w:val="004F6DAF"/>
    <w:rsid w:val="0051160F"/>
    <w:rsid w:val="0051429E"/>
    <w:rsid w:val="00514921"/>
    <w:rsid w:val="0051515F"/>
    <w:rsid w:val="00524837"/>
    <w:rsid w:val="005304A1"/>
    <w:rsid w:val="005318B8"/>
    <w:rsid w:val="00540197"/>
    <w:rsid w:val="005420DF"/>
    <w:rsid w:val="005446D7"/>
    <w:rsid w:val="00544941"/>
    <w:rsid w:val="00544A7C"/>
    <w:rsid w:val="00552CD7"/>
    <w:rsid w:val="0055353D"/>
    <w:rsid w:val="00554EBA"/>
    <w:rsid w:val="00556139"/>
    <w:rsid w:val="0055709B"/>
    <w:rsid w:val="00562132"/>
    <w:rsid w:val="005621E7"/>
    <w:rsid w:val="0056276E"/>
    <w:rsid w:val="00562A83"/>
    <w:rsid w:val="00563568"/>
    <w:rsid w:val="00564463"/>
    <w:rsid w:val="00565B35"/>
    <w:rsid w:val="00566BB0"/>
    <w:rsid w:val="00567EC1"/>
    <w:rsid w:val="00575261"/>
    <w:rsid w:val="0058122A"/>
    <w:rsid w:val="005812EF"/>
    <w:rsid w:val="00586506"/>
    <w:rsid w:val="005913F5"/>
    <w:rsid w:val="005A1B70"/>
    <w:rsid w:val="005A2864"/>
    <w:rsid w:val="005B0607"/>
    <w:rsid w:val="005B0DB4"/>
    <w:rsid w:val="005B2A87"/>
    <w:rsid w:val="005B4E8D"/>
    <w:rsid w:val="005B555E"/>
    <w:rsid w:val="005B6790"/>
    <w:rsid w:val="005D5312"/>
    <w:rsid w:val="005D5E49"/>
    <w:rsid w:val="005D7B47"/>
    <w:rsid w:val="005E05C9"/>
    <w:rsid w:val="005E2E18"/>
    <w:rsid w:val="005E3C2A"/>
    <w:rsid w:val="005E4DB8"/>
    <w:rsid w:val="006013DF"/>
    <w:rsid w:val="0060295A"/>
    <w:rsid w:val="00602C66"/>
    <w:rsid w:val="00604677"/>
    <w:rsid w:val="00614D03"/>
    <w:rsid w:val="00623B70"/>
    <w:rsid w:val="00624208"/>
    <w:rsid w:val="00624762"/>
    <w:rsid w:val="00625E1A"/>
    <w:rsid w:val="00630C21"/>
    <w:rsid w:val="00631FE7"/>
    <w:rsid w:val="00636067"/>
    <w:rsid w:val="006364E8"/>
    <w:rsid w:val="00636DEE"/>
    <w:rsid w:val="00637DE9"/>
    <w:rsid w:val="00640032"/>
    <w:rsid w:val="00642703"/>
    <w:rsid w:val="00643963"/>
    <w:rsid w:val="00644906"/>
    <w:rsid w:val="00647B9F"/>
    <w:rsid w:val="00650B14"/>
    <w:rsid w:val="0065123F"/>
    <w:rsid w:val="00651A1D"/>
    <w:rsid w:val="00651A5A"/>
    <w:rsid w:val="006542CD"/>
    <w:rsid w:val="00654594"/>
    <w:rsid w:val="00660C71"/>
    <w:rsid w:val="00661098"/>
    <w:rsid w:val="006616DF"/>
    <w:rsid w:val="00661C4A"/>
    <w:rsid w:val="006669BA"/>
    <w:rsid w:val="00673302"/>
    <w:rsid w:val="00673BFE"/>
    <w:rsid w:val="0067467A"/>
    <w:rsid w:val="00675930"/>
    <w:rsid w:val="00677502"/>
    <w:rsid w:val="00680BF6"/>
    <w:rsid w:val="006816DC"/>
    <w:rsid w:val="00682DC6"/>
    <w:rsid w:val="00685750"/>
    <w:rsid w:val="00686015"/>
    <w:rsid w:val="00694171"/>
    <w:rsid w:val="00694E5A"/>
    <w:rsid w:val="006A21CC"/>
    <w:rsid w:val="006A326E"/>
    <w:rsid w:val="006A3758"/>
    <w:rsid w:val="006A79DC"/>
    <w:rsid w:val="006B324E"/>
    <w:rsid w:val="006B3973"/>
    <w:rsid w:val="006B44EC"/>
    <w:rsid w:val="006B6411"/>
    <w:rsid w:val="006B69C4"/>
    <w:rsid w:val="006C1177"/>
    <w:rsid w:val="006C1A01"/>
    <w:rsid w:val="006C2A64"/>
    <w:rsid w:val="006C5C23"/>
    <w:rsid w:val="006D0136"/>
    <w:rsid w:val="006D4AED"/>
    <w:rsid w:val="006D5F68"/>
    <w:rsid w:val="006D7C6B"/>
    <w:rsid w:val="006E0A92"/>
    <w:rsid w:val="006F0F95"/>
    <w:rsid w:val="006F200F"/>
    <w:rsid w:val="006F3820"/>
    <w:rsid w:val="006F6E32"/>
    <w:rsid w:val="00700565"/>
    <w:rsid w:val="00701CD4"/>
    <w:rsid w:val="007026D5"/>
    <w:rsid w:val="00702B16"/>
    <w:rsid w:val="0070351F"/>
    <w:rsid w:val="00705684"/>
    <w:rsid w:val="007059F1"/>
    <w:rsid w:val="00706D59"/>
    <w:rsid w:val="00713970"/>
    <w:rsid w:val="007141FD"/>
    <w:rsid w:val="0071755C"/>
    <w:rsid w:val="00721EC1"/>
    <w:rsid w:val="00722A88"/>
    <w:rsid w:val="007236CF"/>
    <w:rsid w:val="00723A97"/>
    <w:rsid w:val="00723AEA"/>
    <w:rsid w:val="00724822"/>
    <w:rsid w:val="00724974"/>
    <w:rsid w:val="0073097E"/>
    <w:rsid w:val="007329D2"/>
    <w:rsid w:val="00735A88"/>
    <w:rsid w:val="00736B72"/>
    <w:rsid w:val="007410CE"/>
    <w:rsid w:val="00744E91"/>
    <w:rsid w:val="00757114"/>
    <w:rsid w:val="007613F1"/>
    <w:rsid w:val="00761BC5"/>
    <w:rsid w:val="00763386"/>
    <w:rsid w:val="007715B4"/>
    <w:rsid w:val="00772386"/>
    <w:rsid w:val="00776CB8"/>
    <w:rsid w:val="00781954"/>
    <w:rsid w:val="0078210B"/>
    <w:rsid w:val="00783E8B"/>
    <w:rsid w:val="00786D85"/>
    <w:rsid w:val="0079338C"/>
    <w:rsid w:val="00794995"/>
    <w:rsid w:val="007958C8"/>
    <w:rsid w:val="00796BB0"/>
    <w:rsid w:val="007A02EE"/>
    <w:rsid w:val="007A2D93"/>
    <w:rsid w:val="007A3547"/>
    <w:rsid w:val="007A3BE4"/>
    <w:rsid w:val="007A3CD6"/>
    <w:rsid w:val="007A4A49"/>
    <w:rsid w:val="007A5094"/>
    <w:rsid w:val="007A652D"/>
    <w:rsid w:val="007A735C"/>
    <w:rsid w:val="007A7776"/>
    <w:rsid w:val="007A7A5F"/>
    <w:rsid w:val="007B35BC"/>
    <w:rsid w:val="007B3F77"/>
    <w:rsid w:val="007B474A"/>
    <w:rsid w:val="007B53CC"/>
    <w:rsid w:val="007B6942"/>
    <w:rsid w:val="007B6EEF"/>
    <w:rsid w:val="007B7157"/>
    <w:rsid w:val="007C21BC"/>
    <w:rsid w:val="007C4974"/>
    <w:rsid w:val="007D0BB1"/>
    <w:rsid w:val="007D38D0"/>
    <w:rsid w:val="007D4479"/>
    <w:rsid w:val="007D6607"/>
    <w:rsid w:val="007D6776"/>
    <w:rsid w:val="007E31F8"/>
    <w:rsid w:val="007E489A"/>
    <w:rsid w:val="007E6377"/>
    <w:rsid w:val="007F1357"/>
    <w:rsid w:val="007F1AB9"/>
    <w:rsid w:val="007F42C7"/>
    <w:rsid w:val="007F6EAC"/>
    <w:rsid w:val="00801B08"/>
    <w:rsid w:val="0080625A"/>
    <w:rsid w:val="008101A1"/>
    <w:rsid w:val="00810521"/>
    <w:rsid w:val="00810E36"/>
    <w:rsid w:val="00810E68"/>
    <w:rsid w:val="0081580D"/>
    <w:rsid w:val="008215C5"/>
    <w:rsid w:val="008231F0"/>
    <w:rsid w:val="00824275"/>
    <w:rsid w:val="008254DE"/>
    <w:rsid w:val="008266FF"/>
    <w:rsid w:val="00826B98"/>
    <w:rsid w:val="0082713C"/>
    <w:rsid w:val="00832938"/>
    <w:rsid w:val="00832CCE"/>
    <w:rsid w:val="00836490"/>
    <w:rsid w:val="0084181D"/>
    <w:rsid w:val="008418C0"/>
    <w:rsid w:val="00845457"/>
    <w:rsid w:val="00845CAE"/>
    <w:rsid w:val="00845DB1"/>
    <w:rsid w:val="0085045D"/>
    <w:rsid w:val="008518C0"/>
    <w:rsid w:val="00851925"/>
    <w:rsid w:val="00853875"/>
    <w:rsid w:val="00855450"/>
    <w:rsid w:val="00860FE9"/>
    <w:rsid w:val="00863A3C"/>
    <w:rsid w:val="00870840"/>
    <w:rsid w:val="008712AA"/>
    <w:rsid w:val="00877A35"/>
    <w:rsid w:val="008846C1"/>
    <w:rsid w:val="00885268"/>
    <w:rsid w:val="00887CE8"/>
    <w:rsid w:val="00890E25"/>
    <w:rsid w:val="00891937"/>
    <w:rsid w:val="008927B9"/>
    <w:rsid w:val="008A083E"/>
    <w:rsid w:val="008A1176"/>
    <w:rsid w:val="008A3007"/>
    <w:rsid w:val="008A3BCC"/>
    <w:rsid w:val="008A404F"/>
    <w:rsid w:val="008A458A"/>
    <w:rsid w:val="008A73C6"/>
    <w:rsid w:val="008B1411"/>
    <w:rsid w:val="008B264E"/>
    <w:rsid w:val="008B530E"/>
    <w:rsid w:val="008B7D20"/>
    <w:rsid w:val="008B7D39"/>
    <w:rsid w:val="008C1F4E"/>
    <w:rsid w:val="008C637A"/>
    <w:rsid w:val="008D0052"/>
    <w:rsid w:val="008D1114"/>
    <w:rsid w:val="008D35CA"/>
    <w:rsid w:val="008D47E5"/>
    <w:rsid w:val="008D6C61"/>
    <w:rsid w:val="008D783D"/>
    <w:rsid w:val="008E05BC"/>
    <w:rsid w:val="008E536B"/>
    <w:rsid w:val="008E6FAE"/>
    <w:rsid w:val="008E7B4D"/>
    <w:rsid w:val="008F0953"/>
    <w:rsid w:val="008F3201"/>
    <w:rsid w:val="008F3ECA"/>
    <w:rsid w:val="008F5720"/>
    <w:rsid w:val="008F68C0"/>
    <w:rsid w:val="008F7887"/>
    <w:rsid w:val="009022C7"/>
    <w:rsid w:val="00903714"/>
    <w:rsid w:val="00903E45"/>
    <w:rsid w:val="00903EF9"/>
    <w:rsid w:val="00904F92"/>
    <w:rsid w:val="00910CD1"/>
    <w:rsid w:val="00913423"/>
    <w:rsid w:val="009144F4"/>
    <w:rsid w:val="00915640"/>
    <w:rsid w:val="00917E0F"/>
    <w:rsid w:val="0092107C"/>
    <w:rsid w:val="00921500"/>
    <w:rsid w:val="00921563"/>
    <w:rsid w:val="009243BF"/>
    <w:rsid w:val="0092671B"/>
    <w:rsid w:val="00927045"/>
    <w:rsid w:val="009316E2"/>
    <w:rsid w:val="0093186F"/>
    <w:rsid w:val="00932302"/>
    <w:rsid w:val="00933D3C"/>
    <w:rsid w:val="00934EAD"/>
    <w:rsid w:val="00936058"/>
    <w:rsid w:val="00937A85"/>
    <w:rsid w:val="00937EEB"/>
    <w:rsid w:val="00942FD5"/>
    <w:rsid w:val="009430DE"/>
    <w:rsid w:val="00943B71"/>
    <w:rsid w:val="00944CE4"/>
    <w:rsid w:val="009450A0"/>
    <w:rsid w:val="00946E5E"/>
    <w:rsid w:val="00947FB8"/>
    <w:rsid w:val="00952A54"/>
    <w:rsid w:val="00953B3F"/>
    <w:rsid w:val="00955DCE"/>
    <w:rsid w:val="00956B43"/>
    <w:rsid w:val="00960EA8"/>
    <w:rsid w:val="00971E35"/>
    <w:rsid w:val="0097392C"/>
    <w:rsid w:val="009741EA"/>
    <w:rsid w:val="009745A2"/>
    <w:rsid w:val="00980F4C"/>
    <w:rsid w:val="009814BA"/>
    <w:rsid w:val="00982C31"/>
    <w:rsid w:val="00983B78"/>
    <w:rsid w:val="009875BE"/>
    <w:rsid w:val="00991A76"/>
    <w:rsid w:val="009932ED"/>
    <w:rsid w:val="00994389"/>
    <w:rsid w:val="0099591B"/>
    <w:rsid w:val="009A1926"/>
    <w:rsid w:val="009A6C3A"/>
    <w:rsid w:val="009B12AF"/>
    <w:rsid w:val="009B1896"/>
    <w:rsid w:val="009B1F17"/>
    <w:rsid w:val="009B2E29"/>
    <w:rsid w:val="009B4312"/>
    <w:rsid w:val="009B6E2B"/>
    <w:rsid w:val="009B7173"/>
    <w:rsid w:val="009C23FE"/>
    <w:rsid w:val="009C55AF"/>
    <w:rsid w:val="009C7EB4"/>
    <w:rsid w:val="009E2EED"/>
    <w:rsid w:val="009E5574"/>
    <w:rsid w:val="009E6ABA"/>
    <w:rsid w:val="009E740B"/>
    <w:rsid w:val="009F2145"/>
    <w:rsid w:val="009F34F8"/>
    <w:rsid w:val="00A006F9"/>
    <w:rsid w:val="00A00E88"/>
    <w:rsid w:val="00A017D2"/>
    <w:rsid w:val="00A02455"/>
    <w:rsid w:val="00A109BF"/>
    <w:rsid w:val="00A10CC0"/>
    <w:rsid w:val="00A115C6"/>
    <w:rsid w:val="00A14B30"/>
    <w:rsid w:val="00A20096"/>
    <w:rsid w:val="00A20B77"/>
    <w:rsid w:val="00A214F2"/>
    <w:rsid w:val="00A226F6"/>
    <w:rsid w:val="00A23A5D"/>
    <w:rsid w:val="00A23B38"/>
    <w:rsid w:val="00A2636A"/>
    <w:rsid w:val="00A2752C"/>
    <w:rsid w:val="00A30094"/>
    <w:rsid w:val="00A315B4"/>
    <w:rsid w:val="00A376B0"/>
    <w:rsid w:val="00A4051F"/>
    <w:rsid w:val="00A41D0B"/>
    <w:rsid w:val="00A46CCF"/>
    <w:rsid w:val="00A50379"/>
    <w:rsid w:val="00A506B4"/>
    <w:rsid w:val="00A525DC"/>
    <w:rsid w:val="00A529A1"/>
    <w:rsid w:val="00A52DE7"/>
    <w:rsid w:val="00A566D6"/>
    <w:rsid w:val="00A60BCC"/>
    <w:rsid w:val="00A633A4"/>
    <w:rsid w:val="00A6360B"/>
    <w:rsid w:val="00A77F99"/>
    <w:rsid w:val="00A80702"/>
    <w:rsid w:val="00A81644"/>
    <w:rsid w:val="00A821C6"/>
    <w:rsid w:val="00A82B47"/>
    <w:rsid w:val="00A838B2"/>
    <w:rsid w:val="00A92679"/>
    <w:rsid w:val="00A929C7"/>
    <w:rsid w:val="00A93E72"/>
    <w:rsid w:val="00AA3E94"/>
    <w:rsid w:val="00AA68AC"/>
    <w:rsid w:val="00AA6C8D"/>
    <w:rsid w:val="00AA7444"/>
    <w:rsid w:val="00AA797E"/>
    <w:rsid w:val="00AA7DEB"/>
    <w:rsid w:val="00AB0147"/>
    <w:rsid w:val="00AB06D5"/>
    <w:rsid w:val="00AB3166"/>
    <w:rsid w:val="00AB433D"/>
    <w:rsid w:val="00AC089C"/>
    <w:rsid w:val="00AC1AF1"/>
    <w:rsid w:val="00AC42D3"/>
    <w:rsid w:val="00AC5EBC"/>
    <w:rsid w:val="00AC6639"/>
    <w:rsid w:val="00AD3E6A"/>
    <w:rsid w:val="00AD5344"/>
    <w:rsid w:val="00AE16AC"/>
    <w:rsid w:val="00AE19A2"/>
    <w:rsid w:val="00AE3BD9"/>
    <w:rsid w:val="00AE409D"/>
    <w:rsid w:val="00AF05CC"/>
    <w:rsid w:val="00AF2519"/>
    <w:rsid w:val="00AF2CB8"/>
    <w:rsid w:val="00AF36FA"/>
    <w:rsid w:val="00AF4758"/>
    <w:rsid w:val="00AF4FEB"/>
    <w:rsid w:val="00B00439"/>
    <w:rsid w:val="00B01BEC"/>
    <w:rsid w:val="00B03115"/>
    <w:rsid w:val="00B063BC"/>
    <w:rsid w:val="00B0748A"/>
    <w:rsid w:val="00B14106"/>
    <w:rsid w:val="00B20821"/>
    <w:rsid w:val="00B2178A"/>
    <w:rsid w:val="00B227E0"/>
    <w:rsid w:val="00B239A8"/>
    <w:rsid w:val="00B26381"/>
    <w:rsid w:val="00B268BA"/>
    <w:rsid w:val="00B32D79"/>
    <w:rsid w:val="00B3419E"/>
    <w:rsid w:val="00B352E9"/>
    <w:rsid w:val="00B37D2F"/>
    <w:rsid w:val="00B42B2E"/>
    <w:rsid w:val="00B4344D"/>
    <w:rsid w:val="00B542DF"/>
    <w:rsid w:val="00B550A7"/>
    <w:rsid w:val="00B6479E"/>
    <w:rsid w:val="00B6650F"/>
    <w:rsid w:val="00B668F3"/>
    <w:rsid w:val="00B70CB5"/>
    <w:rsid w:val="00B7339C"/>
    <w:rsid w:val="00B75557"/>
    <w:rsid w:val="00B86056"/>
    <w:rsid w:val="00B90AE3"/>
    <w:rsid w:val="00B938A5"/>
    <w:rsid w:val="00B94383"/>
    <w:rsid w:val="00B9443E"/>
    <w:rsid w:val="00BA1806"/>
    <w:rsid w:val="00BA18B3"/>
    <w:rsid w:val="00BA23B4"/>
    <w:rsid w:val="00BB2FF5"/>
    <w:rsid w:val="00BB31C3"/>
    <w:rsid w:val="00BB4837"/>
    <w:rsid w:val="00BC052F"/>
    <w:rsid w:val="00BC2279"/>
    <w:rsid w:val="00BC65CB"/>
    <w:rsid w:val="00BC6C40"/>
    <w:rsid w:val="00BD0736"/>
    <w:rsid w:val="00BD2FC2"/>
    <w:rsid w:val="00BD490D"/>
    <w:rsid w:val="00BD665F"/>
    <w:rsid w:val="00BD727B"/>
    <w:rsid w:val="00BE100C"/>
    <w:rsid w:val="00BE3860"/>
    <w:rsid w:val="00BE79A3"/>
    <w:rsid w:val="00BF1E73"/>
    <w:rsid w:val="00BF2F62"/>
    <w:rsid w:val="00BF4645"/>
    <w:rsid w:val="00BF57BD"/>
    <w:rsid w:val="00BF6D4F"/>
    <w:rsid w:val="00BF7D13"/>
    <w:rsid w:val="00C0342B"/>
    <w:rsid w:val="00C03C4F"/>
    <w:rsid w:val="00C03FAA"/>
    <w:rsid w:val="00C05C6F"/>
    <w:rsid w:val="00C05CFF"/>
    <w:rsid w:val="00C10C8D"/>
    <w:rsid w:val="00C13520"/>
    <w:rsid w:val="00C14DC3"/>
    <w:rsid w:val="00C15607"/>
    <w:rsid w:val="00C20DAE"/>
    <w:rsid w:val="00C22603"/>
    <w:rsid w:val="00C243BA"/>
    <w:rsid w:val="00C2453E"/>
    <w:rsid w:val="00C25EC8"/>
    <w:rsid w:val="00C27658"/>
    <w:rsid w:val="00C27F14"/>
    <w:rsid w:val="00C345C1"/>
    <w:rsid w:val="00C35385"/>
    <w:rsid w:val="00C45823"/>
    <w:rsid w:val="00C4692F"/>
    <w:rsid w:val="00C47005"/>
    <w:rsid w:val="00C47087"/>
    <w:rsid w:val="00C47661"/>
    <w:rsid w:val="00C51B83"/>
    <w:rsid w:val="00C57883"/>
    <w:rsid w:val="00C669D4"/>
    <w:rsid w:val="00C702E8"/>
    <w:rsid w:val="00C75975"/>
    <w:rsid w:val="00C76AFE"/>
    <w:rsid w:val="00C9069C"/>
    <w:rsid w:val="00C929AA"/>
    <w:rsid w:val="00C93CC4"/>
    <w:rsid w:val="00C94C9C"/>
    <w:rsid w:val="00C94F2F"/>
    <w:rsid w:val="00C95CC1"/>
    <w:rsid w:val="00C96802"/>
    <w:rsid w:val="00CA303A"/>
    <w:rsid w:val="00CB16A3"/>
    <w:rsid w:val="00CB4BF2"/>
    <w:rsid w:val="00CB7441"/>
    <w:rsid w:val="00CC24D7"/>
    <w:rsid w:val="00CC5DFD"/>
    <w:rsid w:val="00CC799F"/>
    <w:rsid w:val="00CC7BC2"/>
    <w:rsid w:val="00CD531E"/>
    <w:rsid w:val="00CD5BD0"/>
    <w:rsid w:val="00CD6E97"/>
    <w:rsid w:val="00CE0AB5"/>
    <w:rsid w:val="00CE3B7F"/>
    <w:rsid w:val="00CE6F2D"/>
    <w:rsid w:val="00CF19A7"/>
    <w:rsid w:val="00CF2648"/>
    <w:rsid w:val="00CF38A0"/>
    <w:rsid w:val="00CF45A0"/>
    <w:rsid w:val="00CF6188"/>
    <w:rsid w:val="00D02728"/>
    <w:rsid w:val="00D0559F"/>
    <w:rsid w:val="00D10D28"/>
    <w:rsid w:val="00D130BC"/>
    <w:rsid w:val="00D143C3"/>
    <w:rsid w:val="00D153F2"/>
    <w:rsid w:val="00D24156"/>
    <w:rsid w:val="00D24356"/>
    <w:rsid w:val="00D312A9"/>
    <w:rsid w:val="00D31AC9"/>
    <w:rsid w:val="00D333CA"/>
    <w:rsid w:val="00D35BFD"/>
    <w:rsid w:val="00D40608"/>
    <w:rsid w:val="00D40877"/>
    <w:rsid w:val="00D476E8"/>
    <w:rsid w:val="00D47AA4"/>
    <w:rsid w:val="00D5103D"/>
    <w:rsid w:val="00D525E8"/>
    <w:rsid w:val="00D52937"/>
    <w:rsid w:val="00D56913"/>
    <w:rsid w:val="00D57129"/>
    <w:rsid w:val="00D57548"/>
    <w:rsid w:val="00D6006B"/>
    <w:rsid w:val="00D61274"/>
    <w:rsid w:val="00D637DA"/>
    <w:rsid w:val="00D71687"/>
    <w:rsid w:val="00D76923"/>
    <w:rsid w:val="00D778ED"/>
    <w:rsid w:val="00D816B0"/>
    <w:rsid w:val="00D81C1B"/>
    <w:rsid w:val="00D83544"/>
    <w:rsid w:val="00D85279"/>
    <w:rsid w:val="00D870B9"/>
    <w:rsid w:val="00D96298"/>
    <w:rsid w:val="00D97A37"/>
    <w:rsid w:val="00DA134C"/>
    <w:rsid w:val="00DA576C"/>
    <w:rsid w:val="00DA6712"/>
    <w:rsid w:val="00DA6911"/>
    <w:rsid w:val="00DB1338"/>
    <w:rsid w:val="00DB1EFC"/>
    <w:rsid w:val="00DB24FC"/>
    <w:rsid w:val="00DB2A4E"/>
    <w:rsid w:val="00DB4F25"/>
    <w:rsid w:val="00DB643B"/>
    <w:rsid w:val="00DB7C8C"/>
    <w:rsid w:val="00DC2C6F"/>
    <w:rsid w:val="00DC46AB"/>
    <w:rsid w:val="00DC6179"/>
    <w:rsid w:val="00DC72C0"/>
    <w:rsid w:val="00DD11AF"/>
    <w:rsid w:val="00DD4FB2"/>
    <w:rsid w:val="00DD5BAA"/>
    <w:rsid w:val="00DE1C3E"/>
    <w:rsid w:val="00DE2229"/>
    <w:rsid w:val="00DE2D8B"/>
    <w:rsid w:val="00DE5843"/>
    <w:rsid w:val="00DE6936"/>
    <w:rsid w:val="00DE70BC"/>
    <w:rsid w:val="00DE7F59"/>
    <w:rsid w:val="00DF0169"/>
    <w:rsid w:val="00DF17E2"/>
    <w:rsid w:val="00DF3CB1"/>
    <w:rsid w:val="00DF4312"/>
    <w:rsid w:val="00DF50B5"/>
    <w:rsid w:val="00DF591C"/>
    <w:rsid w:val="00E01D55"/>
    <w:rsid w:val="00E04B39"/>
    <w:rsid w:val="00E0654D"/>
    <w:rsid w:val="00E10CAD"/>
    <w:rsid w:val="00E17CCA"/>
    <w:rsid w:val="00E25167"/>
    <w:rsid w:val="00E25FE6"/>
    <w:rsid w:val="00E33432"/>
    <w:rsid w:val="00E339D6"/>
    <w:rsid w:val="00E342A3"/>
    <w:rsid w:val="00E36B39"/>
    <w:rsid w:val="00E37609"/>
    <w:rsid w:val="00E51DC9"/>
    <w:rsid w:val="00E52141"/>
    <w:rsid w:val="00E52384"/>
    <w:rsid w:val="00E56EDA"/>
    <w:rsid w:val="00E60510"/>
    <w:rsid w:val="00E61266"/>
    <w:rsid w:val="00E634B0"/>
    <w:rsid w:val="00E642C5"/>
    <w:rsid w:val="00E723B1"/>
    <w:rsid w:val="00E72B38"/>
    <w:rsid w:val="00E769C5"/>
    <w:rsid w:val="00E76C05"/>
    <w:rsid w:val="00E76DE0"/>
    <w:rsid w:val="00E776C5"/>
    <w:rsid w:val="00E81755"/>
    <w:rsid w:val="00E82975"/>
    <w:rsid w:val="00E83956"/>
    <w:rsid w:val="00E86D20"/>
    <w:rsid w:val="00E87976"/>
    <w:rsid w:val="00E96881"/>
    <w:rsid w:val="00EA0806"/>
    <w:rsid w:val="00EA0E0F"/>
    <w:rsid w:val="00EA27B9"/>
    <w:rsid w:val="00EA2B4F"/>
    <w:rsid w:val="00EB3BDC"/>
    <w:rsid w:val="00EB3DC1"/>
    <w:rsid w:val="00EB502D"/>
    <w:rsid w:val="00EB531D"/>
    <w:rsid w:val="00EB6F52"/>
    <w:rsid w:val="00EC104A"/>
    <w:rsid w:val="00EC7869"/>
    <w:rsid w:val="00ED2A2E"/>
    <w:rsid w:val="00ED7740"/>
    <w:rsid w:val="00ED798E"/>
    <w:rsid w:val="00EE05E6"/>
    <w:rsid w:val="00EE553A"/>
    <w:rsid w:val="00EE5FBC"/>
    <w:rsid w:val="00EE784E"/>
    <w:rsid w:val="00EF0EFA"/>
    <w:rsid w:val="00EF4B2E"/>
    <w:rsid w:val="00EF6437"/>
    <w:rsid w:val="00EF734E"/>
    <w:rsid w:val="00F11164"/>
    <w:rsid w:val="00F1609C"/>
    <w:rsid w:val="00F16F54"/>
    <w:rsid w:val="00F20B4F"/>
    <w:rsid w:val="00F217F3"/>
    <w:rsid w:val="00F23DFD"/>
    <w:rsid w:val="00F25F1B"/>
    <w:rsid w:val="00F26FAC"/>
    <w:rsid w:val="00F31394"/>
    <w:rsid w:val="00F33A0E"/>
    <w:rsid w:val="00F33B1E"/>
    <w:rsid w:val="00F350B8"/>
    <w:rsid w:val="00F352D3"/>
    <w:rsid w:val="00F36C8F"/>
    <w:rsid w:val="00F37695"/>
    <w:rsid w:val="00F47692"/>
    <w:rsid w:val="00F54EBC"/>
    <w:rsid w:val="00F7230E"/>
    <w:rsid w:val="00F81278"/>
    <w:rsid w:val="00F842F7"/>
    <w:rsid w:val="00F843D1"/>
    <w:rsid w:val="00F865B0"/>
    <w:rsid w:val="00F92A74"/>
    <w:rsid w:val="00F94C9B"/>
    <w:rsid w:val="00FA0835"/>
    <w:rsid w:val="00FA6080"/>
    <w:rsid w:val="00FA790F"/>
    <w:rsid w:val="00FB047E"/>
    <w:rsid w:val="00FB054B"/>
    <w:rsid w:val="00FB127E"/>
    <w:rsid w:val="00FB1924"/>
    <w:rsid w:val="00FC3CA2"/>
    <w:rsid w:val="00FC3DC9"/>
    <w:rsid w:val="00FC46C1"/>
    <w:rsid w:val="00FC49F1"/>
    <w:rsid w:val="00FC4B3F"/>
    <w:rsid w:val="00FC518C"/>
    <w:rsid w:val="00FC71CF"/>
    <w:rsid w:val="00FC72A1"/>
    <w:rsid w:val="00FD126C"/>
    <w:rsid w:val="00FE2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A5"/>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4E69A5"/>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4E69A5"/>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4E69A5"/>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4E69A5"/>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4E69A5"/>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4E69A5"/>
    <w:pPr>
      <w:keepNext/>
      <w:spacing w:after="120"/>
      <w:outlineLvl w:val="5"/>
    </w:pPr>
    <w:rPr>
      <w:bCs/>
      <w:szCs w:val="22"/>
    </w:rPr>
  </w:style>
  <w:style w:type="paragraph" w:styleId="Heading7">
    <w:name w:val="heading 7"/>
    <w:basedOn w:val="Heading2"/>
    <w:next w:val="Normal"/>
    <w:link w:val="Heading7Char"/>
    <w:uiPriority w:val="99"/>
    <w:qFormat/>
    <w:rsid w:val="004E69A5"/>
    <w:pPr>
      <w:jc w:val="right"/>
      <w:outlineLvl w:val="6"/>
    </w:pPr>
  </w:style>
  <w:style w:type="paragraph" w:styleId="Heading8">
    <w:name w:val="heading 8"/>
    <w:basedOn w:val="HeadingBase"/>
    <w:next w:val="Normal"/>
    <w:link w:val="Heading8Char"/>
    <w:uiPriority w:val="99"/>
    <w:qFormat/>
    <w:rsid w:val="004E69A5"/>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4E69A5"/>
    <w:pPr>
      <w:keepNext/>
      <w:spacing w:before="170" w:after="113" w:line="320" w:lineRule="exact"/>
      <w:jc w:val="right"/>
      <w:outlineLvl w:val="8"/>
    </w:pPr>
    <w:rPr>
      <w:rFonts w:cs="Arial"/>
      <w:b/>
      <w:sz w:val="28"/>
      <w:szCs w:val="22"/>
    </w:rPr>
  </w:style>
  <w:style w:type="character" w:default="1" w:styleId="DefaultParagraphFont">
    <w:name w:val="Default Paragraph Font"/>
    <w:link w:val="CharChar1Char"/>
    <w:uiPriority w:val="99"/>
    <w:locked/>
    <w:rsid w:val="004E69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4E69A5"/>
    <w:pPr>
      <w:spacing w:after="0"/>
    </w:pPr>
  </w:style>
  <w:style w:type="character" w:styleId="Hyperlink">
    <w:name w:val="Hyperlink"/>
    <w:basedOn w:val="DefaultParagraphFont"/>
    <w:uiPriority w:val="99"/>
    <w:rsid w:val="004E69A5"/>
    <w:rPr>
      <w:rFonts w:cs="Times New Roman"/>
      <w:color w:val="000000"/>
      <w:u w:val="none"/>
    </w:rPr>
  </w:style>
  <w:style w:type="character" w:styleId="FootnoteReference">
    <w:name w:val="footnote reference"/>
    <w:basedOn w:val="DefaultParagraphFont"/>
    <w:uiPriority w:val="99"/>
    <w:rsid w:val="004E69A5"/>
    <w:rPr>
      <w:rFonts w:cs="Times New Roman"/>
      <w:vertAlign w:val="superscript"/>
    </w:rPr>
  </w:style>
  <w:style w:type="paragraph" w:styleId="BalloonText">
    <w:name w:val="Balloon Text"/>
    <w:basedOn w:val="Normal"/>
    <w:link w:val="BalloonTextChar"/>
    <w:uiPriority w:val="99"/>
    <w:rsid w:val="004E69A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4E69A5"/>
    <w:rPr>
      <w:rFonts w:ascii="Times" w:hAnsi="Times" w:cs="Times New Roman"/>
      <w:color w:val="2B7C32"/>
      <w:sz w:val="18"/>
      <w:szCs w:val="18"/>
    </w:rPr>
  </w:style>
  <w:style w:type="paragraph" w:styleId="FootnoteText">
    <w:name w:val="footnote text"/>
    <w:basedOn w:val="Normal"/>
    <w:link w:val="FootnoteTextChar"/>
    <w:uiPriority w:val="99"/>
    <w:rsid w:val="004E69A5"/>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sid w:val="00DD4FB2"/>
    <w:rPr>
      <w:rFonts w:ascii="Book Antiqua" w:hAnsi="Book Antiqua" w:cs="Times New Roman"/>
      <w:color w:val="000000"/>
      <w:sz w:val="18"/>
      <w:lang w:val="en-AU" w:eastAsia="en-AU" w:bidi="ar-SA"/>
    </w:rPr>
  </w:style>
  <w:style w:type="paragraph" w:customStyle="1" w:styleId="Bullet">
    <w:name w:val="Bullet"/>
    <w:basedOn w:val="Normal"/>
    <w:uiPriority w:val="99"/>
    <w:rsid w:val="004E69A5"/>
    <w:pPr>
      <w:numPr>
        <w:numId w:val="1"/>
      </w:numPr>
      <w:ind w:left="284" w:hanging="284"/>
    </w:pPr>
  </w:style>
  <w:style w:type="paragraph" w:customStyle="1" w:styleId="DashChar">
    <w:name w:val="Dash Char"/>
    <w:basedOn w:val="Normal"/>
    <w:link w:val="DashCharChar"/>
    <w:uiPriority w:val="99"/>
    <w:pPr>
      <w:numPr>
        <w:ilvl w:val="1"/>
        <w:numId w:val="1"/>
      </w:numPr>
      <w:ind w:left="568"/>
    </w:pPr>
  </w:style>
  <w:style w:type="paragraph" w:customStyle="1" w:styleId="DoubleDot">
    <w:name w:val="Double Dot"/>
    <w:basedOn w:val="Normal"/>
    <w:uiPriority w:val="99"/>
    <w:rsid w:val="004E69A5"/>
    <w:pPr>
      <w:numPr>
        <w:ilvl w:val="2"/>
        <w:numId w:val="1"/>
      </w:numPr>
    </w:pPr>
  </w:style>
  <w:style w:type="paragraph" w:customStyle="1" w:styleId="OutlineNumbered1">
    <w:name w:val="Outline Numbered 1"/>
    <w:basedOn w:val="Normal"/>
    <w:uiPriority w:val="99"/>
    <w:rsid w:val="004E69A5"/>
    <w:pPr>
      <w:numPr>
        <w:numId w:val="2"/>
      </w:numPr>
    </w:pPr>
  </w:style>
  <w:style w:type="paragraph" w:customStyle="1" w:styleId="OutlineNumbered2">
    <w:name w:val="Outline Numbered 2"/>
    <w:basedOn w:val="Normal"/>
    <w:uiPriority w:val="99"/>
    <w:rsid w:val="004E69A5"/>
    <w:pPr>
      <w:numPr>
        <w:ilvl w:val="1"/>
        <w:numId w:val="2"/>
      </w:numPr>
    </w:pPr>
  </w:style>
  <w:style w:type="paragraph" w:customStyle="1" w:styleId="OutlineNumbered3">
    <w:name w:val="Outline Numbered 3"/>
    <w:basedOn w:val="Normal"/>
    <w:uiPriority w:val="99"/>
    <w:rsid w:val="004E69A5"/>
    <w:pPr>
      <w:numPr>
        <w:ilvl w:val="2"/>
        <w:numId w:val="2"/>
      </w:numPr>
    </w:pPr>
  </w:style>
  <w:style w:type="paragraph" w:customStyle="1" w:styleId="AlphaParagraph">
    <w:name w:val="Alpha Paragraph"/>
    <w:basedOn w:val="Normal"/>
    <w:uiPriority w:val="99"/>
    <w:rsid w:val="004E69A5"/>
    <w:pPr>
      <w:numPr>
        <w:numId w:val="3"/>
      </w:numPr>
    </w:pPr>
  </w:style>
  <w:style w:type="paragraph" w:customStyle="1" w:styleId="HeadingBase">
    <w:name w:val="Heading Base"/>
    <w:next w:val="Normal"/>
    <w:uiPriority w:val="99"/>
    <w:rsid w:val="004E69A5"/>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4E69A5"/>
    <w:pPr>
      <w:spacing w:before="720" w:after="360"/>
    </w:pPr>
    <w:rPr>
      <w:rFonts w:ascii="Arial Bold" w:hAnsi="Arial Bold"/>
      <w:b/>
      <w:smallCaps/>
      <w:sz w:val="36"/>
      <w:szCs w:val="36"/>
    </w:rPr>
  </w:style>
  <w:style w:type="character" w:customStyle="1" w:styleId="Bold">
    <w:name w:val="Bold"/>
    <w:basedOn w:val="DefaultParagraphFont"/>
    <w:uiPriority w:val="99"/>
    <w:rsid w:val="004E69A5"/>
    <w:rPr>
      <w:rFonts w:cs="Times New Roman"/>
      <w:b/>
    </w:rPr>
  </w:style>
  <w:style w:type="paragraph" w:customStyle="1" w:styleId="BoxHeading">
    <w:name w:val="Box Heading"/>
    <w:basedOn w:val="HeadingBase"/>
    <w:next w:val="BoxText"/>
    <w:uiPriority w:val="99"/>
    <w:rsid w:val="004E69A5"/>
    <w:pPr>
      <w:spacing w:before="120" w:after="120"/>
    </w:pPr>
    <w:rPr>
      <w:b/>
      <w:sz w:val="22"/>
    </w:rPr>
  </w:style>
  <w:style w:type="paragraph" w:customStyle="1" w:styleId="BoxTextBase">
    <w:name w:val="Box Text Base"/>
    <w:basedOn w:val="Normal"/>
    <w:uiPriority w:val="99"/>
    <w:rsid w:val="004E69A5"/>
    <w:pPr>
      <w:spacing w:before="120" w:after="120" w:line="240" w:lineRule="auto"/>
    </w:pPr>
  </w:style>
  <w:style w:type="paragraph" w:customStyle="1" w:styleId="ChartandTableFootnoteAlpha">
    <w:name w:val="Chart and Table Footnote Alpha"/>
    <w:uiPriority w:val="99"/>
    <w:rsid w:val="004E69A5"/>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4E69A5"/>
    <w:pPr>
      <w:jc w:val="center"/>
    </w:pPr>
  </w:style>
  <w:style w:type="paragraph" w:customStyle="1" w:styleId="ChartMainHeading">
    <w:name w:val="Chart Main Heading"/>
    <w:basedOn w:val="HeadingBase"/>
    <w:next w:val="ChartGraphic"/>
    <w:uiPriority w:val="99"/>
    <w:rsid w:val="004E69A5"/>
    <w:pPr>
      <w:keepNext/>
      <w:spacing w:before="170" w:after="113"/>
      <w:jc w:val="center"/>
    </w:pPr>
    <w:rPr>
      <w:b/>
      <w:sz w:val="22"/>
    </w:rPr>
  </w:style>
  <w:style w:type="paragraph" w:customStyle="1" w:styleId="ChartorTableNote">
    <w:name w:val="Chart or Table Note"/>
    <w:next w:val="Normal"/>
    <w:uiPriority w:val="99"/>
    <w:rsid w:val="004E69A5"/>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4E69A5"/>
    <w:pPr>
      <w:keepNext/>
      <w:spacing w:after="20"/>
      <w:jc w:val="center"/>
    </w:pPr>
  </w:style>
  <w:style w:type="paragraph" w:customStyle="1" w:styleId="Classification">
    <w:name w:val="Classification"/>
    <w:basedOn w:val="HeadingBase"/>
    <w:next w:val="Footer"/>
    <w:uiPriority w:val="99"/>
    <w:rsid w:val="004E69A5"/>
    <w:pPr>
      <w:spacing w:after="120"/>
      <w:jc w:val="center"/>
    </w:pPr>
    <w:rPr>
      <w:b/>
      <w:smallCaps/>
    </w:rPr>
  </w:style>
  <w:style w:type="paragraph" w:styleId="Footer">
    <w:name w:val="footer"/>
    <w:basedOn w:val="HeadingBase"/>
    <w:link w:val="FooterChar"/>
    <w:uiPriority w:val="99"/>
    <w:rsid w:val="004E69A5"/>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4E69A5"/>
    <w:pPr>
      <w:spacing w:after="360"/>
    </w:pPr>
    <w:rPr>
      <w:smallCaps/>
      <w:sz w:val="36"/>
      <w:szCs w:val="36"/>
    </w:rPr>
  </w:style>
  <w:style w:type="paragraph" w:customStyle="1" w:styleId="CoverTitleMain">
    <w:name w:val="Cover Title Main"/>
    <w:basedOn w:val="HeadingBase"/>
    <w:next w:val="Normal"/>
    <w:uiPriority w:val="99"/>
    <w:rsid w:val="004E69A5"/>
    <w:pPr>
      <w:spacing w:after="360"/>
      <w:jc w:val="right"/>
    </w:pPr>
    <w:rPr>
      <w:b/>
      <w:sz w:val="44"/>
    </w:rPr>
  </w:style>
  <w:style w:type="paragraph" w:customStyle="1" w:styleId="CoverTitleSub">
    <w:name w:val="Cover Title Sub"/>
    <w:basedOn w:val="HeadingBase"/>
    <w:uiPriority w:val="99"/>
    <w:rsid w:val="004E69A5"/>
    <w:pPr>
      <w:spacing w:after="360"/>
      <w:jc w:val="center"/>
    </w:pPr>
    <w:rPr>
      <w:sz w:val="36"/>
    </w:rPr>
  </w:style>
  <w:style w:type="paragraph" w:customStyle="1" w:styleId="FooterCentered">
    <w:name w:val="Footer Centered"/>
    <w:basedOn w:val="Footer"/>
    <w:uiPriority w:val="99"/>
    <w:rsid w:val="004E69A5"/>
    <w:pPr>
      <w:jc w:val="center"/>
    </w:pPr>
  </w:style>
  <w:style w:type="paragraph" w:customStyle="1" w:styleId="FooterEven">
    <w:name w:val="Footer Even"/>
    <w:basedOn w:val="Footer"/>
    <w:uiPriority w:val="99"/>
    <w:rsid w:val="004E69A5"/>
  </w:style>
  <w:style w:type="paragraph" w:customStyle="1" w:styleId="FooterOdd">
    <w:name w:val="Footer Odd"/>
    <w:basedOn w:val="Footer"/>
    <w:uiPriority w:val="99"/>
    <w:rsid w:val="004E69A5"/>
    <w:pPr>
      <w:jc w:val="right"/>
    </w:pPr>
  </w:style>
  <w:style w:type="character" w:customStyle="1" w:styleId="FramedFooter">
    <w:name w:val="Framed Footer"/>
    <w:uiPriority w:val="99"/>
    <w:rsid w:val="004E69A5"/>
    <w:rPr>
      <w:rFonts w:ascii="Arial" w:hAnsi="Arial"/>
      <w:color w:val="2B7C32"/>
      <w:sz w:val="18"/>
    </w:rPr>
  </w:style>
  <w:style w:type="character" w:customStyle="1" w:styleId="FramedHeader">
    <w:name w:val="Framed Header"/>
    <w:basedOn w:val="DefaultParagraphFont"/>
    <w:uiPriority w:val="99"/>
    <w:rsid w:val="004E69A5"/>
    <w:rPr>
      <w:rFonts w:ascii="Arial" w:hAnsi="Arial" w:cs="Times New Roman"/>
      <w:color w:val="2B7C32"/>
      <w:sz w:val="18"/>
      <w:szCs w:val="18"/>
      <w:vertAlign w:val="baseline"/>
    </w:rPr>
  </w:style>
  <w:style w:type="paragraph" w:styleId="Header">
    <w:name w:val="header"/>
    <w:basedOn w:val="HeadingBase"/>
    <w:link w:val="HeaderChar"/>
    <w:uiPriority w:val="99"/>
    <w:rsid w:val="004E69A5"/>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4E69A5"/>
  </w:style>
  <w:style w:type="paragraph" w:customStyle="1" w:styleId="HeaderOdd">
    <w:name w:val="Header Odd"/>
    <w:basedOn w:val="Header"/>
    <w:uiPriority w:val="99"/>
    <w:rsid w:val="004E69A5"/>
    <w:pPr>
      <w:jc w:val="right"/>
    </w:pPr>
  </w:style>
  <w:style w:type="paragraph" w:styleId="NormalIndent">
    <w:name w:val="Normal Indent"/>
    <w:basedOn w:val="Normal"/>
    <w:uiPriority w:val="99"/>
    <w:rsid w:val="004E69A5"/>
    <w:pPr>
      <w:ind w:left="567"/>
    </w:pPr>
  </w:style>
  <w:style w:type="paragraph" w:customStyle="1" w:styleId="RecommendationHeading">
    <w:name w:val="Recommendation Heading"/>
    <w:basedOn w:val="HeadingBase"/>
    <w:next w:val="RecommendationText"/>
    <w:uiPriority w:val="99"/>
    <w:rsid w:val="004E69A5"/>
    <w:pPr>
      <w:spacing w:after="240"/>
    </w:pPr>
    <w:rPr>
      <w:b/>
      <w:sz w:val="22"/>
    </w:rPr>
  </w:style>
  <w:style w:type="paragraph" w:customStyle="1" w:styleId="RecommendationBaseText">
    <w:name w:val="Recommendation Base Text"/>
    <w:basedOn w:val="Normal"/>
    <w:uiPriority w:val="99"/>
    <w:rsid w:val="004E69A5"/>
  </w:style>
  <w:style w:type="paragraph" w:customStyle="1" w:styleId="RecommendationText">
    <w:name w:val="Recommendation Text"/>
    <w:basedOn w:val="RecommendationBaseText"/>
    <w:uiPriority w:val="99"/>
    <w:rsid w:val="004E69A5"/>
  </w:style>
  <w:style w:type="paragraph" w:customStyle="1" w:styleId="TableTextBase">
    <w:name w:val="Table Text Base"/>
    <w:uiPriority w:val="99"/>
    <w:rsid w:val="004E69A5"/>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4E69A5"/>
    <w:pPr>
      <w:jc w:val="center"/>
    </w:pPr>
    <w:rPr>
      <w:b/>
    </w:rPr>
  </w:style>
  <w:style w:type="paragraph" w:customStyle="1" w:styleId="TableColumnHeadingLeft">
    <w:name w:val="Table Column Heading Left"/>
    <w:basedOn w:val="TableTextBase"/>
    <w:uiPriority w:val="99"/>
    <w:rsid w:val="004E69A5"/>
    <w:rPr>
      <w:b/>
    </w:rPr>
  </w:style>
  <w:style w:type="paragraph" w:customStyle="1" w:styleId="TableColumnHeadingRight">
    <w:name w:val="Table Column Heading Right"/>
    <w:basedOn w:val="TableTextBase"/>
    <w:uiPriority w:val="99"/>
    <w:rsid w:val="004E69A5"/>
    <w:pPr>
      <w:jc w:val="right"/>
    </w:pPr>
    <w:rPr>
      <w:b/>
    </w:rPr>
  </w:style>
  <w:style w:type="paragraph" w:customStyle="1" w:styleId="TableGraphic">
    <w:name w:val="Table Graphic"/>
    <w:basedOn w:val="HeadingBase"/>
    <w:next w:val="Normal"/>
    <w:uiPriority w:val="99"/>
    <w:rsid w:val="004E69A5"/>
    <w:pPr>
      <w:spacing w:after="20"/>
      <w:ind w:right="-113"/>
    </w:pPr>
    <w:rPr>
      <w:rFonts w:ascii="Helvetica" w:hAnsi="Helvetica"/>
    </w:rPr>
  </w:style>
  <w:style w:type="paragraph" w:customStyle="1" w:styleId="TableMainHeading">
    <w:name w:val="Table Main Heading"/>
    <w:basedOn w:val="HeadingBase"/>
    <w:next w:val="TableGraphic"/>
    <w:uiPriority w:val="99"/>
    <w:rsid w:val="004E69A5"/>
    <w:pPr>
      <w:keepNext/>
      <w:spacing w:before="170" w:after="113"/>
    </w:pPr>
    <w:rPr>
      <w:b/>
      <w:sz w:val="22"/>
    </w:rPr>
  </w:style>
  <w:style w:type="paragraph" w:customStyle="1" w:styleId="TableMainHeadingContd">
    <w:name w:val="Table Main Heading Contd"/>
    <w:basedOn w:val="HeadingBase"/>
    <w:next w:val="TableGraphic"/>
    <w:uiPriority w:val="99"/>
    <w:rsid w:val="004E69A5"/>
    <w:pPr>
      <w:keepNext/>
      <w:spacing w:after="20"/>
    </w:pPr>
    <w:rPr>
      <w:b/>
      <w:sz w:val="22"/>
    </w:rPr>
  </w:style>
  <w:style w:type="paragraph" w:customStyle="1" w:styleId="TableSecondHeading">
    <w:name w:val="Table Second Heading"/>
    <w:basedOn w:val="HeadingBase"/>
    <w:next w:val="TableGraphic"/>
    <w:uiPriority w:val="99"/>
    <w:rsid w:val="004E69A5"/>
    <w:pPr>
      <w:keepNext/>
      <w:spacing w:after="20"/>
    </w:pPr>
  </w:style>
  <w:style w:type="paragraph" w:customStyle="1" w:styleId="TableTextCentered">
    <w:name w:val="Table Text Centered"/>
    <w:basedOn w:val="TableTextBase"/>
    <w:uiPriority w:val="99"/>
    <w:rsid w:val="004E69A5"/>
    <w:pPr>
      <w:jc w:val="center"/>
    </w:pPr>
  </w:style>
  <w:style w:type="paragraph" w:customStyle="1" w:styleId="TableTextIndented">
    <w:name w:val="Table Text Indented"/>
    <w:basedOn w:val="TableTextBase"/>
    <w:uiPriority w:val="99"/>
    <w:rsid w:val="004E69A5"/>
    <w:pPr>
      <w:ind w:left="284"/>
    </w:pPr>
  </w:style>
  <w:style w:type="paragraph" w:customStyle="1" w:styleId="TableTextLeft">
    <w:name w:val="Table Text Left"/>
    <w:basedOn w:val="TableTextBase"/>
    <w:uiPriority w:val="99"/>
    <w:rsid w:val="004E69A5"/>
  </w:style>
  <w:style w:type="paragraph" w:customStyle="1" w:styleId="TableTextRight">
    <w:name w:val="Table Text Right"/>
    <w:basedOn w:val="TableTextBase"/>
    <w:uiPriority w:val="99"/>
    <w:rsid w:val="004E69A5"/>
    <w:pPr>
      <w:jc w:val="right"/>
    </w:pPr>
  </w:style>
  <w:style w:type="paragraph" w:styleId="TOC1">
    <w:name w:val="toc 1"/>
    <w:basedOn w:val="HeadingBase"/>
    <w:next w:val="Normal"/>
    <w:uiPriority w:val="99"/>
    <w:rsid w:val="004E69A5"/>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4E69A5"/>
    <w:pPr>
      <w:tabs>
        <w:tab w:val="left" w:pos="1247"/>
        <w:tab w:val="right" w:leader="dot" w:pos="7700"/>
      </w:tabs>
      <w:spacing w:after="0"/>
      <w:ind w:right="851"/>
    </w:pPr>
    <w:rPr>
      <w:noProof/>
    </w:rPr>
  </w:style>
  <w:style w:type="paragraph" w:styleId="TOC3">
    <w:name w:val="toc 3"/>
    <w:basedOn w:val="Normal"/>
    <w:next w:val="Normal"/>
    <w:uiPriority w:val="99"/>
    <w:rsid w:val="004E69A5"/>
    <w:pPr>
      <w:tabs>
        <w:tab w:val="right" w:leader="dot" w:pos="7700"/>
      </w:tabs>
      <w:spacing w:after="0" w:line="240" w:lineRule="auto"/>
      <w:ind w:left="284" w:right="851"/>
    </w:pPr>
    <w:rPr>
      <w:noProof/>
    </w:rPr>
  </w:style>
  <w:style w:type="paragraph" w:styleId="TOC4">
    <w:name w:val="toc 4"/>
    <w:basedOn w:val="Normal"/>
    <w:next w:val="Normal"/>
    <w:uiPriority w:val="99"/>
    <w:rsid w:val="004E69A5"/>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4E69A5"/>
    <w:rPr>
      <w:rFonts w:cs="Times New Roman"/>
      <w:i/>
    </w:rPr>
  </w:style>
  <w:style w:type="paragraph" w:customStyle="1" w:styleId="OneLevelNumberedParagraph">
    <w:name w:val="One Level Numbered Paragraph"/>
    <w:basedOn w:val="Normal"/>
    <w:uiPriority w:val="99"/>
    <w:rsid w:val="004E69A5"/>
    <w:pPr>
      <w:numPr>
        <w:numId w:val="10"/>
      </w:numPr>
    </w:pPr>
  </w:style>
  <w:style w:type="paragraph" w:customStyle="1" w:styleId="BoxText">
    <w:name w:val="Box Text"/>
    <w:basedOn w:val="BoxTextBase"/>
    <w:uiPriority w:val="99"/>
    <w:rsid w:val="004E69A5"/>
  </w:style>
  <w:style w:type="paragraph" w:customStyle="1" w:styleId="BoxBullet">
    <w:name w:val="Box Bullet"/>
    <w:basedOn w:val="BoxTextBase"/>
    <w:uiPriority w:val="99"/>
    <w:rsid w:val="004E69A5"/>
    <w:pPr>
      <w:numPr>
        <w:numId w:val="9"/>
      </w:numPr>
    </w:pPr>
  </w:style>
  <w:style w:type="paragraph" w:customStyle="1" w:styleId="BoxDash">
    <w:name w:val="Box Dash"/>
    <w:basedOn w:val="Normal"/>
    <w:uiPriority w:val="99"/>
    <w:rsid w:val="004E69A5"/>
    <w:pPr>
      <w:numPr>
        <w:ilvl w:val="1"/>
        <w:numId w:val="9"/>
      </w:numPr>
    </w:pPr>
  </w:style>
  <w:style w:type="paragraph" w:customStyle="1" w:styleId="BoxDoubleDot">
    <w:name w:val="Box Double Dot"/>
    <w:basedOn w:val="BoxTextBase"/>
    <w:uiPriority w:val="99"/>
    <w:rsid w:val="004E69A5"/>
    <w:pPr>
      <w:numPr>
        <w:ilvl w:val="2"/>
        <w:numId w:val="9"/>
      </w:numPr>
    </w:pPr>
  </w:style>
  <w:style w:type="paragraph" w:customStyle="1" w:styleId="RecommendationBullet">
    <w:name w:val="Recommendation Bullet"/>
    <w:basedOn w:val="RecommendationBaseText"/>
    <w:uiPriority w:val="99"/>
    <w:rsid w:val="004E69A5"/>
    <w:pPr>
      <w:numPr>
        <w:numId w:val="11"/>
      </w:numPr>
    </w:pPr>
  </w:style>
  <w:style w:type="paragraph" w:customStyle="1" w:styleId="RecommendationDash">
    <w:name w:val="Recommendation Dash"/>
    <w:basedOn w:val="RecommendationBaseText"/>
    <w:uiPriority w:val="99"/>
    <w:rsid w:val="004E69A5"/>
    <w:pPr>
      <w:numPr>
        <w:ilvl w:val="1"/>
        <w:numId w:val="11"/>
      </w:numPr>
    </w:pPr>
  </w:style>
  <w:style w:type="paragraph" w:customStyle="1" w:styleId="RecommendationDoubleDot">
    <w:name w:val="Recommendation Double Dot"/>
    <w:basedOn w:val="RecommendationBaseText"/>
    <w:uiPriority w:val="99"/>
    <w:rsid w:val="004E69A5"/>
    <w:pPr>
      <w:numPr>
        <w:ilvl w:val="2"/>
        <w:numId w:val="11"/>
      </w:numPr>
    </w:pPr>
  </w:style>
  <w:style w:type="character" w:customStyle="1" w:styleId="Boldanditalic">
    <w:name w:val="Bold and italic"/>
    <w:basedOn w:val="DefaultParagraphFont"/>
    <w:uiPriority w:val="99"/>
    <w:rsid w:val="004E69A5"/>
    <w:rPr>
      <w:rFonts w:cs="Times New Roman"/>
      <w:b/>
      <w:i/>
    </w:rPr>
  </w:style>
  <w:style w:type="paragraph" w:styleId="Caption">
    <w:name w:val="caption"/>
    <w:basedOn w:val="Normal"/>
    <w:next w:val="Normal"/>
    <w:uiPriority w:val="99"/>
    <w:qFormat/>
    <w:rsid w:val="004E69A5"/>
    <w:pPr>
      <w:spacing w:before="120" w:after="120"/>
    </w:pPr>
    <w:rPr>
      <w:b/>
      <w:bCs/>
    </w:rPr>
  </w:style>
  <w:style w:type="character" w:styleId="CommentReference">
    <w:name w:val="annotation reference"/>
    <w:basedOn w:val="DefaultParagraphFont"/>
    <w:uiPriority w:val="99"/>
    <w:rsid w:val="004E69A5"/>
    <w:rPr>
      <w:rFonts w:cs="Times New Roman"/>
      <w:sz w:val="16"/>
      <w:szCs w:val="16"/>
    </w:rPr>
  </w:style>
  <w:style w:type="paragraph" w:styleId="CommentText">
    <w:name w:val="annotation text"/>
    <w:basedOn w:val="Normal"/>
    <w:link w:val="CommentTextChar"/>
    <w:uiPriority w:val="99"/>
    <w:rsid w:val="004E69A5"/>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4E69A5"/>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4E69A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4E69A5"/>
    <w:rPr>
      <w:rFonts w:cs="Times New Roman"/>
      <w:vertAlign w:val="superscript"/>
    </w:rPr>
  </w:style>
  <w:style w:type="paragraph" w:styleId="EndnoteText">
    <w:name w:val="endnote text"/>
    <w:basedOn w:val="Normal"/>
    <w:link w:val="EndnoteTextChar"/>
    <w:uiPriority w:val="99"/>
    <w:rsid w:val="004E69A5"/>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4E69A5"/>
    <w:pPr>
      <w:ind w:left="200" w:hanging="200"/>
    </w:pPr>
  </w:style>
  <w:style w:type="paragraph" w:styleId="Index2">
    <w:name w:val="index 2"/>
    <w:basedOn w:val="Normal"/>
    <w:next w:val="Normal"/>
    <w:autoRedefine/>
    <w:uiPriority w:val="99"/>
    <w:rsid w:val="004E69A5"/>
    <w:pPr>
      <w:ind w:left="400" w:hanging="200"/>
    </w:pPr>
  </w:style>
  <w:style w:type="paragraph" w:styleId="Index3">
    <w:name w:val="index 3"/>
    <w:basedOn w:val="Normal"/>
    <w:next w:val="Normal"/>
    <w:autoRedefine/>
    <w:uiPriority w:val="99"/>
    <w:rsid w:val="004E69A5"/>
    <w:pPr>
      <w:ind w:left="600" w:hanging="200"/>
    </w:pPr>
  </w:style>
  <w:style w:type="paragraph" w:styleId="Index4">
    <w:name w:val="index 4"/>
    <w:basedOn w:val="Normal"/>
    <w:next w:val="Normal"/>
    <w:autoRedefine/>
    <w:uiPriority w:val="99"/>
    <w:rsid w:val="004E69A5"/>
    <w:pPr>
      <w:ind w:left="800" w:hanging="200"/>
    </w:pPr>
  </w:style>
  <w:style w:type="paragraph" w:styleId="Index5">
    <w:name w:val="index 5"/>
    <w:basedOn w:val="Normal"/>
    <w:next w:val="Normal"/>
    <w:autoRedefine/>
    <w:uiPriority w:val="99"/>
    <w:rsid w:val="004E69A5"/>
    <w:pPr>
      <w:ind w:left="1000" w:hanging="200"/>
    </w:pPr>
  </w:style>
  <w:style w:type="paragraph" w:styleId="Index6">
    <w:name w:val="index 6"/>
    <w:basedOn w:val="Normal"/>
    <w:next w:val="Normal"/>
    <w:autoRedefine/>
    <w:uiPriority w:val="99"/>
    <w:rsid w:val="004E69A5"/>
    <w:pPr>
      <w:ind w:left="1200" w:hanging="200"/>
    </w:pPr>
  </w:style>
  <w:style w:type="paragraph" w:styleId="Index7">
    <w:name w:val="index 7"/>
    <w:basedOn w:val="Normal"/>
    <w:next w:val="Normal"/>
    <w:autoRedefine/>
    <w:uiPriority w:val="99"/>
    <w:rsid w:val="004E69A5"/>
    <w:pPr>
      <w:ind w:left="1400" w:hanging="200"/>
    </w:pPr>
  </w:style>
  <w:style w:type="paragraph" w:styleId="Index8">
    <w:name w:val="index 8"/>
    <w:basedOn w:val="Normal"/>
    <w:next w:val="Normal"/>
    <w:autoRedefine/>
    <w:uiPriority w:val="99"/>
    <w:rsid w:val="004E69A5"/>
    <w:pPr>
      <w:ind w:left="1600" w:hanging="200"/>
    </w:pPr>
  </w:style>
  <w:style w:type="paragraph" w:styleId="Index9">
    <w:name w:val="index 9"/>
    <w:basedOn w:val="Normal"/>
    <w:next w:val="Normal"/>
    <w:autoRedefine/>
    <w:uiPriority w:val="99"/>
    <w:rsid w:val="004E69A5"/>
    <w:pPr>
      <w:ind w:left="1800" w:hanging="200"/>
    </w:pPr>
  </w:style>
  <w:style w:type="paragraph" w:styleId="IndexHeading">
    <w:name w:val="index heading"/>
    <w:basedOn w:val="Normal"/>
    <w:next w:val="Index1"/>
    <w:uiPriority w:val="99"/>
    <w:rsid w:val="004E69A5"/>
    <w:rPr>
      <w:rFonts w:ascii="Arial" w:hAnsi="Arial" w:cs="Arial"/>
      <w:b/>
      <w:bCs/>
      <w:color w:val="2B7C32"/>
    </w:rPr>
  </w:style>
  <w:style w:type="paragraph" w:styleId="MacroText">
    <w:name w:val="macro"/>
    <w:link w:val="MacroTextChar"/>
    <w:uiPriority w:val="99"/>
    <w:rsid w:val="004E69A5"/>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4E69A5"/>
    <w:pPr>
      <w:ind w:left="200" w:hanging="200"/>
    </w:pPr>
  </w:style>
  <w:style w:type="paragraph" w:styleId="TableofFigures">
    <w:name w:val="table of figures"/>
    <w:basedOn w:val="Normal"/>
    <w:next w:val="Normal"/>
    <w:uiPriority w:val="99"/>
    <w:rsid w:val="004E69A5"/>
    <w:pPr>
      <w:ind w:left="400" w:hanging="400"/>
    </w:pPr>
  </w:style>
  <w:style w:type="paragraph" w:styleId="TOAHeading">
    <w:name w:val="toa heading"/>
    <w:basedOn w:val="Normal"/>
    <w:next w:val="Normal"/>
    <w:uiPriority w:val="99"/>
    <w:rsid w:val="004E69A5"/>
    <w:pPr>
      <w:spacing w:before="120"/>
    </w:pPr>
    <w:rPr>
      <w:rFonts w:ascii="Arial" w:hAnsi="Arial" w:cs="Arial"/>
      <w:b/>
      <w:bCs/>
      <w:sz w:val="24"/>
      <w:szCs w:val="24"/>
    </w:rPr>
  </w:style>
  <w:style w:type="paragraph" w:styleId="TOC5">
    <w:name w:val="toc 5"/>
    <w:basedOn w:val="TOC2"/>
    <w:next w:val="Normal"/>
    <w:autoRedefine/>
    <w:uiPriority w:val="99"/>
    <w:rsid w:val="004E69A5"/>
    <w:pPr>
      <w:ind w:left="1260" w:hanging="1260"/>
    </w:pPr>
  </w:style>
  <w:style w:type="paragraph" w:styleId="TOC6">
    <w:name w:val="toc 6"/>
    <w:basedOn w:val="Normal"/>
    <w:next w:val="Normal"/>
    <w:autoRedefine/>
    <w:uiPriority w:val="99"/>
    <w:rsid w:val="004E69A5"/>
    <w:pPr>
      <w:ind w:left="1000"/>
    </w:pPr>
  </w:style>
  <w:style w:type="paragraph" w:styleId="TOC7">
    <w:name w:val="toc 7"/>
    <w:basedOn w:val="Normal"/>
    <w:next w:val="Normal"/>
    <w:autoRedefine/>
    <w:uiPriority w:val="99"/>
    <w:rsid w:val="004E69A5"/>
    <w:pPr>
      <w:ind w:left="1200"/>
    </w:pPr>
  </w:style>
  <w:style w:type="paragraph" w:styleId="TOC8">
    <w:name w:val="toc 8"/>
    <w:basedOn w:val="Normal"/>
    <w:next w:val="Normal"/>
    <w:autoRedefine/>
    <w:uiPriority w:val="99"/>
    <w:rsid w:val="004E69A5"/>
    <w:pPr>
      <w:ind w:left="1400"/>
    </w:pPr>
  </w:style>
  <w:style w:type="paragraph" w:styleId="TOC9">
    <w:name w:val="toc 9"/>
    <w:basedOn w:val="Normal"/>
    <w:next w:val="Normal"/>
    <w:autoRedefine/>
    <w:uiPriority w:val="99"/>
    <w:rsid w:val="004E69A5"/>
    <w:pPr>
      <w:ind w:left="1600"/>
    </w:pPr>
  </w:style>
  <w:style w:type="paragraph" w:customStyle="1" w:styleId="AppendixAHeading3">
    <w:name w:val="AppendixAHeading3"/>
    <w:basedOn w:val="Heading3"/>
    <w:next w:val="AppendixAHeading4"/>
    <w:uiPriority w:val="99"/>
    <w:rsid w:val="004E69A5"/>
    <w:pPr>
      <w:numPr>
        <w:numId w:val="42"/>
      </w:numPr>
    </w:pPr>
    <w:rPr>
      <w:rFonts w:ascii="Arial Bold" w:hAnsi="Arial Bold"/>
      <w:i/>
    </w:rPr>
  </w:style>
  <w:style w:type="paragraph" w:customStyle="1" w:styleId="AppendixAHeading4">
    <w:name w:val="AppendixAHeading4"/>
    <w:basedOn w:val="Heading4"/>
    <w:next w:val="Bullet"/>
    <w:uiPriority w:val="99"/>
    <w:rsid w:val="004E69A5"/>
    <w:pPr>
      <w:numPr>
        <w:ilvl w:val="1"/>
        <w:numId w:val="43"/>
      </w:numPr>
    </w:pPr>
  </w:style>
  <w:style w:type="paragraph" w:customStyle="1" w:styleId="AppendixGHeading3">
    <w:name w:val="AppendixGHeading3"/>
    <w:basedOn w:val="Heading3"/>
    <w:uiPriority w:val="99"/>
    <w:rsid w:val="004E69A5"/>
    <w:pPr>
      <w:numPr>
        <w:numId w:val="34"/>
      </w:numPr>
    </w:pPr>
  </w:style>
  <w:style w:type="paragraph" w:customStyle="1" w:styleId="ChartHeading">
    <w:name w:val="Chart Heading"/>
    <w:basedOn w:val="HeadingBase"/>
    <w:next w:val="ChartGraphic"/>
    <w:uiPriority w:val="99"/>
    <w:pPr>
      <w:keepNext/>
      <w:spacing w:before="170" w:after="113" w:line="240" w:lineRule="exact"/>
      <w:jc w:val="center"/>
    </w:pPr>
    <w:rPr>
      <w:b/>
      <w:sz w:val="22"/>
    </w:rPr>
  </w:style>
  <w:style w:type="paragraph" w:customStyle="1" w:styleId="NumberedParagraph">
    <w:name w:val="Numbered Paragraph"/>
    <w:basedOn w:val="Normal"/>
    <w:uiPriority w:val="99"/>
    <w:rsid w:val="004E69A5"/>
    <w:pPr>
      <w:numPr>
        <w:numId w:val="28"/>
      </w:numPr>
    </w:pPr>
  </w:style>
  <w:style w:type="paragraph" w:customStyle="1" w:styleId="TableHeading">
    <w:name w:val="Table Heading"/>
    <w:basedOn w:val="HeadingBase"/>
    <w:next w:val="TableGraphic"/>
    <w:uiPriority w:val="99"/>
    <w:pPr>
      <w:keepNext/>
      <w:spacing w:before="170" w:after="113" w:line="240" w:lineRule="exact"/>
    </w:pPr>
    <w:rPr>
      <w:b/>
      <w:sz w:val="22"/>
    </w:rPr>
  </w:style>
  <w:style w:type="paragraph" w:customStyle="1" w:styleId="ChartandTableFootnoteSmall">
    <w:name w:val="Chart and Table Footnote Small"/>
    <w:basedOn w:val="Normal"/>
    <w:uiPriority w:val="99"/>
    <w:pPr>
      <w:spacing w:after="0" w:line="240" w:lineRule="auto"/>
      <w:ind w:left="284" w:hanging="284"/>
      <w:jc w:val="left"/>
    </w:pPr>
    <w:rPr>
      <w:rFonts w:ascii="Helvetica" w:hAnsi="Helvetica"/>
      <w:sz w:val="15"/>
    </w:rPr>
  </w:style>
  <w:style w:type="paragraph" w:customStyle="1" w:styleId="Source">
    <w:name w:val="Source"/>
    <w:basedOn w:val="HeadingBase"/>
    <w:next w:val="Normal"/>
    <w:uiPriority w:val="99"/>
    <w:rPr>
      <w:color w:val="000000"/>
      <w:sz w:val="16"/>
    </w:rPr>
  </w:style>
  <w:style w:type="paragraph" w:customStyle="1" w:styleId="Normalbold">
    <w:name w:val="Normal bold"/>
    <w:basedOn w:val="Normal"/>
    <w:uiPriority w:val="99"/>
    <w:pPr>
      <w:jc w:val="left"/>
    </w:pPr>
    <w:rPr>
      <w:b/>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paragraph" w:customStyle="1" w:styleId="Pa2">
    <w:name w:val="Pa2"/>
    <w:basedOn w:val="Normal"/>
    <w:next w:val="Normal"/>
    <w:uiPriority w:val="99"/>
    <w:pPr>
      <w:autoSpaceDE w:val="0"/>
      <w:autoSpaceDN w:val="0"/>
      <w:adjustRightInd w:val="0"/>
      <w:spacing w:after="100" w:line="180" w:lineRule="atLeast"/>
      <w:jc w:val="left"/>
    </w:pPr>
    <w:rPr>
      <w:rFonts w:ascii="Helvetica Neue" w:hAnsi="Helvetica Neue"/>
      <w:color w:val="auto"/>
      <w:sz w:val="24"/>
      <w:szCs w:val="24"/>
    </w:rPr>
  </w:style>
  <w:style w:type="character" w:customStyle="1" w:styleId="DashCharChar">
    <w:name w:val="Dash Char Char"/>
    <w:basedOn w:val="DefaultParagraphFont"/>
    <w:link w:val="DashChar"/>
    <w:uiPriority w:val="99"/>
    <w:locked/>
    <w:rPr>
      <w:rFonts w:ascii="Book Antiqua" w:hAnsi="Book Antiqua" w:cs="Times New Roman"/>
      <w:color w:val="000000"/>
      <w:lang w:val="en-AU" w:eastAsia="en-AU" w:bidi="ar-SA"/>
    </w:rPr>
  </w:style>
  <w:style w:type="character" w:styleId="FollowedHyperlink">
    <w:name w:val="FollowedHyperlink"/>
    <w:basedOn w:val="DefaultParagraphFont"/>
    <w:uiPriority w:val="99"/>
    <w:rsid w:val="004E69A5"/>
    <w:rPr>
      <w:rFonts w:cs="Times New Roman"/>
      <w:color w:val="000000"/>
      <w:u w:val="none"/>
    </w:rPr>
  </w:style>
  <w:style w:type="table" w:styleId="TableGrid">
    <w:name w:val="Table Grid"/>
    <w:basedOn w:val="TableNormal"/>
    <w:uiPriority w:val="99"/>
    <w:rsid w:val="00D476E8"/>
    <w:pPr>
      <w:spacing w:after="240" w:line="2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
    <w:name w:val="Dash"/>
    <w:basedOn w:val="Normal"/>
    <w:uiPriority w:val="99"/>
    <w:rsid w:val="004E69A5"/>
    <w:pPr>
      <w:numPr>
        <w:ilvl w:val="1"/>
        <w:numId w:val="1"/>
      </w:numPr>
      <w:ind w:left="568"/>
    </w:pPr>
  </w:style>
  <w:style w:type="paragraph" w:customStyle="1" w:styleId="Heading3TOC">
    <w:name w:val="Heading 3 TOC"/>
    <w:basedOn w:val="Heading3"/>
    <w:uiPriority w:val="99"/>
    <w:rsid w:val="00721EC1"/>
    <w:pPr>
      <w:jc w:val="both"/>
    </w:pPr>
  </w:style>
  <w:style w:type="paragraph" w:customStyle="1" w:styleId="CharChar1Char">
    <w:name w:val="Char Char1 Char"/>
    <w:basedOn w:val="Normal"/>
    <w:link w:val="DefaultParagraphFont"/>
    <w:uiPriority w:val="99"/>
    <w:rsid w:val="00FB054B"/>
    <w:pPr>
      <w:spacing w:after="160" w:line="240" w:lineRule="exact"/>
      <w:jc w:val="left"/>
    </w:pPr>
    <w:rPr>
      <w:rFonts w:ascii="Times New Roman" w:hAnsi="Times New Roman"/>
      <w:color w:val="auto"/>
      <w:sz w:val="22"/>
      <w:lang w:val="en-GB" w:eastAsia="en-US"/>
    </w:rPr>
  </w:style>
  <w:style w:type="paragraph" w:customStyle="1" w:styleId="Heading3noTOC">
    <w:name w:val="Heading 3 no TOC"/>
    <w:basedOn w:val="Heading3"/>
    <w:uiPriority w:val="99"/>
    <w:rsid w:val="004E69A5"/>
    <w:pPr>
      <w:outlineLvl w:val="9"/>
    </w:pPr>
  </w:style>
  <w:style w:type="paragraph" w:customStyle="1" w:styleId="Style1">
    <w:name w:val="Style1"/>
    <w:basedOn w:val="AppendixAHeading3"/>
    <w:next w:val="AppendixAHeading4"/>
    <w:uiPriority w:val="99"/>
    <w:rsid w:val="004E69A5"/>
    <w:pPr>
      <w:numPr>
        <w:numId w:val="0"/>
      </w:numPr>
    </w:pPr>
  </w:style>
  <w:style w:type="paragraph" w:customStyle="1" w:styleId="AppendixAHeading3NotItalic">
    <w:name w:val="AppendixAHeading3NotItalic"/>
    <w:basedOn w:val="HeadingBase"/>
    <w:next w:val="AppendixAHeading4"/>
    <w:uiPriority w:val="99"/>
    <w:rsid w:val="004E69A5"/>
    <w:pPr>
      <w:numPr>
        <w:numId w:val="43"/>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4E69A5"/>
  </w:style>
  <w:style w:type="paragraph" w:customStyle="1" w:styleId="CharChar1CharCharCharCharCharCharCharCharCharCharCharCharCharCharCharChar">
    <w:name w:val="Char Char1 Char Char Char Char Char Char Char Char Char Char Char Char Char Char Char Char"/>
    <w:basedOn w:val="Normal"/>
    <w:uiPriority w:val="99"/>
    <w:rsid w:val="00936058"/>
    <w:pPr>
      <w:spacing w:after="0" w:line="320" w:lineRule="exact"/>
      <w:jc w:val="left"/>
    </w:pPr>
    <w:rPr>
      <w:rFonts w:ascii="Arial" w:hAnsi="Arial"/>
      <w:noProof/>
      <w:sz w:val="22"/>
      <w:szCs w:val="22"/>
      <w:lang w:eastAsia="en-US"/>
    </w:rPr>
  </w:style>
  <w:style w:type="paragraph" w:customStyle="1" w:styleId="CharCharCharCharCharChar">
    <w:name w:val="Char Char Char Char Char Char"/>
    <w:basedOn w:val="Normal"/>
    <w:uiPriority w:val="99"/>
    <w:semiHidden/>
    <w:rsid w:val="00C669D4"/>
    <w:pPr>
      <w:spacing w:after="160" w:line="240" w:lineRule="exact"/>
      <w:jc w:val="left"/>
    </w:pPr>
    <w:rPr>
      <w:rFonts w:ascii="Verdana" w:hAnsi="Verdana"/>
      <w:szCs w:val="24"/>
      <w:lang w:val="en-US" w:eastAsia="en-US"/>
    </w:rPr>
  </w:style>
  <w:style w:type="paragraph" w:customStyle="1" w:styleId="Heading2noTOC">
    <w:name w:val="Heading 2 no TOC"/>
    <w:basedOn w:val="Heading2"/>
    <w:next w:val="Normal"/>
    <w:uiPriority w:val="99"/>
    <w:rsid w:val="004E69A5"/>
    <w:pPr>
      <w:outlineLvl w:val="9"/>
    </w:pPr>
    <w:rPr>
      <w:rFonts w:ascii="Arial" w:hAnsi="Arial"/>
    </w:rPr>
  </w:style>
  <w:style w:type="paragraph" w:customStyle="1" w:styleId="Heading9noTOC">
    <w:name w:val="Heading 9 no TOC"/>
    <w:basedOn w:val="Heading9"/>
    <w:uiPriority w:val="99"/>
    <w:rsid w:val="004E69A5"/>
    <w:pPr>
      <w:outlineLvl w:val="9"/>
    </w:pPr>
  </w:style>
  <w:style w:type="paragraph" w:styleId="BodyText">
    <w:name w:val="Body Text"/>
    <w:basedOn w:val="Normal"/>
    <w:link w:val="BodyTextChar"/>
    <w:uiPriority w:val="99"/>
    <w:rsid w:val="00491FA7"/>
    <w:pPr>
      <w:spacing w:after="120"/>
    </w:pPr>
  </w:style>
  <w:style w:type="character" w:customStyle="1" w:styleId="BodyTextChar">
    <w:name w:val="Body Text Char"/>
    <w:basedOn w:val="DefaultParagraphFont"/>
    <w:link w:val="BodyText"/>
    <w:uiPriority w:val="99"/>
    <w:semiHidden/>
    <w:rPr>
      <w:rFonts w:ascii="Book Antiqua" w:hAnsi="Book Antiqu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A5"/>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4E69A5"/>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4E69A5"/>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4E69A5"/>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4E69A5"/>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4E69A5"/>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4E69A5"/>
    <w:pPr>
      <w:keepNext/>
      <w:spacing w:after="120"/>
      <w:outlineLvl w:val="5"/>
    </w:pPr>
    <w:rPr>
      <w:bCs/>
      <w:szCs w:val="22"/>
    </w:rPr>
  </w:style>
  <w:style w:type="paragraph" w:styleId="Heading7">
    <w:name w:val="heading 7"/>
    <w:basedOn w:val="Heading2"/>
    <w:next w:val="Normal"/>
    <w:link w:val="Heading7Char"/>
    <w:uiPriority w:val="99"/>
    <w:qFormat/>
    <w:rsid w:val="004E69A5"/>
    <w:pPr>
      <w:jc w:val="right"/>
      <w:outlineLvl w:val="6"/>
    </w:pPr>
  </w:style>
  <w:style w:type="paragraph" w:styleId="Heading8">
    <w:name w:val="heading 8"/>
    <w:basedOn w:val="HeadingBase"/>
    <w:next w:val="Normal"/>
    <w:link w:val="Heading8Char"/>
    <w:uiPriority w:val="99"/>
    <w:qFormat/>
    <w:rsid w:val="004E69A5"/>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4E69A5"/>
    <w:pPr>
      <w:keepNext/>
      <w:spacing w:before="170" w:after="113" w:line="320" w:lineRule="exact"/>
      <w:jc w:val="right"/>
      <w:outlineLvl w:val="8"/>
    </w:pPr>
    <w:rPr>
      <w:rFonts w:cs="Arial"/>
      <w:b/>
      <w:sz w:val="28"/>
      <w:szCs w:val="22"/>
    </w:rPr>
  </w:style>
  <w:style w:type="character" w:default="1" w:styleId="DefaultParagraphFont">
    <w:name w:val="Default Paragraph Font"/>
    <w:link w:val="CharChar1Char"/>
    <w:uiPriority w:val="99"/>
    <w:locked/>
    <w:rsid w:val="004E69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4E69A5"/>
    <w:pPr>
      <w:spacing w:after="0"/>
    </w:pPr>
  </w:style>
  <w:style w:type="character" w:styleId="Hyperlink">
    <w:name w:val="Hyperlink"/>
    <w:basedOn w:val="DefaultParagraphFont"/>
    <w:uiPriority w:val="99"/>
    <w:rsid w:val="004E69A5"/>
    <w:rPr>
      <w:rFonts w:cs="Times New Roman"/>
      <w:color w:val="000000"/>
      <w:u w:val="none"/>
    </w:rPr>
  </w:style>
  <w:style w:type="character" w:styleId="FootnoteReference">
    <w:name w:val="footnote reference"/>
    <w:basedOn w:val="DefaultParagraphFont"/>
    <w:uiPriority w:val="99"/>
    <w:rsid w:val="004E69A5"/>
    <w:rPr>
      <w:rFonts w:cs="Times New Roman"/>
      <w:vertAlign w:val="superscript"/>
    </w:rPr>
  </w:style>
  <w:style w:type="paragraph" w:styleId="BalloonText">
    <w:name w:val="Balloon Text"/>
    <w:basedOn w:val="Normal"/>
    <w:link w:val="BalloonTextChar"/>
    <w:uiPriority w:val="99"/>
    <w:rsid w:val="004E69A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4E69A5"/>
    <w:rPr>
      <w:rFonts w:ascii="Times" w:hAnsi="Times" w:cs="Times New Roman"/>
      <w:color w:val="2B7C32"/>
      <w:sz w:val="18"/>
      <w:szCs w:val="18"/>
    </w:rPr>
  </w:style>
  <w:style w:type="paragraph" w:styleId="FootnoteText">
    <w:name w:val="footnote text"/>
    <w:basedOn w:val="Normal"/>
    <w:link w:val="FootnoteTextChar"/>
    <w:uiPriority w:val="99"/>
    <w:rsid w:val="004E69A5"/>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locked/>
    <w:rsid w:val="00DD4FB2"/>
    <w:rPr>
      <w:rFonts w:ascii="Book Antiqua" w:hAnsi="Book Antiqua" w:cs="Times New Roman"/>
      <w:color w:val="000000"/>
      <w:sz w:val="18"/>
      <w:lang w:val="en-AU" w:eastAsia="en-AU" w:bidi="ar-SA"/>
    </w:rPr>
  </w:style>
  <w:style w:type="paragraph" w:customStyle="1" w:styleId="Bullet">
    <w:name w:val="Bullet"/>
    <w:basedOn w:val="Normal"/>
    <w:uiPriority w:val="99"/>
    <w:rsid w:val="004E69A5"/>
    <w:pPr>
      <w:numPr>
        <w:numId w:val="1"/>
      </w:numPr>
      <w:ind w:left="284" w:hanging="284"/>
    </w:pPr>
  </w:style>
  <w:style w:type="paragraph" w:customStyle="1" w:styleId="DashChar">
    <w:name w:val="Dash Char"/>
    <w:basedOn w:val="Normal"/>
    <w:link w:val="DashCharChar"/>
    <w:uiPriority w:val="99"/>
    <w:pPr>
      <w:numPr>
        <w:ilvl w:val="1"/>
        <w:numId w:val="1"/>
      </w:numPr>
      <w:ind w:left="568"/>
    </w:pPr>
  </w:style>
  <w:style w:type="paragraph" w:customStyle="1" w:styleId="DoubleDot">
    <w:name w:val="Double Dot"/>
    <w:basedOn w:val="Normal"/>
    <w:uiPriority w:val="99"/>
    <w:rsid w:val="004E69A5"/>
    <w:pPr>
      <w:numPr>
        <w:ilvl w:val="2"/>
        <w:numId w:val="1"/>
      </w:numPr>
    </w:pPr>
  </w:style>
  <w:style w:type="paragraph" w:customStyle="1" w:styleId="OutlineNumbered1">
    <w:name w:val="Outline Numbered 1"/>
    <w:basedOn w:val="Normal"/>
    <w:uiPriority w:val="99"/>
    <w:rsid w:val="004E69A5"/>
    <w:pPr>
      <w:numPr>
        <w:numId w:val="2"/>
      </w:numPr>
    </w:pPr>
  </w:style>
  <w:style w:type="paragraph" w:customStyle="1" w:styleId="OutlineNumbered2">
    <w:name w:val="Outline Numbered 2"/>
    <w:basedOn w:val="Normal"/>
    <w:uiPriority w:val="99"/>
    <w:rsid w:val="004E69A5"/>
    <w:pPr>
      <w:numPr>
        <w:ilvl w:val="1"/>
        <w:numId w:val="2"/>
      </w:numPr>
    </w:pPr>
  </w:style>
  <w:style w:type="paragraph" w:customStyle="1" w:styleId="OutlineNumbered3">
    <w:name w:val="Outline Numbered 3"/>
    <w:basedOn w:val="Normal"/>
    <w:uiPriority w:val="99"/>
    <w:rsid w:val="004E69A5"/>
    <w:pPr>
      <w:numPr>
        <w:ilvl w:val="2"/>
        <w:numId w:val="2"/>
      </w:numPr>
    </w:pPr>
  </w:style>
  <w:style w:type="paragraph" w:customStyle="1" w:styleId="AlphaParagraph">
    <w:name w:val="Alpha Paragraph"/>
    <w:basedOn w:val="Normal"/>
    <w:uiPriority w:val="99"/>
    <w:rsid w:val="004E69A5"/>
    <w:pPr>
      <w:numPr>
        <w:numId w:val="3"/>
      </w:numPr>
    </w:pPr>
  </w:style>
  <w:style w:type="paragraph" w:customStyle="1" w:styleId="HeadingBase">
    <w:name w:val="Heading Base"/>
    <w:next w:val="Normal"/>
    <w:uiPriority w:val="99"/>
    <w:rsid w:val="004E69A5"/>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4E69A5"/>
    <w:pPr>
      <w:spacing w:before="720" w:after="360"/>
    </w:pPr>
    <w:rPr>
      <w:rFonts w:ascii="Arial Bold" w:hAnsi="Arial Bold"/>
      <w:b/>
      <w:smallCaps/>
      <w:sz w:val="36"/>
      <w:szCs w:val="36"/>
    </w:rPr>
  </w:style>
  <w:style w:type="character" w:customStyle="1" w:styleId="Bold">
    <w:name w:val="Bold"/>
    <w:basedOn w:val="DefaultParagraphFont"/>
    <w:uiPriority w:val="99"/>
    <w:rsid w:val="004E69A5"/>
    <w:rPr>
      <w:rFonts w:cs="Times New Roman"/>
      <w:b/>
    </w:rPr>
  </w:style>
  <w:style w:type="paragraph" w:customStyle="1" w:styleId="BoxHeading">
    <w:name w:val="Box Heading"/>
    <w:basedOn w:val="HeadingBase"/>
    <w:next w:val="BoxText"/>
    <w:uiPriority w:val="99"/>
    <w:rsid w:val="004E69A5"/>
    <w:pPr>
      <w:spacing w:before="120" w:after="120"/>
    </w:pPr>
    <w:rPr>
      <w:b/>
      <w:sz w:val="22"/>
    </w:rPr>
  </w:style>
  <w:style w:type="paragraph" w:customStyle="1" w:styleId="BoxTextBase">
    <w:name w:val="Box Text Base"/>
    <w:basedOn w:val="Normal"/>
    <w:uiPriority w:val="99"/>
    <w:rsid w:val="004E69A5"/>
    <w:pPr>
      <w:spacing w:before="120" w:after="120" w:line="240" w:lineRule="auto"/>
    </w:pPr>
  </w:style>
  <w:style w:type="paragraph" w:customStyle="1" w:styleId="ChartandTableFootnoteAlpha">
    <w:name w:val="Chart and Table Footnote Alpha"/>
    <w:uiPriority w:val="99"/>
    <w:rsid w:val="004E69A5"/>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4E69A5"/>
    <w:pPr>
      <w:jc w:val="center"/>
    </w:pPr>
  </w:style>
  <w:style w:type="paragraph" w:customStyle="1" w:styleId="ChartMainHeading">
    <w:name w:val="Chart Main Heading"/>
    <w:basedOn w:val="HeadingBase"/>
    <w:next w:val="ChartGraphic"/>
    <w:uiPriority w:val="99"/>
    <w:rsid w:val="004E69A5"/>
    <w:pPr>
      <w:keepNext/>
      <w:spacing w:before="170" w:after="113"/>
      <w:jc w:val="center"/>
    </w:pPr>
    <w:rPr>
      <w:b/>
      <w:sz w:val="22"/>
    </w:rPr>
  </w:style>
  <w:style w:type="paragraph" w:customStyle="1" w:styleId="ChartorTableNote">
    <w:name w:val="Chart or Table Note"/>
    <w:next w:val="Normal"/>
    <w:uiPriority w:val="99"/>
    <w:rsid w:val="004E69A5"/>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4E69A5"/>
    <w:pPr>
      <w:keepNext/>
      <w:spacing w:after="20"/>
      <w:jc w:val="center"/>
    </w:pPr>
  </w:style>
  <w:style w:type="paragraph" w:customStyle="1" w:styleId="Classification">
    <w:name w:val="Classification"/>
    <w:basedOn w:val="HeadingBase"/>
    <w:next w:val="Footer"/>
    <w:uiPriority w:val="99"/>
    <w:rsid w:val="004E69A5"/>
    <w:pPr>
      <w:spacing w:after="120"/>
      <w:jc w:val="center"/>
    </w:pPr>
    <w:rPr>
      <w:b/>
      <w:smallCaps/>
    </w:rPr>
  </w:style>
  <w:style w:type="paragraph" w:styleId="Footer">
    <w:name w:val="footer"/>
    <w:basedOn w:val="HeadingBase"/>
    <w:link w:val="FooterChar"/>
    <w:uiPriority w:val="99"/>
    <w:rsid w:val="004E69A5"/>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4E69A5"/>
    <w:pPr>
      <w:spacing w:after="360"/>
    </w:pPr>
    <w:rPr>
      <w:smallCaps/>
      <w:sz w:val="36"/>
      <w:szCs w:val="36"/>
    </w:rPr>
  </w:style>
  <w:style w:type="paragraph" w:customStyle="1" w:styleId="CoverTitleMain">
    <w:name w:val="Cover Title Main"/>
    <w:basedOn w:val="HeadingBase"/>
    <w:next w:val="Normal"/>
    <w:uiPriority w:val="99"/>
    <w:rsid w:val="004E69A5"/>
    <w:pPr>
      <w:spacing w:after="360"/>
      <w:jc w:val="right"/>
    </w:pPr>
    <w:rPr>
      <w:b/>
      <w:sz w:val="44"/>
    </w:rPr>
  </w:style>
  <w:style w:type="paragraph" w:customStyle="1" w:styleId="CoverTitleSub">
    <w:name w:val="Cover Title Sub"/>
    <w:basedOn w:val="HeadingBase"/>
    <w:uiPriority w:val="99"/>
    <w:rsid w:val="004E69A5"/>
    <w:pPr>
      <w:spacing w:after="360"/>
      <w:jc w:val="center"/>
    </w:pPr>
    <w:rPr>
      <w:sz w:val="36"/>
    </w:rPr>
  </w:style>
  <w:style w:type="paragraph" w:customStyle="1" w:styleId="FooterCentered">
    <w:name w:val="Footer Centered"/>
    <w:basedOn w:val="Footer"/>
    <w:uiPriority w:val="99"/>
    <w:rsid w:val="004E69A5"/>
    <w:pPr>
      <w:jc w:val="center"/>
    </w:pPr>
  </w:style>
  <w:style w:type="paragraph" w:customStyle="1" w:styleId="FooterEven">
    <w:name w:val="Footer Even"/>
    <w:basedOn w:val="Footer"/>
    <w:uiPriority w:val="99"/>
    <w:rsid w:val="004E69A5"/>
  </w:style>
  <w:style w:type="paragraph" w:customStyle="1" w:styleId="FooterOdd">
    <w:name w:val="Footer Odd"/>
    <w:basedOn w:val="Footer"/>
    <w:uiPriority w:val="99"/>
    <w:rsid w:val="004E69A5"/>
    <w:pPr>
      <w:jc w:val="right"/>
    </w:pPr>
  </w:style>
  <w:style w:type="character" w:customStyle="1" w:styleId="FramedFooter">
    <w:name w:val="Framed Footer"/>
    <w:uiPriority w:val="99"/>
    <w:rsid w:val="004E69A5"/>
    <w:rPr>
      <w:rFonts w:ascii="Arial" w:hAnsi="Arial"/>
      <w:color w:val="2B7C32"/>
      <w:sz w:val="18"/>
    </w:rPr>
  </w:style>
  <w:style w:type="character" w:customStyle="1" w:styleId="FramedHeader">
    <w:name w:val="Framed Header"/>
    <w:basedOn w:val="DefaultParagraphFont"/>
    <w:uiPriority w:val="99"/>
    <w:rsid w:val="004E69A5"/>
    <w:rPr>
      <w:rFonts w:ascii="Arial" w:hAnsi="Arial" w:cs="Times New Roman"/>
      <w:color w:val="2B7C32"/>
      <w:sz w:val="18"/>
      <w:szCs w:val="18"/>
      <w:vertAlign w:val="baseline"/>
    </w:rPr>
  </w:style>
  <w:style w:type="paragraph" w:styleId="Header">
    <w:name w:val="header"/>
    <w:basedOn w:val="HeadingBase"/>
    <w:link w:val="HeaderChar"/>
    <w:uiPriority w:val="99"/>
    <w:rsid w:val="004E69A5"/>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4E69A5"/>
  </w:style>
  <w:style w:type="paragraph" w:customStyle="1" w:styleId="HeaderOdd">
    <w:name w:val="Header Odd"/>
    <w:basedOn w:val="Header"/>
    <w:uiPriority w:val="99"/>
    <w:rsid w:val="004E69A5"/>
    <w:pPr>
      <w:jc w:val="right"/>
    </w:pPr>
  </w:style>
  <w:style w:type="paragraph" w:styleId="NormalIndent">
    <w:name w:val="Normal Indent"/>
    <w:basedOn w:val="Normal"/>
    <w:uiPriority w:val="99"/>
    <w:rsid w:val="004E69A5"/>
    <w:pPr>
      <w:ind w:left="567"/>
    </w:pPr>
  </w:style>
  <w:style w:type="paragraph" w:customStyle="1" w:styleId="RecommendationHeading">
    <w:name w:val="Recommendation Heading"/>
    <w:basedOn w:val="HeadingBase"/>
    <w:next w:val="RecommendationText"/>
    <w:uiPriority w:val="99"/>
    <w:rsid w:val="004E69A5"/>
    <w:pPr>
      <w:spacing w:after="240"/>
    </w:pPr>
    <w:rPr>
      <w:b/>
      <w:sz w:val="22"/>
    </w:rPr>
  </w:style>
  <w:style w:type="paragraph" w:customStyle="1" w:styleId="RecommendationBaseText">
    <w:name w:val="Recommendation Base Text"/>
    <w:basedOn w:val="Normal"/>
    <w:uiPriority w:val="99"/>
    <w:rsid w:val="004E69A5"/>
  </w:style>
  <w:style w:type="paragraph" w:customStyle="1" w:styleId="RecommendationText">
    <w:name w:val="Recommendation Text"/>
    <w:basedOn w:val="RecommendationBaseText"/>
    <w:uiPriority w:val="99"/>
    <w:rsid w:val="004E69A5"/>
  </w:style>
  <w:style w:type="paragraph" w:customStyle="1" w:styleId="TableTextBase">
    <w:name w:val="Table Text Base"/>
    <w:uiPriority w:val="99"/>
    <w:rsid w:val="004E69A5"/>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4E69A5"/>
    <w:pPr>
      <w:jc w:val="center"/>
    </w:pPr>
    <w:rPr>
      <w:b/>
    </w:rPr>
  </w:style>
  <w:style w:type="paragraph" w:customStyle="1" w:styleId="TableColumnHeadingLeft">
    <w:name w:val="Table Column Heading Left"/>
    <w:basedOn w:val="TableTextBase"/>
    <w:uiPriority w:val="99"/>
    <w:rsid w:val="004E69A5"/>
    <w:rPr>
      <w:b/>
    </w:rPr>
  </w:style>
  <w:style w:type="paragraph" w:customStyle="1" w:styleId="TableColumnHeadingRight">
    <w:name w:val="Table Column Heading Right"/>
    <w:basedOn w:val="TableTextBase"/>
    <w:uiPriority w:val="99"/>
    <w:rsid w:val="004E69A5"/>
    <w:pPr>
      <w:jc w:val="right"/>
    </w:pPr>
    <w:rPr>
      <w:b/>
    </w:rPr>
  </w:style>
  <w:style w:type="paragraph" w:customStyle="1" w:styleId="TableGraphic">
    <w:name w:val="Table Graphic"/>
    <w:basedOn w:val="HeadingBase"/>
    <w:next w:val="Normal"/>
    <w:uiPriority w:val="99"/>
    <w:rsid w:val="004E69A5"/>
    <w:pPr>
      <w:spacing w:after="20"/>
      <w:ind w:right="-113"/>
    </w:pPr>
    <w:rPr>
      <w:rFonts w:ascii="Helvetica" w:hAnsi="Helvetica"/>
    </w:rPr>
  </w:style>
  <w:style w:type="paragraph" w:customStyle="1" w:styleId="TableMainHeading">
    <w:name w:val="Table Main Heading"/>
    <w:basedOn w:val="HeadingBase"/>
    <w:next w:val="TableGraphic"/>
    <w:uiPriority w:val="99"/>
    <w:rsid w:val="004E69A5"/>
    <w:pPr>
      <w:keepNext/>
      <w:spacing w:before="170" w:after="113"/>
    </w:pPr>
    <w:rPr>
      <w:b/>
      <w:sz w:val="22"/>
    </w:rPr>
  </w:style>
  <w:style w:type="paragraph" w:customStyle="1" w:styleId="TableMainHeadingContd">
    <w:name w:val="Table Main Heading Contd"/>
    <w:basedOn w:val="HeadingBase"/>
    <w:next w:val="TableGraphic"/>
    <w:uiPriority w:val="99"/>
    <w:rsid w:val="004E69A5"/>
    <w:pPr>
      <w:keepNext/>
      <w:spacing w:after="20"/>
    </w:pPr>
    <w:rPr>
      <w:b/>
      <w:sz w:val="22"/>
    </w:rPr>
  </w:style>
  <w:style w:type="paragraph" w:customStyle="1" w:styleId="TableSecondHeading">
    <w:name w:val="Table Second Heading"/>
    <w:basedOn w:val="HeadingBase"/>
    <w:next w:val="TableGraphic"/>
    <w:uiPriority w:val="99"/>
    <w:rsid w:val="004E69A5"/>
    <w:pPr>
      <w:keepNext/>
      <w:spacing w:after="20"/>
    </w:pPr>
  </w:style>
  <w:style w:type="paragraph" w:customStyle="1" w:styleId="TableTextCentered">
    <w:name w:val="Table Text Centered"/>
    <w:basedOn w:val="TableTextBase"/>
    <w:uiPriority w:val="99"/>
    <w:rsid w:val="004E69A5"/>
    <w:pPr>
      <w:jc w:val="center"/>
    </w:pPr>
  </w:style>
  <w:style w:type="paragraph" w:customStyle="1" w:styleId="TableTextIndented">
    <w:name w:val="Table Text Indented"/>
    <w:basedOn w:val="TableTextBase"/>
    <w:uiPriority w:val="99"/>
    <w:rsid w:val="004E69A5"/>
    <w:pPr>
      <w:ind w:left="284"/>
    </w:pPr>
  </w:style>
  <w:style w:type="paragraph" w:customStyle="1" w:styleId="TableTextLeft">
    <w:name w:val="Table Text Left"/>
    <w:basedOn w:val="TableTextBase"/>
    <w:uiPriority w:val="99"/>
    <w:rsid w:val="004E69A5"/>
  </w:style>
  <w:style w:type="paragraph" w:customStyle="1" w:styleId="TableTextRight">
    <w:name w:val="Table Text Right"/>
    <w:basedOn w:val="TableTextBase"/>
    <w:uiPriority w:val="99"/>
    <w:rsid w:val="004E69A5"/>
    <w:pPr>
      <w:jc w:val="right"/>
    </w:pPr>
  </w:style>
  <w:style w:type="paragraph" w:styleId="TOC1">
    <w:name w:val="toc 1"/>
    <w:basedOn w:val="HeadingBase"/>
    <w:next w:val="Normal"/>
    <w:uiPriority w:val="99"/>
    <w:rsid w:val="004E69A5"/>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4E69A5"/>
    <w:pPr>
      <w:tabs>
        <w:tab w:val="left" w:pos="1247"/>
        <w:tab w:val="right" w:leader="dot" w:pos="7700"/>
      </w:tabs>
      <w:spacing w:after="0"/>
      <w:ind w:right="851"/>
    </w:pPr>
    <w:rPr>
      <w:noProof/>
    </w:rPr>
  </w:style>
  <w:style w:type="paragraph" w:styleId="TOC3">
    <w:name w:val="toc 3"/>
    <w:basedOn w:val="Normal"/>
    <w:next w:val="Normal"/>
    <w:uiPriority w:val="99"/>
    <w:rsid w:val="004E69A5"/>
    <w:pPr>
      <w:tabs>
        <w:tab w:val="right" w:leader="dot" w:pos="7700"/>
      </w:tabs>
      <w:spacing w:after="0" w:line="240" w:lineRule="auto"/>
      <w:ind w:left="284" w:right="851"/>
    </w:pPr>
    <w:rPr>
      <w:noProof/>
    </w:rPr>
  </w:style>
  <w:style w:type="paragraph" w:styleId="TOC4">
    <w:name w:val="toc 4"/>
    <w:basedOn w:val="Normal"/>
    <w:next w:val="Normal"/>
    <w:uiPriority w:val="99"/>
    <w:rsid w:val="004E69A5"/>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4E69A5"/>
    <w:rPr>
      <w:rFonts w:cs="Times New Roman"/>
      <w:i/>
    </w:rPr>
  </w:style>
  <w:style w:type="paragraph" w:customStyle="1" w:styleId="OneLevelNumberedParagraph">
    <w:name w:val="One Level Numbered Paragraph"/>
    <w:basedOn w:val="Normal"/>
    <w:uiPriority w:val="99"/>
    <w:rsid w:val="004E69A5"/>
    <w:pPr>
      <w:numPr>
        <w:numId w:val="10"/>
      </w:numPr>
    </w:pPr>
  </w:style>
  <w:style w:type="paragraph" w:customStyle="1" w:styleId="BoxText">
    <w:name w:val="Box Text"/>
    <w:basedOn w:val="BoxTextBase"/>
    <w:uiPriority w:val="99"/>
    <w:rsid w:val="004E69A5"/>
  </w:style>
  <w:style w:type="paragraph" w:customStyle="1" w:styleId="BoxBullet">
    <w:name w:val="Box Bullet"/>
    <w:basedOn w:val="BoxTextBase"/>
    <w:uiPriority w:val="99"/>
    <w:rsid w:val="004E69A5"/>
    <w:pPr>
      <w:numPr>
        <w:numId w:val="9"/>
      </w:numPr>
    </w:pPr>
  </w:style>
  <w:style w:type="paragraph" w:customStyle="1" w:styleId="BoxDash">
    <w:name w:val="Box Dash"/>
    <w:basedOn w:val="Normal"/>
    <w:uiPriority w:val="99"/>
    <w:rsid w:val="004E69A5"/>
    <w:pPr>
      <w:numPr>
        <w:ilvl w:val="1"/>
        <w:numId w:val="9"/>
      </w:numPr>
    </w:pPr>
  </w:style>
  <w:style w:type="paragraph" w:customStyle="1" w:styleId="BoxDoubleDot">
    <w:name w:val="Box Double Dot"/>
    <w:basedOn w:val="BoxTextBase"/>
    <w:uiPriority w:val="99"/>
    <w:rsid w:val="004E69A5"/>
    <w:pPr>
      <w:numPr>
        <w:ilvl w:val="2"/>
        <w:numId w:val="9"/>
      </w:numPr>
    </w:pPr>
  </w:style>
  <w:style w:type="paragraph" w:customStyle="1" w:styleId="RecommendationBullet">
    <w:name w:val="Recommendation Bullet"/>
    <w:basedOn w:val="RecommendationBaseText"/>
    <w:uiPriority w:val="99"/>
    <w:rsid w:val="004E69A5"/>
    <w:pPr>
      <w:numPr>
        <w:numId w:val="11"/>
      </w:numPr>
    </w:pPr>
  </w:style>
  <w:style w:type="paragraph" w:customStyle="1" w:styleId="RecommendationDash">
    <w:name w:val="Recommendation Dash"/>
    <w:basedOn w:val="RecommendationBaseText"/>
    <w:uiPriority w:val="99"/>
    <w:rsid w:val="004E69A5"/>
    <w:pPr>
      <w:numPr>
        <w:ilvl w:val="1"/>
        <w:numId w:val="11"/>
      </w:numPr>
    </w:pPr>
  </w:style>
  <w:style w:type="paragraph" w:customStyle="1" w:styleId="RecommendationDoubleDot">
    <w:name w:val="Recommendation Double Dot"/>
    <w:basedOn w:val="RecommendationBaseText"/>
    <w:uiPriority w:val="99"/>
    <w:rsid w:val="004E69A5"/>
    <w:pPr>
      <w:numPr>
        <w:ilvl w:val="2"/>
        <w:numId w:val="11"/>
      </w:numPr>
    </w:pPr>
  </w:style>
  <w:style w:type="character" w:customStyle="1" w:styleId="Boldanditalic">
    <w:name w:val="Bold and italic"/>
    <w:basedOn w:val="DefaultParagraphFont"/>
    <w:uiPriority w:val="99"/>
    <w:rsid w:val="004E69A5"/>
    <w:rPr>
      <w:rFonts w:cs="Times New Roman"/>
      <w:b/>
      <w:i/>
    </w:rPr>
  </w:style>
  <w:style w:type="paragraph" w:styleId="Caption">
    <w:name w:val="caption"/>
    <w:basedOn w:val="Normal"/>
    <w:next w:val="Normal"/>
    <w:uiPriority w:val="99"/>
    <w:qFormat/>
    <w:rsid w:val="004E69A5"/>
    <w:pPr>
      <w:spacing w:before="120" w:after="120"/>
    </w:pPr>
    <w:rPr>
      <w:b/>
      <w:bCs/>
    </w:rPr>
  </w:style>
  <w:style w:type="character" w:styleId="CommentReference">
    <w:name w:val="annotation reference"/>
    <w:basedOn w:val="DefaultParagraphFont"/>
    <w:uiPriority w:val="99"/>
    <w:rsid w:val="004E69A5"/>
    <w:rPr>
      <w:rFonts w:cs="Times New Roman"/>
      <w:sz w:val="16"/>
      <w:szCs w:val="16"/>
    </w:rPr>
  </w:style>
  <w:style w:type="paragraph" w:styleId="CommentText">
    <w:name w:val="annotation text"/>
    <w:basedOn w:val="Normal"/>
    <w:link w:val="CommentTextChar"/>
    <w:uiPriority w:val="99"/>
    <w:rsid w:val="004E69A5"/>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4E69A5"/>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4E69A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4E69A5"/>
    <w:rPr>
      <w:rFonts w:cs="Times New Roman"/>
      <w:vertAlign w:val="superscript"/>
    </w:rPr>
  </w:style>
  <w:style w:type="paragraph" w:styleId="EndnoteText">
    <w:name w:val="endnote text"/>
    <w:basedOn w:val="Normal"/>
    <w:link w:val="EndnoteTextChar"/>
    <w:uiPriority w:val="99"/>
    <w:rsid w:val="004E69A5"/>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4E69A5"/>
    <w:pPr>
      <w:ind w:left="200" w:hanging="200"/>
    </w:pPr>
  </w:style>
  <w:style w:type="paragraph" w:styleId="Index2">
    <w:name w:val="index 2"/>
    <w:basedOn w:val="Normal"/>
    <w:next w:val="Normal"/>
    <w:autoRedefine/>
    <w:uiPriority w:val="99"/>
    <w:rsid w:val="004E69A5"/>
    <w:pPr>
      <w:ind w:left="400" w:hanging="200"/>
    </w:pPr>
  </w:style>
  <w:style w:type="paragraph" w:styleId="Index3">
    <w:name w:val="index 3"/>
    <w:basedOn w:val="Normal"/>
    <w:next w:val="Normal"/>
    <w:autoRedefine/>
    <w:uiPriority w:val="99"/>
    <w:rsid w:val="004E69A5"/>
    <w:pPr>
      <w:ind w:left="600" w:hanging="200"/>
    </w:pPr>
  </w:style>
  <w:style w:type="paragraph" w:styleId="Index4">
    <w:name w:val="index 4"/>
    <w:basedOn w:val="Normal"/>
    <w:next w:val="Normal"/>
    <w:autoRedefine/>
    <w:uiPriority w:val="99"/>
    <w:rsid w:val="004E69A5"/>
    <w:pPr>
      <w:ind w:left="800" w:hanging="200"/>
    </w:pPr>
  </w:style>
  <w:style w:type="paragraph" w:styleId="Index5">
    <w:name w:val="index 5"/>
    <w:basedOn w:val="Normal"/>
    <w:next w:val="Normal"/>
    <w:autoRedefine/>
    <w:uiPriority w:val="99"/>
    <w:rsid w:val="004E69A5"/>
    <w:pPr>
      <w:ind w:left="1000" w:hanging="200"/>
    </w:pPr>
  </w:style>
  <w:style w:type="paragraph" w:styleId="Index6">
    <w:name w:val="index 6"/>
    <w:basedOn w:val="Normal"/>
    <w:next w:val="Normal"/>
    <w:autoRedefine/>
    <w:uiPriority w:val="99"/>
    <w:rsid w:val="004E69A5"/>
    <w:pPr>
      <w:ind w:left="1200" w:hanging="200"/>
    </w:pPr>
  </w:style>
  <w:style w:type="paragraph" w:styleId="Index7">
    <w:name w:val="index 7"/>
    <w:basedOn w:val="Normal"/>
    <w:next w:val="Normal"/>
    <w:autoRedefine/>
    <w:uiPriority w:val="99"/>
    <w:rsid w:val="004E69A5"/>
    <w:pPr>
      <w:ind w:left="1400" w:hanging="200"/>
    </w:pPr>
  </w:style>
  <w:style w:type="paragraph" w:styleId="Index8">
    <w:name w:val="index 8"/>
    <w:basedOn w:val="Normal"/>
    <w:next w:val="Normal"/>
    <w:autoRedefine/>
    <w:uiPriority w:val="99"/>
    <w:rsid w:val="004E69A5"/>
    <w:pPr>
      <w:ind w:left="1600" w:hanging="200"/>
    </w:pPr>
  </w:style>
  <w:style w:type="paragraph" w:styleId="Index9">
    <w:name w:val="index 9"/>
    <w:basedOn w:val="Normal"/>
    <w:next w:val="Normal"/>
    <w:autoRedefine/>
    <w:uiPriority w:val="99"/>
    <w:rsid w:val="004E69A5"/>
    <w:pPr>
      <w:ind w:left="1800" w:hanging="200"/>
    </w:pPr>
  </w:style>
  <w:style w:type="paragraph" w:styleId="IndexHeading">
    <w:name w:val="index heading"/>
    <w:basedOn w:val="Normal"/>
    <w:next w:val="Index1"/>
    <w:uiPriority w:val="99"/>
    <w:rsid w:val="004E69A5"/>
    <w:rPr>
      <w:rFonts w:ascii="Arial" w:hAnsi="Arial" w:cs="Arial"/>
      <w:b/>
      <w:bCs/>
      <w:color w:val="2B7C32"/>
    </w:rPr>
  </w:style>
  <w:style w:type="paragraph" w:styleId="MacroText">
    <w:name w:val="macro"/>
    <w:link w:val="MacroTextChar"/>
    <w:uiPriority w:val="99"/>
    <w:rsid w:val="004E69A5"/>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4E69A5"/>
    <w:pPr>
      <w:ind w:left="200" w:hanging="200"/>
    </w:pPr>
  </w:style>
  <w:style w:type="paragraph" w:styleId="TableofFigures">
    <w:name w:val="table of figures"/>
    <w:basedOn w:val="Normal"/>
    <w:next w:val="Normal"/>
    <w:uiPriority w:val="99"/>
    <w:rsid w:val="004E69A5"/>
    <w:pPr>
      <w:ind w:left="400" w:hanging="400"/>
    </w:pPr>
  </w:style>
  <w:style w:type="paragraph" w:styleId="TOAHeading">
    <w:name w:val="toa heading"/>
    <w:basedOn w:val="Normal"/>
    <w:next w:val="Normal"/>
    <w:uiPriority w:val="99"/>
    <w:rsid w:val="004E69A5"/>
    <w:pPr>
      <w:spacing w:before="120"/>
    </w:pPr>
    <w:rPr>
      <w:rFonts w:ascii="Arial" w:hAnsi="Arial" w:cs="Arial"/>
      <w:b/>
      <w:bCs/>
      <w:sz w:val="24"/>
      <w:szCs w:val="24"/>
    </w:rPr>
  </w:style>
  <w:style w:type="paragraph" w:styleId="TOC5">
    <w:name w:val="toc 5"/>
    <w:basedOn w:val="TOC2"/>
    <w:next w:val="Normal"/>
    <w:autoRedefine/>
    <w:uiPriority w:val="99"/>
    <w:rsid w:val="004E69A5"/>
    <w:pPr>
      <w:ind w:left="1260" w:hanging="1260"/>
    </w:pPr>
  </w:style>
  <w:style w:type="paragraph" w:styleId="TOC6">
    <w:name w:val="toc 6"/>
    <w:basedOn w:val="Normal"/>
    <w:next w:val="Normal"/>
    <w:autoRedefine/>
    <w:uiPriority w:val="99"/>
    <w:rsid w:val="004E69A5"/>
    <w:pPr>
      <w:ind w:left="1000"/>
    </w:pPr>
  </w:style>
  <w:style w:type="paragraph" w:styleId="TOC7">
    <w:name w:val="toc 7"/>
    <w:basedOn w:val="Normal"/>
    <w:next w:val="Normal"/>
    <w:autoRedefine/>
    <w:uiPriority w:val="99"/>
    <w:rsid w:val="004E69A5"/>
    <w:pPr>
      <w:ind w:left="1200"/>
    </w:pPr>
  </w:style>
  <w:style w:type="paragraph" w:styleId="TOC8">
    <w:name w:val="toc 8"/>
    <w:basedOn w:val="Normal"/>
    <w:next w:val="Normal"/>
    <w:autoRedefine/>
    <w:uiPriority w:val="99"/>
    <w:rsid w:val="004E69A5"/>
    <w:pPr>
      <w:ind w:left="1400"/>
    </w:pPr>
  </w:style>
  <w:style w:type="paragraph" w:styleId="TOC9">
    <w:name w:val="toc 9"/>
    <w:basedOn w:val="Normal"/>
    <w:next w:val="Normal"/>
    <w:autoRedefine/>
    <w:uiPriority w:val="99"/>
    <w:rsid w:val="004E69A5"/>
    <w:pPr>
      <w:ind w:left="1600"/>
    </w:pPr>
  </w:style>
  <w:style w:type="paragraph" w:customStyle="1" w:styleId="AppendixAHeading3">
    <w:name w:val="AppendixAHeading3"/>
    <w:basedOn w:val="Heading3"/>
    <w:next w:val="AppendixAHeading4"/>
    <w:uiPriority w:val="99"/>
    <w:rsid w:val="004E69A5"/>
    <w:pPr>
      <w:numPr>
        <w:numId w:val="42"/>
      </w:numPr>
    </w:pPr>
    <w:rPr>
      <w:rFonts w:ascii="Arial Bold" w:hAnsi="Arial Bold"/>
      <w:i/>
    </w:rPr>
  </w:style>
  <w:style w:type="paragraph" w:customStyle="1" w:styleId="AppendixAHeading4">
    <w:name w:val="AppendixAHeading4"/>
    <w:basedOn w:val="Heading4"/>
    <w:next w:val="Bullet"/>
    <w:uiPriority w:val="99"/>
    <w:rsid w:val="004E69A5"/>
    <w:pPr>
      <w:numPr>
        <w:ilvl w:val="1"/>
        <w:numId w:val="43"/>
      </w:numPr>
    </w:pPr>
  </w:style>
  <w:style w:type="paragraph" w:customStyle="1" w:styleId="AppendixGHeading3">
    <w:name w:val="AppendixGHeading3"/>
    <w:basedOn w:val="Heading3"/>
    <w:uiPriority w:val="99"/>
    <w:rsid w:val="004E69A5"/>
    <w:pPr>
      <w:numPr>
        <w:numId w:val="34"/>
      </w:numPr>
    </w:pPr>
  </w:style>
  <w:style w:type="paragraph" w:customStyle="1" w:styleId="ChartHeading">
    <w:name w:val="Chart Heading"/>
    <w:basedOn w:val="HeadingBase"/>
    <w:next w:val="ChartGraphic"/>
    <w:uiPriority w:val="99"/>
    <w:pPr>
      <w:keepNext/>
      <w:spacing w:before="170" w:after="113" w:line="240" w:lineRule="exact"/>
      <w:jc w:val="center"/>
    </w:pPr>
    <w:rPr>
      <w:b/>
      <w:sz w:val="22"/>
    </w:rPr>
  </w:style>
  <w:style w:type="paragraph" w:customStyle="1" w:styleId="NumberedParagraph">
    <w:name w:val="Numbered Paragraph"/>
    <w:basedOn w:val="Normal"/>
    <w:uiPriority w:val="99"/>
    <w:rsid w:val="004E69A5"/>
    <w:pPr>
      <w:numPr>
        <w:numId w:val="28"/>
      </w:numPr>
    </w:pPr>
  </w:style>
  <w:style w:type="paragraph" w:customStyle="1" w:styleId="TableHeading">
    <w:name w:val="Table Heading"/>
    <w:basedOn w:val="HeadingBase"/>
    <w:next w:val="TableGraphic"/>
    <w:uiPriority w:val="99"/>
    <w:pPr>
      <w:keepNext/>
      <w:spacing w:before="170" w:after="113" w:line="240" w:lineRule="exact"/>
    </w:pPr>
    <w:rPr>
      <w:b/>
      <w:sz w:val="22"/>
    </w:rPr>
  </w:style>
  <w:style w:type="paragraph" w:customStyle="1" w:styleId="ChartandTableFootnoteSmall">
    <w:name w:val="Chart and Table Footnote Small"/>
    <w:basedOn w:val="Normal"/>
    <w:uiPriority w:val="99"/>
    <w:pPr>
      <w:spacing w:after="0" w:line="240" w:lineRule="auto"/>
      <w:ind w:left="284" w:hanging="284"/>
      <w:jc w:val="left"/>
    </w:pPr>
    <w:rPr>
      <w:rFonts w:ascii="Helvetica" w:hAnsi="Helvetica"/>
      <w:sz w:val="15"/>
    </w:rPr>
  </w:style>
  <w:style w:type="paragraph" w:customStyle="1" w:styleId="Source">
    <w:name w:val="Source"/>
    <w:basedOn w:val="HeadingBase"/>
    <w:next w:val="Normal"/>
    <w:uiPriority w:val="99"/>
    <w:rPr>
      <w:color w:val="000000"/>
      <w:sz w:val="16"/>
    </w:rPr>
  </w:style>
  <w:style w:type="paragraph" w:customStyle="1" w:styleId="Normalbold">
    <w:name w:val="Normal bold"/>
    <w:basedOn w:val="Normal"/>
    <w:uiPriority w:val="99"/>
    <w:pPr>
      <w:jc w:val="left"/>
    </w:pPr>
    <w:rPr>
      <w:b/>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paragraph" w:customStyle="1" w:styleId="Pa2">
    <w:name w:val="Pa2"/>
    <w:basedOn w:val="Normal"/>
    <w:next w:val="Normal"/>
    <w:uiPriority w:val="99"/>
    <w:pPr>
      <w:autoSpaceDE w:val="0"/>
      <w:autoSpaceDN w:val="0"/>
      <w:adjustRightInd w:val="0"/>
      <w:spacing w:after="100" w:line="180" w:lineRule="atLeast"/>
      <w:jc w:val="left"/>
    </w:pPr>
    <w:rPr>
      <w:rFonts w:ascii="Helvetica Neue" w:hAnsi="Helvetica Neue"/>
      <w:color w:val="auto"/>
      <w:sz w:val="24"/>
      <w:szCs w:val="24"/>
    </w:rPr>
  </w:style>
  <w:style w:type="character" w:customStyle="1" w:styleId="DashCharChar">
    <w:name w:val="Dash Char Char"/>
    <w:basedOn w:val="DefaultParagraphFont"/>
    <w:link w:val="DashChar"/>
    <w:uiPriority w:val="99"/>
    <w:locked/>
    <w:rPr>
      <w:rFonts w:ascii="Book Antiqua" w:hAnsi="Book Antiqua" w:cs="Times New Roman"/>
      <w:color w:val="000000"/>
      <w:lang w:val="en-AU" w:eastAsia="en-AU" w:bidi="ar-SA"/>
    </w:rPr>
  </w:style>
  <w:style w:type="character" w:styleId="FollowedHyperlink">
    <w:name w:val="FollowedHyperlink"/>
    <w:basedOn w:val="DefaultParagraphFont"/>
    <w:uiPriority w:val="99"/>
    <w:rsid w:val="004E69A5"/>
    <w:rPr>
      <w:rFonts w:cs="Times New Roman"/>
      <w:color w:val="000000"/>
      <w:u w:val="none"/>
    </w:rPr>
  </w:style>
  <w:style w:type="table" w:styleId="TableGrid">
    <w:name w:val="Table Grid"/>
    <w:basedOn w:val="TableNormal"/>
    <w:uiPriority w:val="99"/>
    <w:rsid w:val="00D476E8"/>
    <w:pPr>
      <w:spacing w:after="240" w:line="2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
    <w:name w:val="Dash"/>
    <w:basedOn w:val="Normal"/>
    <w:uiPriority w:val="99"/>
    <w:rsid w:val="004E69A5"/>
    <w:pPr>
      <w:numPr>
        <w:ilvl w:val="1"/>
        <w:numId w:val="1"/>
      </w:numPr>
      <w:ind w:left="568"/>
    </w:pPr>
  </w:style>
  <w:style w:type="paragraph" w:customStyle="1" w:styleId="Heading3TOC">
    <w:name w:val="Heading 3 TOC"/>
    <w:basedOn w:val="Heading3"/>
    <w:uiPriority w:val="99"/>
    <w:rsid w:val="00721EC1"/>
    <w:pPr>
      <w:jc w:val="both"/>
    </w:pPr>
  </w:style>
  <w:style w:type="paragraph" w:customStyle="1" w:styleId="CharChar1Char">
    <w:name w:val="Char Char1 Char"/>
    <w:basedOn w:val="Normal"/>
    <w:link w:val="DefaultParagraphFont"/>
    <w:uiPriority w:val="99"/>
    <w:rsid w:val="00FB054B"/>
    <w:pPr>
      <w:spacing w:after="160" w:line="240" w:lineRule="exact"/>
      <w:jc w:val="left"/>
    </w:pPr>
    <w:rPr>
      <w:rFonts w:ascii="Times New Roman" w:hAnsi="Times New Roman"/>
      <w:color w:val="auto"/>
      <w:sz w:val="22"/>
      <w:lang w:val="en-GB" w:eastAsia="en-US"/>
    </w:rPr>
  </w:style>
  <w:style w:type="paragraph" w:customStyle="1" w:styleId="Heading3noTOC">
    <w:name w:val="Heading 3 no TOC"/>
    <w:basedOn w:val="Heading3"/>
    <w:uiPriority w:val="99"/>
    <w:rsid w:val="004E69A5"/>
    <w:pPr>
      <w:outlineLvl w:val="9"/>
    </w:pPr>
  </w:style>
  <w:style w:type="paragraph" w:customStyle="1" w:styleId="Style1">
    <w:name w:val="Style1"/>
    <w:basedOn w:val="AppendixAHeading3"/>
    <w:next w:val="AppendixAHeading4"/>
    <w:uiPriority w:val="99"/>
    <w:rsid w:val="004E69A5"/>
    <w:pPr>
      <w:numPr>
        <w:numId w:val="0"/>
      </w:numPr>
    </w:pPr>
  </w:style>
  <w:style w:type="paragraph" w:customStyle="1" w:styleId="AppendixAHeading3NotItalic">
    <w:name w:val="AppendixAHeading3NotItalic"/>
    <w:basedOn w:val="HeadingBase"/>
    <w:next w:val="AppendixAHeading4"/>
    <w:uiPriority w:val="99"/>
    <w:rsid w:val="004E69A5"/>
    <w:pPr>
      <w:numPr>
        <w:numId w:val="43"/>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4E69A5"/>
  </w:style>
  <w:style w:type="paragraph" w:customStyle="1" w:styleId="CharChar1CharCharCharCharCharCharCharCharCharCharCharCharCharCharCharChar">
    <w:name w:val="Char Char1 Char Char Char Char Char Char Char Char Char Char Char Char Char Char Char Char"/>
    <w:basedOn w:val="Normal"/>
    <w:uiPriority w:val="99"/>
    <w:rsid w:val="00936058"/>
    <w:pPr>
      <w:spacing w:after="0" w:line="320" w:lineRule="exact"/>
      <w:jc w:val="left"/>
    </w:pPr>
    <w:rPr>
      <w:rFonts w:ascii="Arial" w:hAnsi="Arial"/>
      <w:noProof/>
      <w:sz w:val="22"/>
      <w:szCs w:val="22"/>
      <w:lang w:eastAsia="en-US"/>
    </w:rPr>
  </w:style>
  <w:style w:type="paragraph" w:customStyle="1" w:styleId="CharCharCharCharCharChar">
    <w:name w:val="Char Char Char Char Char Char"/>
    <w:basedOn w:val="Normal"/>
    <w:uiPriority w:val="99"/>
    <w:semiHidden/>
    <w:rsid w:val="00C669D4"/>
    <w:pPr>
      <w:spacing w:after="160" w:line="240" w:lineRule="exact"/>
      <w:jc w:val="left"/>
    </w:pPr>
    <w:rPr>
      <w:rFonts w:ascii="Verdana" w:hAnsi="Verdana"/>
      <w:szCs w:val="24"/>
      <w:lang w:val="en-US" w:eastAsia="en-US"/>
    </w:rPr>
  </w:style>
  <w:style w:type="paragraph" w:customStyle="1" w:styleId="Heading2noTOC">
    <w:name w:val="Heading 2 no TOC"/>
    <w:basedOn w:val="Heading2"/>
    <w:next w:val="Normal"/>
    <w:uiPriority w:val="99"/>
    <w:rsid w:val="004E69A5"/>
    <w:pPr>
      <w:outlineLvl w:val="9"/>
    </w:pPr>
    <w:rPr>
      <w:rFonts w:ascii="Arial" w:hAnsi="Arial"/>
    </w:rPr>
  </w:style>
  <w:style w:type="paragraph" w:customStyle="1" w:styleId="Heading9noTOC">
    <w:name w:val="Heading 9 no TOC"/>
    <w:basedOn w:val="Heading9"/>
    <w:uiPriority w:val="99"/>
    <w:rsid w:val="004E69A5"/>
    <w:pPr>
      <w:outlineLvl w:val="9"/>
    </w:pPr>
  </w:style>
  <w:style w:type="paragraph" w:styleId="BodyText">
    <w:name w:val="Body Text"/>
    <w:basedOn w:val="Normal"/>
    <w:link w:val="BodyTextChar"/>
    <w:uiPriority w:val="99"/>
    <w:rsid w:val="00491FA7"/>
    <w:pPr>
      <w:spacing w:after="120"/>
    </w:pPr>
  </w:style>
  <w:style w:type="character" w:customStyle="1" w:styleId="BodyTextChar">
    <w:name w:val="Body Text Char"/>
    <w:basedOn w:val="DefaultParagraphFont"/>
    <w:link w:val="BodyText"/>
    <w:uiPriority w:val="99"/>
    <w:semiHidden/>
    <w:rPr>
      <w:rFonts w:ascii="Book Antiqua" w:hAnsi="Book Antiqu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85276">
      <w:marLeft w:val="0"/>
      <w:marRight w:val="0"/>
      <w:marTop w:val="0"/>
      <w:marBottom w:val="0"/>
      <w:divBdr>
        <w:top w:val="none" w:sz="0" w:space="0" w:color="auto"/>
        <w:left w:val="none" w:sz="0" w:space="0" w:color="auto"/>
        <w:bottom w:val="none" w:sz="0" w:space="0" w:color="auto"/>
        <w:right w:val="none" w:sz="0" w:space="0" w:color="auto"/>
      </w:divBdr>
    </w:div>
    <w:div w:id="1498185277">
      <w:marLeft w:val="0"/>
      <w:marRight w:val="0"/>
      <w:marTop w:val="0"/>
      <w:marBottom w:val="0"/>
      <w:divBdr>
        <w:top w:val="none" w:sz="0" w:space="0" w:color="auto"/>
        <w:left w:val="none" w:sz="0" w:space="0" w:color="auto"/>
        <w:bottom w:val="none" w:sz="0" w:space="0" w:color="auto"/>
        <w:right w:val="none" w:sz="0" w:space="0" w:color="auto"/>
      </w:divBdr>
    </w:div>
    <w:div w:id="1498185278">
      <w:marLeft w:val="0"/>
      <w:marRight w:val="0"/>
      <w:marTop w:val="0"/>
      <w:marBottom w:val="0"/>
      <w:divBdr>
        <w:top w:val="none" w:sz="0" w:space="0" w:color="auto"/>
        <w:left w:val="none" w:sz="0" w:space="0" w:color="auto"/>
        <w:bottom w:val="none" w:sz="0" w:space="0" w:color="auto"/>
        <w:right w:val="none" w:sz="0" w:space="0" w:color="auto"/>
      </w:divBdr>
    </w:div>
    <w:div w:id="1498185281">
      <w:marLeft w:val="0"/>
      <w:marRight w:val="0"/>
      <w:marTop w:val="0"/>
      <w:marBottom w:val="0"/>
      <w:divBdr>
        <w:top w:val="none" w:sz="0" w:space="0" w:color="auto"/>
        <w:left w:val="none" w:sz="0" w:space="0" w:color="auto"/>
        <w:bottom w:val="none" w:sz="0" w:space="0" w:color="auto"/>
        <w:right w:val="none" w:sz="0" w:space="0" w:color="auto"/>
      </w:divBdr>
      <w:divsChild>
        <w:div w:id="1498185284">
          <w:marLeft w:val="0"/>
          <w:marRight w:val="0"/>
          <w:marTop w:val="0"/>
          <w:marBottom w:val="0"/>
          <w:divBdr>
            <w:top w:val="none" w:sz="0" w:space="0" w:color="auto"/>
            <w:left w:val="none" w:sz="0" w:space="0" w:color="auto"/>
            <w:bottom w:val="none" w:sz="0" w:space="0" w:color="auto"/>
            <w:right w:val="none" w:sz="0" w:space="0" w:color="auto"/>
          </w:divBdr>
        </w:div>
      </w:divsChild>
    </w:div>
    <w:div w:id="1498185282">
      <w:marLeft w:val="0"/>
      <w:marRight w:val="0"/>
      <w:marTop w:val="0"/>
      <w:marBottom w:val="0"/>
      <w:divBdr>
        <w:top w:val="none" w:sz="0" w:space="0" w:color="auto"/>
        <w:left w:val="none" w:sz="0" w:space="0" w:color="auto"/>
        <w:bottom w:val="none" w:sz="0" w:space="0" w:color="auto"/>
        <w:right w:val="none" w:sz="0" w:space="0" w:color="auto"/>
      </w:divBdr>
      <w:divsChild>
        <w:div w:id="1498185280">
          <w:marLeft w:val="0"/>
          <w:marRight w:val="0"/>
          <w:marTop w:val="0"/>
          <w:marBottom w:val="0"/>
          <w:divBdr>
            <w:top w:val="none" w:sz="0" w:space="0" w:color="auto"/>
            <w:left w:val="none" w:sz="0" w:space="0" w:color="auto"/>
            <w:bottom w:val="none" w:sz="0" w:space="0" w:color="auto"/>
            <w:right w:val="none" w:sz="0" w:space="0" w:color="auto"/>
          </w:divBdr>
        </w:div>
      </w:divsChild>
    </w:div>
    <w:div w:id="1498185285">
      <w:marLeft w:val="0"/>
      <w:marRight w:val="0"/>
      <w:marTop w:val="0"/>
      <w:marBottom w:val="0"/>
      <w:divBdr>
        <w:top w:val="none" w:sz="0" w:space="0" w:color="auto"/>
        <w:left w:val="none" w:sz="0" w:space="0" w:color="auto"/>
        <w:bottom w:val="none" w:sz="0" w:space="0" w:color="auto"/>
        <w:right w:val="none" w:sz="0" w:space="0" w:color="auto"/>
      </w:divBdr>
    </w:div>
    <w:div w:id="1498185286">
      <w:marLeft w:val="0"/>
      <w:marRight w:val="0"/>
      <w:marTop w:val="0"/>
      <w:marBottom w:val="0"/>
      <w:divBdr>
        <w:top w:val="none" w:sz="0" w:space="0" w:color="auto"/>
        <w:left w:val="none" w:sz="0" w:space="0" w:color="auto"/>
        <w:bottom w:val="none" w:sz="0" w:space="0" w:color="auto"/>
        <w:right w:val="none" w:sz="0" w:space="0" w:color="auto"/>
      </w:divBdr>
      <w:divsChild>
        <w:div w:id="1498185283">
          <w:marLeft w:val="0"/>
          <w:marRight w:val="0"/>
          <w:marTop w:val="0"/>
          <w:marBottom w:val="0"/>
          <w:divBdr>
            <w:top w:val="none" w:sz="0" w:space="0" w:color="auto"/>
            <w:left w:val="none" w:sz="0" w:space="0" w:color="auto"/>
            <w:bottom w:val="none" w:sz="0" w:space="0" w:color="auto"/>
            <w:right w:val="none" w:sz="0" w:space="0" w:color="auto"/>
          </w:divBdr>
        </w:div>
      </w:divsChild>
    </w:div>
    <w:div w:id="1498185287">
      <w:marLeft w:val="0"/>
      <w:marRight w:val="0"/>
      <w:marTop w:val="0"/>
      <w:marBottom w:val="0"/>
      <w:divBdr>
        <w:top w:val="none" w:sz="0" w:space="0" w:color="auto"/>
        <w:left w:val="none" w:sz="0" w:space="0" w:color="auto"/>
        <w:bottom w:val="none" w:sz="0" w:space="0" w:color="auto"/>
        <w:right w:val="none" w:sz="0" w:space="0" w:color="auto"/>
      </w:divBdr>
    </w:div>
    <w:div w:id="1498185288">
      <w:marLeft w:val="0"/>
      <w:marRight w:val="0"/>
      <w:marTop w:val="0"/>
      <w:marBottom w:val="0"/>
      <w:divBdr>
        <w:top w:val="none" w:sz="0" w:space="0" w:color="auto"/>
        <w:left w:val="none" w:sz="0" w:space="0" w:color="auto"/>
        <w:bottom w:val="none" w:sz="0" w:space="0" w:color="auto"/>
        <w:right w:val="none" w:sz="0" w:space="0" w:color="auto"/>
      </w:divBdr>
    </w:div>
    <w:div w:id="1498185289">
      <w:marLeft w:val="0"/>
      <w:marRight w:val="0"/>
      <w:marTop w:val="0"/>
      <w:marBottom w:val="0"/>
      <w:divBdr>
        <w:top w:val="none" w:sz="0" w:space="0" w:color="auto"/>
        <w:left w:val="none" w:sz="0" w:space="0" w:color="auto"/>
        <w:bottom w:val="none" w:sz="0" w:space="0" w:color="auto"/>
        <w:right w:val="none" w:sz="0" w:space="0" w:color="auto"/>
      </w:divBdr>
      <w:divsChild>
        <w:div w:id="1498185279">
          <w:marLeft w:val="0"/>
          <w:marRight w:val="0"/>
          <w:marTop w:val="0"/>
          <w:marBottom w:val="0"/>
          <w:divBdr>
            <w:top w:val="none" w:sz="0" w:space="0" w:color="auto"/>
            <w:left w:val="none" w:sz="0" w:space="0" w:color="auto"/>
            <w:bottom w:val="none" w:sz="0" w:space="0" w:color="auto"/>
            <w:right w:val="none" w:sz="0" w:space="0" w:color="auto"/>
          </w:divBdr>
        </w:div>
      </w:divsChild>
    </w:div>
    <w:div w:id="1498185290">
      <w:marLeft w:val="0"/>
      <w:marRight w:val="0"/>
      <w:marTop w:val="0"/>
      <w:marBottom w:val="0"/>
      <w:divBdr>
        <w:top w:val="none" w:sz="0" w:space="0" w:color="auto"/>
        <w:left w:val="none" w:sz="0" w:space="0" w:color="auto"/>
        <w:bottom w:val="none" w:sz="0" w:space="0" w:color="auto"/>
        <w:right w:val="none" w:sz="0" w:space="0" w:color="auto"/>
      </w:divBdr>
    </w:div>
    <w:div w:id="1498185291">
      <w:marLeft w:val="0"/>
      <w:marRight w:val="0"/>
      <w:marTop w:val="0"/>
      <w:marBottom w:val="0"/>
      <w:divBdr>
        <w:top w:val="none" w:sz="0" w:space="0" w:color="auto"/>
        <w:left w:val="none" w:sz="0" w:space="0" w:color="auto"/>
        <w:bottom w:val="none" w:sz="0" w:space="0" w:color="auto"/>
        <w:right w:val="none" w:sz="0" w:space="0" w:color="auto"/>
      </w:divBdr>
    </w:div>
    <w:div w:id="1498185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dfat.gov.au/trade/ftas.html"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usncp.gov.a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oecd.org/dataoecd/18/14/41816692.pdf" TargetMode="External"/><Relationship Id="rId20" Type="http://schemas.openxmlformats.org/officeDocument/2006/relationships/oleObject" Target="file:///\\romulus\mg$\FIR_BR\Annual%20Reports%20-%20FIRB%20&amp;%20Treasury\FIRB%20Annual%20Report\2008%20Annual%20Report\Spreadsheets\2007-08%20Chart_4_1.xls!Sheet1!%5b2007-08%20Chart_4_1.xls%5dSheet1%20Chart%20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file:///\\romulus\mg$\FIR_BR\Annual%20Reports%20-%20FIRB%20&amp;%20Treasury\FIRB%20Annual%20Report\2008%20Annual%20Report\Spreadsheets\2007-08%20Chart_4_2.xls!Sheet1!%5b2007-08%20Chart_4_2.xls%5dSheet1%20Chart%202" TargetMode="External"/><Relationship Id="rId5" Type="http://schemas.openxmlformats.org/officeDocument/2006/relationships/webSettings" Target="webSettings.xml"/><Relationship Id="rId15" Type="http://schemas.openxmlformats.org/officeDocument/2006/relationships/hyperlink" Target="http://www.olis.oecd.org/olis/2000doc.nsf/4f7adc214b91a685c12569fa005d0ee7/c125692700623b74c1256991003b5147/$FILE/00085743.PDF"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file:///\\romulus\mg$\FIR_BR\Annual%20Reports%20-%20FIRB%20&amp;%20Treasury\FIRB%20Annual%20Report\2008%20Annual%20Report\Spreadsheets\2007-08%20Table_4_1.xls!Sheet1!R2C1:R26C6" TargetMode="External"/><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16</Pages>
  <Words>4278</Words>
  <Characters>24387</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Chapter 4 - FIRB 2007-08 Annual Report</vt:lpstr>
    </vt:vector>
  </TitlesOfParts>
  <Company>Australian Government - The Treasury</Company>
  <LinksUpToDate>false</LinksUpToDate>
  <CharactersWithSpaces>28608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 FIRB 2007-08 Annual Report</dc:title>
  <dc:creator>McCormack, Kate</dc:creator>
  <cp:lastModifiedBy>Keogh, Vicky</cp:lastModifiedBy>
  <cp:revision>2</cp:revision>
  <cp:lastPrinted>2009-07-29T04:09:00Z</cp:lastPrinted>
  <dcterms:created xsi:type="dcterms:W3CDTF">2016-01-18T00:51:00Z</dcterms:created>
  <dcterms:modified xsi:type="dcterms:W3CDTF">2016-01-18T00:51:00Z</dcterms:modified>
</cp:coreProperties>
</file>