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9C" w:rsidRDefault="00A5449C">
      <w:pPr>
        <w:pStyle w:val="CoverTitleMain"/>
      </w:pPr>
      <w:bookmarkStart w:id="0" w:name="_GoBack"/>
      <w:bookmarkEnd w:id="0"/>
      <w:r>
        <w:t>Foreign Investment</w:t>
      </w:r>
    </w:p>
    <w:p w:rsidR="00A5449C" w:rsidRDefault="00A5449C">
      <w:pPr>
        <w:pStyle w:val="CoverTitleMain"/>
      </w:pPr>
      <w:r>
        <w:t>Review Board</w:t>
      </w:r>
    </w:p>
    <w:p w:rsidR="00C423CE" w:rsidRPr="00C423CE" w:rsidRDefault="00C423CE" w:rsidP="00C423CE"/>
    <w:p w:rsidR="00C423CE" w:rsidRPr="00C423CE" w:rsidRDefault="00C423CE" w:rsidP="00C423CE"/>
    <w:p w:rsidR="00C423CE" w:rsidRPr="00C423CE" w:rsidRDefault="00A5449C" w:rsidP="00C423CE">
      <w:pPr>
        <w:pStyle w:val="CoverTitleMain"/>
        <w:spacing w:after="0"/>
        <w:rPr>
          <w:sz w:val="36"/>
          <w:szCs w:val="36"/>
        </w:rPr>
      </w:pPr>
      <w:r w:rsidRPr="00C423CE">
        <w:rPr>
          <w:sz w:val="36"/>
          <w:szCs w:val="36"/>
        </w:rPr>
        <w:t>Annual Report</w:t>
      </w:r>
    </w:p>
    <w:p w:rsidR="00A5449C" w:rsidRPr="00C423CE" w:rsidRDefault="00A5449C" w:rsidP="00C423CE">
      <w:pPr>
        <w:pStyle w:val="CoverTitleMain"/>
        <w:spacing w:after="0"/>
        <w:rPr>
          <w:sz w:val="36"/>
          <w:szCs w:val="36"/>
        </w:rPr>
      </w:pPr>
      <w:r w:rsidRPr="00C423CE">
        <w:rPr>
          <w:sz w:val="36"/>
          <w:szCs w:val="36"/>
        </w:rPr>
        <w:t>200</w:t>
      </w:r>
      <w:r w:rsidR="005D391B">
        <w:rPr>
          <w:sz w:val="36"/>
          <w:szCs w:val="36"/>
        </w:rPr>
        <w:t>9</w:t>
      </w:r>
      <w:r w:rsidR="00D9142C">
        <w:rPr>
          <w:sz w:val="36"/>
          <w:szCs w:val="36"/>
        </w:rPr>
        <w:noBreakHyphen/>
      </w:r>
      <w:r w:rsidR="005D391B">
        <w:rPr>
          <w:sz w:val="36"/>
          <w:szCs w:val="36"/>
        </w:rPr>
        <w:t>10</w:t>
      </w:r>
    </w:p>
    <w:p w:rsidR="00A5449C" w:rsidRDefault="00A5449C"/>
    <w:p w:rsidR="00A5449C" w:rsidRDefault="00A5449C">
      <w:pPr>
        <w:sectPr w:rsidR="00A5449C" w:rsidSect="007A7BB8">
          <w:headerReference w:type="even" r:id="rId9"/>
          <w:headerReference w:type="default" r:id="rId10"/>
          <w:footerReference w:type="even" r:id="rId11"/>
          <w:footerReference w:type="default" r:id="rId12"/>
          <w:pgSz w:w="11907" w:h="16840" w:code="9"/>
          <w:pgMar w:top="2466" w:right="2098" w:bottom="2466" w:left="2098" w:header="1899" w:footer="1899" w:gutter="0"/>
          <w:cols w:space="708"/>
          <w:vAlign w:val="center"/>
          <w:titlePg/>
          <w:docGrid w:linePitch="360"/>
        </w:sectPr>
      </w:pPr>
    </w:p>
    <w:p w:rsidR="006318D8" w:rsidRDefault="006318D8" w:rsidP="006318D8">
      <w:r>
        <w:rPr>
          <w:rFonts w:ascii="Symbol" w:hAnsi="Symbol"/>
        </w:rPr>
        <w:lastRenderedPageBreak/>
        <w:t></w:t>
      </w:r>
      <w:r>
        <w:t xml:space="preserve"> Commonwealth of Australia 2011</w:t>
      </w:r>
    </w:p>
    <w:p w:rsidR="006318D8" w:rsidRDefault="006318D8" w:rsidP="006318D8">
      <w:r w:rsidRPr="001C669A">
        <w:t>ISBN</w:t>
      </w:r>
      <w:r w:rsidR="001C669A">
        <w:t xml:space="preserve"> </w:t>
      </w:r>
      <w:r w:rsidR="001C669A" w:rsidRPr="001C669A">
        <w:t>978-0-642-74679-5</w:t>
      </w:r>
    </w:p>
    <w:p w:rsidR="0010222E" w:rsidRDefault="006318D8" w:rsidP="006318D8">
      <w:r>
        <w:rPr>
          <w:noProof/>
        </w:rPr>
        <w:drawing>
          <wp:anchor distT="0" distB="0" distL="0" distR="0" simplePos="0" relativeHeight="251658240" behindDoc="0" locked="0" layoutInCell="1" allowOverlap="0">
            <wp:simplePos x="0" y="0"/>
            <wp:positionH relativeFrom="column">
              <wp:posOffset>0</wp:posOffset>
            </wp:positionH>
            <wp:positionV relativeFrom="line">
              <wp:posOffset>4445</wp:posOffset>
            </wp:positionV>
            <wp:extent cx="809625" cy="285750"/>
            <wp:effectExtent l="19050" t="0" r="9525" b="0"/>
            <wp:wrapSquare wrapText="bothSides"/>
            <wp:docPr id="1"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3" cstate="print"/>
                    <a:srcRect/>
                    <a:stretch>
                      <a:fillRect/>
                    </a:stretch>
                  </pic:blipFill>
                  <pic:spPr bwMode="auto">
                    <a:xfrm>
                      <a:off x="0" y="0"/>
                      <a:ext cx="809625" cy="285750"/>
                    </a:xfrm>
                    <a:prstGeom prst="rect">
                      <a:avLst/>
                    </a:prstGeom>
                    <a:noFill/>
                  </pic:spPr>
                </pic:pic>
              </a:graphicData>
            </a:graphic>
          </wp:anchor>
        </w:drawing>
      </w:r>
    </w:p>
    <w:p w:rsidR="0010222E" w:rsidRDefault="0010222E" w:rsidP="0010222E">
      <w:pPr>
        <w:pStyle w:val="SingleParagraph"/>
      </w:pPr>
    </w:p>
    <w:p w:rsidR="006318D8" w:rsidRDefault="006318D8" w:rsidP="006318D8">
      <w:r>
        <w:t xml:space="preserve">This report is licensed by The Department of the Treasury as representing the Commonwealth of Australia under a Creative Commons Attribution 3.0 Australia licence. To view a copy of this licence, visit </w:t>
      </w:r>
      <w:hyperlink r:id="rId14" w:history="1">
        <w:r>
          <w:rPr>
            <w:rStyle w:val="Hyperlink"/>
          </w:rPr>
          <w:t>http://creativecommons.org/licenses/by/3.0/au</w:t>
        </w:r>
      </w:hyperlink>
      <w:r>
        <w:t>.</w:t>
      </w:r>
    </w:p>
    <w:p w:rsidR="006318D8" w:rsidRDefault="006318D8" w:rsidP="006318D8">
      <w:r>
        <w:t>In essence, you are free to copy, communicate and adapt the work, as long as you attribute the work to The Department of the Treasury and abide by the other licence terms.</w:t>
      </w:r>
    </w:p>
    <w:p w:rsidR="006318D8" w:rsidRDefault="006318D8" w:rsidP="006318D8">
      <w:r>
        <w:t>Please note that no departmental or governmental emblem, logo or Coat of Arms may be used in any way which infringes any law governing their use. Attribution to The Treasury as representing the Commonwealth of Australia</w:t>
      </w:r>
      <w:r>
        <w:rPr>
          <w:i/>
          <w:iCs/>
        </w:rPr>
        <w:t xml:space="preserve"> </w:t>
      </w:r>
      <w:r>
        <w:t xml:space="preserve">should be in written form and not by reproduction of any such emblem, logo or Coat of Arms. </w:t>
      </w:r>
    </w:p>
    <w:p w:rsidR="006318D8" w:rsidRDefault="006318D8" w:rsidP="006318D8">
      <w:r w:rsidRPr="006318D8">
        <w:t xml:space="preserve">For terms of use of Coat of Arms visit </w:t>
      </w:r>
      <w:r w:rsidRPr="006318D8">
        <w:rPr>
          <w:i/>
        </w:rPr>
        <w:t>It’s an Honour</w:t>
      </w:r>
      <w:r w:rsidRPr="006318D8">
        <w:t xml:space="preserve"> at </w:t>
      </w:r>
      <w:hyperlink r:id="rId15" w:history="1">
        <w:r w:rsidRPr="006318D8">
          <w:t>http://www.itsanhonour.gov.au/coat</w:t>
        </w:r>
        <w:r w:rsidR="00D9142C">
          <w:noBreakHyphen/>
        </w:r>
        <w:r w:rsidRPr="006318D8">
          <w:t>arms/index.cfm</w:t>
        </w:r>
      </w:hyperlink>
      <w:r w:rsidRPr="006318D8">
        <w:t>.</w:t>
      </w:r>
    </w:p>
    <w:p w:rsidR="00A5449C" w:rsidRDefault="00A5449C"/>
    <w:p w:rsidR="00A5449C" w:rsidRDefault="00A5449C"/>
    <w:p w:rsidR="00A5449C" w:rsidRDefault="00A5449C"/>
    <w:p w:rsidR="00A5449C" w:rsidRDefault="00A5449C"/>
    <w:p w:rsidR="00A5449C" w:rsidRDefault="00A5449C"/>
    <w:p w:rsidR="00A5449C" w:rsidRDefault="00A5449C"/>
    <w:p w:rsidR="00A5449C" w:rsidRDefault="00A5449C">
      <w:r>
        <w:t>A copy of this document appears on the Foreign Investment Review Board website at www.firb.gov.au.</w:t>
      </w:r>
    </w:p>
    <w:p w:rsidR="00A5449C" w:rsidRDefault="00A5449C"/>
    <w:p w:rsidR="00A5449C" w:rsidRDefault="00A5449C"/>
    <w:p w:rsidR="00A5449C" w:rsidRDefault="00A5449C">
      <w:r w:rsidRPr="00872DED">
        <w:t>Printed by</w:t>
      </w:r>
      <w:r w:rsidR="00A35153" w:rsidRPr="00872DED">
        <w:t xml:space="preserve"> </w:t>
      </w:r>
      <w:r w:rsidR="00872DED" w:rsidRPr="00872DED">
        <w:t>CanPrint Communications Pty Ltd.</w:t>
      </w:r>
    </w:p>
    <w:p w:rsidR="00A5449C" w:rsidRDefault="00A5449C"/>
    <w:p w:rsidR="001300F9" w:rsidRDefault="001300F9">
      <w:pPr>
        <w:sectPr w:rsidR="001300F9" w:rsidSect="007A7BB8">
          <w:headerReference w:type="first" r:id="rId16"/>
          <w:footerReference w:type="first" r:id="rId17"/>
          <w:pgSz w:w="11907" w:h="16840" w:code="9"/>
          <w:pgMar w:top="2466" w:right="2098" w:bottom="2466" w:left="2098" w:header="1899" w:footer="1899" w:gutter="0"/>
          <w:cols w:space="708"/>
          <w:titlePg/>
          <w:docGrid w:linePitch="360"/>
        </w:sectPr>
      </w:pPr>
    </w:p>
    <w:p w:rsidR="001E1A9A" w:rsidRPr="00F64D4E" w:rsidRDefault="001E1A9A" w:rsidP="00DA0BF2">
      <w:pPr>
        <w:pStyle w:val="ChairmanLetter"/>
        <w:jc w:val="right"/>
      </w:pPr>
      <w:r w:rsidRPr="00F64D4E">
        <w:lastRenderedPageBreak/>
        <w:t>25 January 2011</w:t>
      </w:r>
    </w:p>
    <w:p w:rsidR="001E1A9A" w:rsidRPr="00F64D4E" w:rsidRDefault="001E1A9A" w:rsidP="001E1A9A">
      <w:pPr>
        <w:pStyle w:val="SinglePara"/>
        <w:jc w:val="right"/>
        <w:rPr>
          <w:sz w:val="22"/>
          <w:szCs w:val="22"/>
        </w:rPr>
      </w:pPr>
    </w:p>
    <w:p w:rsidR="001E1A9A" w:rsidRPr="00F64D4E" w:rsidRDefault="001E1A9A" w:rsidP="00DA0BF2">
      <w:pPr>
        <w:pStyle w:val="ChairmanLetter"/>
      </w:pPr>
      <w:r w:rsidRPr="00F64D4E">
        <w:t>The Hon Wayne Swan MP</w:t>
      </w:r>
      <w:r w:rsidRPr="00F64D4E">
        <w:br/>
        <w:t>Deputy Prime Minister and Treasurer</w:t>
      </w:r>
      <w:r w:rsidRPr="00F64D4E">
        <w:br/>
        <w:t>Parliament House</w:t>
      </w:r>
      <w:r w:rsidRPr="00F64D4E">
        <w:br/>
        <w:t>CANBERRA  ACT  2600</w:t>
      </w:r>
    </w:p>
    <w:p w:rsidR="001E1A9A" w:rsidRPr="00F64D4E" w:rsidRDefault="001E1A9A" w:rsidP="00DA0BF2">
      <w:pPr>
        <w:pStyle w:val="ChairmanLetter"/>
      </w:pPr>
      <w:r w:rsidRPr="00F64D4E">
        <w:t>Dear Deputy Prime Minister and Treasurer</w:t>
      </w:r>
    </w:p>
    <w:p w:rsidR="001E1A9A" w:rsidRPr="00F64D4E" w:rsidRDefault="001E1A9A" w:rsidP="00DA0BF2">
      <w:pPr>
        <w:pStyle w:val="ChairmanLetter"/>
      </w:pPr>
      <w:r w:rsidRPr="00F64D4E">
        <w:t xml:space="preserve">I am pleased to present the annual report of the Foreign Investment Review Board for the year ended 30 June 2010. This report has been prepared in accordance with the Board’s responsibility to advise the Government on foreign investment matters. It outlines the activities of the Board, provides a summary of the year’s foreign investment proposals, and comments on the levels of foreign investment in Australia and Australian investment abroad. The Report also provides an overview of the main provisions of the </w:t>
      </w:r>
      <w:r w:rsidRPr="00F64D4E">
        <w:rPr>
          <w:i/>
        </w:rPr>
        <w:t>Foreign Acquisitions and Takeovers Act 1975</w:t>
      </w:r>
      <w:r w:rsidRPr="00F64D4E">
        <w:t>.</w:t>
      </w:r>
    </w:p>
    <w:p w:rsidR="001E1A9A" w:rsidRPr="00F64D4E" w:rsidRDefault="001E1A9A" w:rsidP="00DA0BF2">
      <w:pPr>
        <w:pStyle w:val="ChairmanLetter"/>
      </w:pPr>
      <w:r w:rsidRPr="00F64D4E">
        <w:t>The past year has represented a period of renewal at the Board level with long</w:t>
      </w:r>
      <w:r w:rsidRPr="00F64D4E">
        <w:noBreakHyphen/>
        <w:t xml:space="preserve">serving members, the Hon. Chris Miles and Ms Lynn Wood, retiring after many years of outstanding service. In December 2009, you announced that the Board would be expanded from four members to five (including the Executive Member), and that Mr Brian Wilson and Mr Hamish Douglass would be appointed to the Board. The aim was to broaden the expertise and experience of the Board. I consider that objective has been achieved because the new Board is working well and the new members have already made valuable contributions to the workings of the Board. On behalf of the other members of the Board, I would like to take this opportunity to welcome the appointment of Ms Anna Buduls who joined the Board on 15 July 2010. </w:t>
      </w:r>
    </w:p>
    <w:p w:rsidR="001E1A9A" w:rsidRPr="00F64D4E" w:rsidRDefault="001E1A9A" w:rsidP="00DA0BF2">
      <w:pPr>
        <w:pStyle w:val="ChairmanLetter"/>
      </w:pPr>
      <w:r w:rsidRPr="00F64D4E">
        <w:t>The Board’s key function is to examine the more significant foreign investment applications against the Government’s foreign investment policy and advise on potential national interest concerns. The Board examined a range of high profile investment applications throughout the year. In 2009</w:t>
      </w:r>
      <w:r w:rsidRPr="00F64D4E">
        <w:noBreakHyphen/>
        <w:t>10, the overwhelming majority of business applications were in the resources sector, continuing a trend from the previous year. Mineral exploration and development applications accounted for around two</w:t>
      </w:r>
      <w:r w:rsidRPr="00F64D4E">
        <w:noBreakHyphen/>
        <w:t xml:space="preserve">thirds of the value of all proposals (excluding real estate) and around 60 per cent of the number received (again excluding real estate applications). </w:t>
      </w:r>
    </w:p>
    <w:p w:rsidR="001E1A9A" w:rsidRPr="00F64D4E" w:rsidRDefault="001E1A9A" w:rsidP="00DA0BF2">
      <w:pPr>
        <w:pStyle w:val="ChairmanLetter"/>
      </w:pPr>
      <w:r w:rsidRPr="00F64D4E">
        <w:t>Many of these foreign investment applications involved significant levels of proposed investment. There were 92 applications involving total investment of $100 million or more</w:t>
      </w:r>
      <w:bookmarkStart w:id="1" w:name="OLE_LINK1"/>
      <w:bookmarkStart w:id="2" w:name="OLE_LINK2"/>
      <w:r w:rsidRPr="00F64D4E">
        <w:t xml:space="preserve">, including 18 for </w:t>
      </w:r>
      <w:bookmarkStart w:id="3" w:name="OLE_LINK34"/>
      <w:bookmarkStart w:id="4" w:name="OLE_LINK35"/>
      <w:r w:rsidRPr="00F64D4E">
        <w:t>$1 billion</w:t>
      </w:r>
      <w:bookmarkEnd w:id="1"/>
      <w:bookmarkEnd w:id="2"/>
      <w:r w:rsidRPr="00F64D4E">
        <w:t xml:space="preserve"> or more</w:t>
      </w:r>
      <w:bookmarkEnd w:id="3"/>
      <w:bookmarkEnd w:id="4"/>
      <w:r w:rsidRPr="00F64D4E">
        <w:t xml:space="preserve"> (compared with 15 in 2008</w:t>
      </w:r>
      <w:r w:rsidRPr="00F64D4E">
        <w:noBreakHyphen/>
        <w:t>09). These 18</w:t>
      </w:r>
      <w:r w:rsidR="001A0ADE">
        <w:t> </w:t>
      </w:r>
      <w:r w:rsidRPr="00F64D4E">
        <w:t>proposals accounted for a combined proposed investment of $51.4 billion (64</w:t>
      </w:r>
      <w:r w:rsidR="001A0ADE">
        <w:t> </w:t>
      </w:r>
      <w:r w:rsidRPr="00F64D4E">
        <w:t>per</w:t>
      </w:r>
      <w:r w:rsidR="001A0ADE">
        <w:t> </w:t>
      </w:r>
      <w:r w:rsidRPr="00F64D4E">
        <w:t>cent of the proposed investment in this sector).</w:t>
      </w:r>
    </w:p>
    <w:p w:rsidR="001E1A9A" w:rsidRPr="00F64D4E" w:rsidRDefault="001E1A9A" w:rsidP="00DA0BF2">
      <w:pPr>
        <w:pStyle w:val="ChairmanLetter"/>
      </w:pPr>
      <w:r w:rsidRPr="00F64D4E">
        <w:lastRenderedPageBreak/>
        <w:t>The United States was again the largest investor in terms of FIRB approvals, followed by the United Kingdom and China. The combined value of proposals from these three countries accounted for around 60 per cent of all approvals.</w:t>
      </w:r>
    </w:p>
    <w:p w:rsidR="001E1A9A" w:rsidRPr="00F64D4E" w:rsidRDefault="001E1A9A" w:rsidP="00DA0BF2">
      <w:pPr>
        <w:pStyle w:val="ChairmanLetter"/>
      </w:pPr>
      <w:r w:rsidRPr="00F64D4E">
        <w:t>In providing advice to the Government on foreign investment applications, the Board was assisted by the Secretariat located in the Treasury. Given the significance of investment in the resources sector, the Board was provided detailed briefings on various industries, including the iron ore, coal and petroleum industries. These briefings provided useful guidance about the size of these specific sectors and their importance to Australia, and I have asked that they become a permanent feature of Board meetings.</w:t>
      </w:r>
    </w:p>
    <w:p w:rsidR="001E1A9A" w:rsidRPr="00F64D4E" w:rsidRDefault="001E1A9A" w:rsidP="00DA0BF2">
      <w:pPr>
        <w:pStyle w:val="ChairmanLetter"/>
      </w:pPr>
      <w:r w:rsidRPr="00F64D4E">
        <w:t>The Board continues to foster a better awareness and understanding, both locally and abroad, of Australia’s foreign investment arrangements. This year we released the new easy</w:t>
      </w:r>
      <w:r w:rsidRPr="00F64D4E">
        <w:noBreakHyphen/>
        <w:t>to</w:t>
      </w:r>
      <w:r w:rsidRPr="00F64D4E">
        <w:noBreakHyphen/>
        <w:t>read version of the Foreign Investment Policy. This was the first update of the Policy for several years and the first time that we have provided detailed guidance on the factors that are considered when determining if an investment is contrary to the national interest. Importantly, given the increase in government investment in recent years, the Policy provides a clear definition of direct investment by foreign governments and a definition of foreign governments and their related entities (which includes entities in which foreign governments hold a 15 per cent stake).</w:t>
      </w:r>
    </w:p>
    <w:p w:rsidR="001E1A9A" w:rsidRPr="00F64D4E" w:rsidRDefault="001E1A9A" w:rsidP="00DA0BF2">
      <w:pPr>
        <w:pStyle w:val="ChairmanLetter"/>
      </w:pPr>
      <w:r w:rsidRPr="00F64D4E">
        <w:t>The Board is also involved in ensuring compliance with Australia’s foreign investment arrangements. Following the real estate changes that were announced on 24</w:t>
      </w:r>
      <w:r w:rsidR="001A0ADE">
        <w:t> </w:t>
      </w:r>
      <w:r w:rsidRPr="00F64D4E">
        <w:t>April</w:t>
      </w:r>
      <w:r w:rsidR="001A0ADE">
        <w:t> </w:t>
      </w:r>
      <w:r w:rsidRPr="00F64D4E">
        <w:t xml:space="preserve">2010, the Secretariat increased its existing compliance capabilities by recruiting a senior compliance officer who has built upon existing compliance capacity to create a dedicated compliance team. The Board continues to oversee the development of this systemic and structured compliance regime. </w:t>
      </w:r>
    </w:p>
    <w:p w:rsidR="00A5449C" w:rsidRPr="00F64D4E" w:rsidRDefault="00A5449C" w:rsidP="001E1A9A">
      <w:pPr>
        <w:rPr>
          <w:rFonts w:ascii="Times New Roman" w:hAnsi="Times New Roman"/>
          <w:sz w:val="22"/>
          <w:szCs w:val="22"/>
        </w:rPr>
      </w:pPr>
    </w:p>
    <w:p w:rsidR="00DA0BF2" w:rsidRDefault="001E1A9A" w:rsidP="00DA0BF2">
      <w:pPr>
        <w:pStyle w:val="ChairmanLetter"/>
      </w:pPr>
      <w:r w:rsidRPr="00F64D4E">
        <w:t>Yours sincerely</w:t>
      </w:r>
    </w:p>
    <w:p w:rsidR="00DA0BF2" w:rsidRDefault="001E1A9A" w:rsidP="001E1A9A">
      <w:pPr>
        <w:spacing w:line="240" w:lineRule="auto"/>
        <w:jc w:val="left"/>
        <w:rPr>
          <w:rFonts w:ascii="Times New Roman" w:hAnsi="Times New Roman"/>
          <w:sz w:val="22"/>
          <w:szCs w:val="22"/>
        </w:rPr>
      </w:pPr>
      <w:r>
        <w:rPr>
          <w:noProof/>
        </w:rPr>
        <w:drawing>
          <wp:inline distT="0" distB="0" distL="0" distR="0">
            <wp:extent cx="1781175" cy="904875"/>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781175" cy="904875"/>
                    </a:xfrm>
                    <a:prstGeom prst="rect">
                      <a:avLst/>
                    </a:prstGeom>
                    <a:noFill/>
                    <a:ln w="9525">
                      <a:noFill/>
                      <a:miter lim="800000"/>
                      <a:headEnd/>
                      <a:tailEnd/>
                    </a:ln>
                  </pic:spPr>
                </pic:pic>
              </a:graphicData>
            </a:graphic>
          </wp:inline>
        </w:drawing>
      </w:r>
    </w:p>
    <w:p w:rsidR="001E1A9A" w:rsidRPr="00F64D4E" w:rsidRDefault="001E1A9A" w:rsidP="00DA0BF2">
      <w:pPr>
        <w:pStyle w:val="ChairmanLetter"/>
      </w:pPr>
      <w:r w:rsidRPr="00F64D4E">
        <w:t>M.J. Phillips AO</w:t>
      </w:r>
      <w:r w:rsidRPr="00F64D4E">
        <w:br/>
        <w:t>Chairman</w:t>
      </w:r>
    </w:p>
    <w:p w:rsidR="00A5449C" w:rsidRDefault="00A5449C" w:rsidP="006540F4">
      <w:pPr>
        <w:pStyle w:val="ChartGraphic"/>
      </w:pPr>
    </w:p>
    <w:p w:rsidR="001E1A9A" w:rsidRDefault="001E1A9A" w:rsidP="006540F4">
      <w:pPr>
        <w:pStyle w:val="ChartGraphic"/>
        <w:sectPr w:rsidR="001E1A9A" w:rsidSect="006836C8">
          <w:headerReference w:type="even" r:id="rId19"/>
          <w:headerReference w:type="first" r:id="rId20"/>
          <w:footerReference w:type="first" r:id="rId21"/>
          <w:pgSz w:w="11907" w:h="16840" w:code="9"/>
          <w:pgMar w:top="2466" w:right="2098" w:bottom="2466" w:left="2098" w:header="1899" w:footer="1899" w:gutter="0"/>
          <w:pgNumType w:fmt="lowerRoman"/>
          <w:cols w:space="708"/>
          <w:titlePg/>
          <w:docGrid w:linePitch="360"/>
        </w:sectPr>
      </w:pPr>
    </w:p>
    <w:p w:rsidR="00A5449C" w:rsidRDefault="00A5449C" w:rsidP="001B7805">
      <w:pPr>
        <w:pStyle w:val="ContentsHeading"/>
        <w:spacing w:after="0"/>
      </w:pPr>
      <w:r>
        <w:t>Contents</w:t>
      </w:r>
      <w:r w:rsidR="00476E7B">
        <w:fldChar w:fldCharType="begin"/>
      </w:r>
      <w:r w:rsidR="001E4823">
        <w:instrText xml:space="preserve"> RD  “</w:instrText>
      </w:r>
      <w:r w:rsidR="001E4823" w:rsidRPr="002A512D">
        <w:instrText>0</w:instrText>
      </w:r>
      <w:r w:rsidR="001E4823">
        <w:instrText>2</w:instrText>
      </w:r>
      <w:r w:rsidR="001E4823" w:rsidRPr="002A512D">
        <w:instrText xml:space="preserve"> </w:instrText>
      </w:r>
      <w:r w:rsidR="001E4823">
        <w:instrText>A</w:instrText>
      </w:r>
      <w:r w:rsidR="001E4823" w:rsidRPr="00103F26">
        <w:instrText>cronyms</w:instrText>
      </w:r>
      <w:r w:rsidR="001E4823">
        <w:instrText xml:space="preserve"> and</w:instrText>
      </w:r>
      <w:r w:rsidR="001E4823" w:rsidRPr="00103F26">
        <w:instrText xml:space="preserve"> abbreviations</w:instrText>
      </w:r>
      <w:r w:rsidR="001E4823" w:rsidRPr="002A512D">
        <w:instrText>.doc</w:instrText>
      </w:r>
      <w:r w:rsidR="00D44748">
        <w:instrText>x</w:instrText>
      </w:r>
      <w:r w:rsidR="001E4823">
        <w:instrText xml:space="preserve">” </w:instrText>
      </w:r>
      <w:r w:rsidR="00476E7B">
        <w:fldChar w:fldCharType="end"/>
      </w:r>
      <w:r w:rsidR="00476E7B">
        <w:fldChar w:fldCharType="begin"/>
      </w:r>
      <w:r w:rsidR="001E4823">
        <w:instrText xml:space="preserve"> RD  “</w:instrText>
      </w:r>
      <w:r w:rsidR="001E4823" w:rsidRPr="002A512D">
        <w:instrText>0</w:instrText>
      </w:r>
      <w:r w:rsidR="001E4823">
        <w:instrText>3</w:instrText>
      </w:r>
      <w:r w:rsidR="001E4823" w:rsidRPr="002A512D">
        <w:instrText xml:space="preserve"> </w:instrText>
      </w:r>
      <w:r w:rsidR="001E4823">
        <w:instrText>G</w:instrText>
      </w:r>
      <w:r w:rsidR="001E4823" w:rsidRPr="00103F26">
        <w:instrText>lossary</w:instrText>
      </w:r>
      <w:r w:rsidR="001E4823" w:rsidRPr="002A512D">
        <w:instrText>.doc</w:instrText>
      </w:r>
      <w:r w:rsidR="00D44748">
        <w:instrText>x</w:instrText>
      </w:r>
      <w:r w:rsidR="001E4823">
        <w:instrText xml:space="preserve">” </w:instrText>
      </w:r>
      <w:r w:rsidR="00476E7B">
        <w:fldChar w:fldCharType="end"/>
      </w:r>
      <w:r w:rsidR="00476E7B">
        <w:fldChar w:fldCharType="begin"/>
      </w:r>
      <w:r>
        <w:instrText xml:space="preserve"> RD  </w:instrText>
      </w:r>
      <w:r w:rsidR="00491242">
        <w:instrText>“</w:instrText>
      </w:r>
      <w:r w:rsidR="002A512D" w:rsidRPr="002A512D">
        <w:instrText>0</w:instrText>
      </w:r>
      <w:r w:rsidR="001E4823">
        <w:instrText>4</w:instrText>
      </w:r>
      <w:r w:rsidR="002A512D" w:rsidRPr="002A512D">
        <w:instrText xml:space="preserve"> Main Points.doc</w:instrText>
      </w:r>
      <w:r w:rsidR="00D44748">
        <w:instrText>x</w:instrText>
      </w:r>
      <w:r w:rsidR="00491242">
        <w:instrText>”</w:instrText>
      </w:r>
      <w:r>
        <w:instrText xml:space="preserve"> </w:instrText>
      </w:r>
      <w:r w:rsidR="00476E7B">
        <w:fldChar w:fldCharType="end"/>
      </w:r>
      <w:r w:rsidR="00476E7B">
        <w:fldChar w:fldCharType="begin"/>
      </w:r>
      <w:r>
        <w:instrText xml:space="preserve"> RD  </w:instrText>
      </w:r>
      <w:r w:rsidR="00491242">
        <w:instrText>“</w:instrText>
      </w:r>
      <w:r w:rsidR="001E4823">
        <w:instrText>05</w:instrText>
      </w:r>
      <w:r>
        <w:instrText xml:space="preserve"> Chapter 1.doc</w:instrText>
      </w:r>
      <w:r w:rsidR="00D44748">
        <w:instrText>x</w:instrText>
      </w:r>
      <w:r w:rsidR="00491242">
        <w:instrText>”</w:instrText>
      </w:r>
      <w:r>
        <w:instrText xml:space="preserve"> </w:instrText>
      </w:r>
      <w:r w:rsidR="00476E7B">
        <w:fldChar w:fldCharType="end"/>
      </w:r>
      <w:r w:rsidR="00476E7B">
        <w:fldChar w:fldCharType="begin"/>
      </w:r>
      <w:r>
        <w:instrText xml:space="preserve"> RD  </w:instrText>
      </w:r>
      <w:r w:rsidR="00491242">
        <w:instrText>“</w:instrText>
      </w:r>
      <w:r w:rsidR="001E4823">
        <w:instrText>06</w:instrText>
      </w:r>
      <w:r>
        <w:instrText xml:space="preserve"> Chapter 2.doc</w:instrText>
      </w:r>
      <w:r w:rsidR="00D44748">
        <w:instrText>x</w:instrText>
      </w:r>
      <w:r w:rsidR="00491242">
        <w:instrText>”</w:instrText>
      </w:r>
      <w:r>
        <w:instrText xml:space="preserve"> </w:instrText>
      </w:r>
      <w:r w:rsidR="00476E7B">
        <w:fldChar w:fldCharType="end"/>
      </w:r>
      <w:r w:rsidR="00476E7B">
        <w:fldChar w:fldCharType="begin"/>
      </w:r>
      <w:r>
        <w:instrText xml:space="preserve"> RD  </w:instrText>
      </w:r>
      <w:r w:rsidR="00491242">
        <w:instrText>“</w:instrText>
      </w:r>
      <w:r w:rsidR="001E4823">
        <w:instrText>07</w:instrText>
      </w:r>
      <w:r>
        <w:instrText xml:space="preserve"> Chapter 3.doc</w:instrText>
      </w:r>
      <w:r w:rsidR="00D44748">
        <w:instrText>x</w:instrText>
      </w:r>
      <w:r w:rsidR="00491242">
        <w:instrText>”</w:instrText>
      </w:r>
      <w:r>
        <w:instrText xml:space="preserve"> </w:instrText>
      </w:r>
      <w:r w:rsidR="00476E7B">
        <w:fldChar w:fldCharType="end"/>
      </w:r>
      <w:r w:rsidR="00476E7B">
        <w:fldChar w:fldCharType="begin"/>
      </w:r>
      <w:r w:rsidR="00D25E26">
        <w:instrText xml:space="preserve"> RD "08 Chapter 4.doc</w:instrText>
      </w:r>
      <w:r w:rsidR="00D44748">
        <w:instrText>x</w:instrText>
      </w:r>
      <w:r w:rsidR="00D25E26">
        <w:instrText xml:space="preserve">" </w:instrText>
      </w:r>
      <w:r w:rsidR="00476E7B">
        <w:fldChar w:fldCharType="end"/>
      </w:r>
      <w:r w:rsidR="00476E7B">
        <w:fldChar w:fldCharType="begin"/>
      </w:r>
      <w:r w:rsidR="00ED41DD">
        <w:instrText xml:space="preserve"> RD “09 Appendix A.doc</w:instrText>
      </w:r>
      <w:r w:rsidR="00D44748">
        <w:instrText>x</w:instrText>
      </w:r>
      <w:r w:rsidR="00ED41DD">
        <w:instrText xml:space="preserve">” </w:instrText>
      </w:r>
      <w:r w:rsidR="00476E7B">
        <w:fldChar w:fldCharType="end"/>
      </w:r>
    </w:p>
    <w:p w:rsidR="00D44748" w:rsidRDefault="00476E7B">
      <w:pPr>
        <w:pStyle w:val="TOC1"/>
        <w:rPr>
          <w:rFonts w:asciiTheme="minorHAnsi" w:eastAsiaTheme="minorEastAsia" w:hAnsiTheme="minorHAnsi" w:cstheme="minorBidi"/>
          <w:b w:val="0"/>
          <w:smallCaps w:val="0"/>
          <w:color w:val="auto"/>
        </w:rPr>
      </w:pPr>
      <w:r>
        <w:rPr>
          <w:b w:val="0"/>
          <w:smallCaps w:val="0"/>
          <w:color w:val="882135"/>
        </w:rPr>
        <w:fldChar w:fldCharType="begin"/>
      </w:r>
      <w:r w:rsidR="001708B5">
        <w:rPr>
          <w:b w:val="0"/>
          <w:smallCaps w:val="0"/>
        </w:rPr>
        <w:instrText xml:space="preserve"> TOC \o "2-2" \t "Heading 1,1,Heading 3,3,Heading 8,1,Heading 9,1" </w:instrText>
      </w:r>
      <w:r>
        <w:rPr>
          <w:b w:val="0"/>
          <w:smallCaps w:val="0"/>
          <w:color w:val="882135"/>
        </w:rPr>
        <w:fldChar w:fldCharType="separate"/>
      </w:r>
      <w:r w:rsidR="00D44748">
        <w:t>Acronyms and abbreviations</w:t>
      </w:r>
      <w:r w:rsidR="00D44748">
        <w:tab/>
        <w:t>ix</w:t>
      </w:r>
    </w:p>
    <w:p w:rsidR="00D44748" w:rsidRDefault="00D44748">
      <w:pPr>
        <w:pStyle w:val="TOC1"/>
        <w:rPr>
          <w:rFonts w:asciiTheme="minorHAnsi" w:eastAsiaTheme="minorEastAsia" w:hAnsiTheme="minorHAnsi" w:cstheme="minorBidi"/>
          <w:b w:val="0"/>
          <w:smallCaps w:val="0"/>
          <w:color w:val="auto"/>
        </w:rPr>
      </w:pPr>
      <w:r>
        <w:t>Glossary</w:t>
      </w:r>
      <w:r>
        <w:tab/>
        <w:t>xi</w:t>
      </w:r>
    </w:p>
    <w:p w:rsidR="00D44748" w:rsidRDefault="00D44748">
      <w:pPr>
        <w:pStyle w:val="TOC1"/>
        <w:rPr>
          <w:rFonts w:asciiTheme="minorHAnsi" w:eastAsiaTheme="minorEastAsia" w:hAnsiTheme="minorHAnsi" w:cstheme="minorBidi"/>
          <w:b w:val="0"/>
          <w:smallCaps w:val="0"/>
          <w:color w:val="auto"/>
        </w:rPr>
      </w:pPr>
      <w:r>
        <w:t>Main points</w:t>
      </w:r>
      <w:r>
        <w:tab/>
        <w:t>xv</w:t>
      </w:r>
    </w:p>
    <w:p w:rsidR="00D44748" w:rsidRDefault="00D44748">
      <w:pPr>
        <w:pStyle w:val="TOC1"/>
        <w:rPr>
          <w:rFonts w:asciiTheme="minorHAnsi" w:eastAsiaTheme="minorEastAsia" w:hAnsiTheme="minorHAnsi" w:cstheme="minorBidi"/>
          <w:b w:val="0"/>
          <w:smallCaps w:val="0"/>
          <w:color w:val="auto"/>
        </w:rPr>
      </w:pPr>
      <w:r>
        <w:t>Chapter 1: Foreign Investment Review Board</w:t>
      </w:r>
      <w:r>
        <w:tab/>
        <w:t>1</w:t>
      </w:r>
    </w:p>
    <w:p w:rsidR="00D44748" w:rsidRDefault="00D44748">
      <w:pPr>
        <w:pStyle w:val="TOC2"/>
        <w:rPr>
          <w:rFonts w:asciiTheme="minorHAnsi" w:eastAsiaTheme="minorEastAsia" w:hAnsiTheme="minorHAnsi" w:cstheme="minorBidi"/>
          <w:color w:val="auto"/>
          <w:sz w:val="22"/>
          <w:szCs w:val="22"/>
        </w:rPr>
      </w:pPr>
      <w:r>
        <w:t>Functions of the Board</w:t>
      </w:r>
      <w:r>
        <w:tab/>
        <w:t>3</w:t>
      </w:r>
    </w:p>
    <w:p w:rsidR="00D44748" w:rsidRDefault="00D44748">
      <w:pPr>
        <w:pStyle w:val="TOC2"/>
        <w:rPr>
          <w:rFonts w:asciiTheme="minorHAnsi" w:eastAsiaTheme="minorEastAsia" w:hAnsiTheme="minorHAnsi" w:cstheme="minorBidi"/>
          <w:color w:val="auto"/>
          <w:sz w:val="22"/>
          <w:szCs w:val="22"/>
        </w:rPr>
      </w:pPr>
      <w:r>
        <w:t>Board membership</w:t>
      </w:r>
      <w:r>
        <w:tab/>
        <w:t>4</w:t>
      </w:r>
    </w:p>
    <w:p w:rsidR="00D44748" w:rsidRDefault="00D44748">
      <w:pPr>
        <w:pStyle w:val="TOC2"/>
        <w:rPr>
          <w:rFonts w:asciiTheme="minorHAnsi" w:eastAsiaTheme="minorEastAsia" w:hAnsiTheme="minorHAnsi" w:cstheme="minorBidi"/>
          <w:color w:val="auto"/>
          <w:sz w:val="22"/>
          <w:szCs w:val="22"/>
        </w:rPr>
      </w:pPr>
      <w:r>
        <w:t>Relationship of the Division to the Board</w:t>
      </w:r>
      <w:r>
        <w:tab/>
        <w:t>5</w:t>
      </w:r>
    </w:p>
    <w:p w:rsidR="00D44748" w:rsidRDefault="00D44748">
      <w:pPr>
        <w:pStyle w:val="TOC2"/>
        <w:rPr>
          <w:rFonts w:asciiTheme="minorHAnsi" w:eastAsiaTheme="minorEastAsia" w:hAnsiTheme="minorHAnsi" w:cstheme="minorBidi"/>
          <w:color w:val="auto"/>
          <w:sz w:val="22"/>
          <w:szCs w:val="22"/>
        </w:rPr>
      </w:pPr>
      <w:r>
        <w:t>Administration of foreign investment policy</w:t>
      </w:r>
      <w:r>
        <w:tab/>
        <w:t>5</w:t>
      </w:r>
    </w:p>
    <w:p w:rsidR="00D44748" w:rsidRDefault="00D44748">
      <w:pPr>
        <w:pStyle w:val="TOC3"/>
        <w:rPr>
          <w:rFonts w:asciiTheme="minorHAnsi" w:eastAsiaTheme="minorEastAsia" w:hAnsiTheme="minorHAnsi" w:cstheme="minorBidi"/>
          <w:color w:val="auto"/>
          <w:sz w:val="22"/>
          <w:szCs w:val="22"/>
        </w:rPr>
      </w:pPr>
      <w:r>
        <w:t>Information, advice and education</w:t>
      </w:r>
      <w:r>
        <w:tab/>
        <w:t>5</w:t>
      </w:r>
    </w:p>
    <w:p w:rsidR="00D44748" w:rsidRDefault="00D44748">
      <w:pPr>
        <w:pStyle w:val="TOC3"/>
        <w:rPr>
          <w:rFonts w:asciiTheme="minorHAnsi" w:eastAsiaTheme="minorEastAsia" w:hAnsiTheme="minorHAnsi" w:cstheme="minorBidi"/>
          <w:color w:val="auto"/>
          <w:sz w:val="22"/>
          <w:szCs w:val="22"/>
        </w:rPr>
      </w:pPr>
      <w:r>
        <w:t>Consideration timeframe</w:t>
      </w:r>
      <w:r>
        <w:tab/>
        <w:t>6</w:t>
      </w:r>
    </w:p>
    <w:p w:rsidR="00D44748" w:rsidRDefault="00D44748">
      <w:pPr>
        <w:pStyle w:val="TOC3"/>
        <w:rPr>
          <w:rFonts w:asciiTheme="minorHAnsi" w:eastAsiaTheme="minorEastAsia" w:hAnsiTheme="minorHAnsi" w:cstheme="minorBidi"/>
          <w:color w:val="auto"/>
          <w:sz w:val="22"/>
          <w:szCs w:val="22"/>
        </w:rPr>
      </w:pPr>
      <w:r>
        <w:t>Examination and approval process</w:t>
      </w:r>
      <w:r>
        <w:tab/>
        <w:t>6</w:t>
      </w:r>
    </w:p>
    <w:p w:rsidR="00D44748" w:rsidRDefault="00D44748">
      <w:pPr>
        <w:pStyle w:val="TOC3"/>
        <w:rPr>
          <w:rFonts w:asciiTheme="minorHAnsi" w:eastAsiaTheme="minorEastAsia" w:hAnsiTheme="minorHAnsi" w:cstheme="minorBidi"/>
          <w:color w:val="auto"/>
          <w:sz w:val="22"/>
          <w:szCs w:val="22"/>
        </w:rPr>
      </w:pPr>
      <w:r>
        <w:t>Consultation arrangements</w:t>
      </w:r>
      <w:r>
        <w:tab/>
        <w:t>6</w:t>
      </w:r>
    </w:p>
    <w:p w:rsidR="00D44748" w:rsidRDefault="00D44748">
      <w:pPr>
        <w:pStyle w:val="TOC3"/>
        <w:rPr>
          <w:rFonts w:asciiTheme="minorHAnsi" w:eastAsiaTheme="minorEastAsia" w:hAnsiTheme="minorHAnsi" w:cstheme="minorBidi"/>
          <w:color w:val="auto"/>
          <w:sz w:val="22"/>
          <w:szCs w:val="22"/>
        </w:rPr>
      </w:pPr>
      <w:r>
        <w:t>National interest</w:t>
      </w:r>
      <w:r>
        <w:tab/>
        <w:t>7</w:t>
      </w:r>
    </w:p>
    <w:p w:rsidR="00D44748" w:rsidRDefault="00D44748">
      <w:pPr>
        <w:pStyle w:val="TOC3"/>
        <w:rPr>
          <w:rFonts w:asciiTheme="minorHAnsi" w:eastAsiaTheme="minorEastAsia" w:hAnsiTheme="minorHAnsi" w:cstheme="minorBidi"/>
          <w:color w:val="auto"/>
          <w:sz w:val="22"/>
          <w:szCs w:val="22"/>
        </w:rPr>
      </w:pPr>
      <w:r>
        <w:t>Handling of commercial</w:t>
      </w:r>
      <w:r w:rsidR="00D9142C">
        <w:noBreakHyphen/>
      </w:r>
      <w:r>
        <w:t>in</w:t>
      </w:r>
      <w:r w:rsidR="00D9142C">
        <w:noBreakHyphen/>
      </w:r>
      <w:r>
        <w:t>confidence and personal information</w:t>
      </w:r>
      <w:r>
        <w:tab/>
        <w:t>8</w:t>
      </w:r>
    </w:p>
    <w:p w:rsidR="00D44748" w:rsidRDefault="00D44748">
      <w:pPr>
        <w:pStyle w:val="TOC2"/>
        <w:rPr>
          <w:rFonts w:asciiTheme="minorHAnsi" w:eastAsiaTheme="minorEastAsia" w:hAnsiTheme="minorHAnsi" w:cstheme="minorBidi"/>
          <w:color w:val="auto"/>
          <w:sz w:val="22"/>
          <w:szCs w:val="22"/>
        </w:rPr>
      </w:pPr>
      <w:r>
        <w:t>2009</w:t>
      </w:r>
      <w:r w:rsidR="00D9142C">
        <w:noBreakHyphen/>
      </w:r>
      <w:r>
        <w:t>10 outcomes</w:t>
      </w:r>
      <w:r>
        <w:tab/>
        <w:t>9</w:t>
      </w:r>
    </w:p>
    <w:p w:rsidR="00D44748" w:rsidRDefault="00D44748">
      <w:pPr>
        <w:pStyle w:val="TOC3"/>
        <w:rPr>
          <w:rFonts w:asciiTheme="minorHAnsi" w:eastAsiaTheme="minorEastAsia" w:hAnsiTheme="minorHAnsi" w:cstheme="minorBidi"/>
          <w:color w:val="auto"/>
          <w:sz w:val="22"/>
          <w:szCs w:val="22"/>
        </w:rPr>
      </w:pPr>
      <w:r>
        <w:t>Cost of the Board’s operations</w:t>
      </w:r>
      <w:r>
        <w:tab/>
        <w:t>9</w:t>
      </w:r>
    </w:p>
    <w:p w:rsidR="00D44748" w:rsidRDefault="00D44748">
      <w:pPr>
        <w:pStyle w:val="TOC3"/>
        <w:rPr>
          <w:rFonts w:asciiTheme="minorHAnsi" w:eastAsiaTheme="minorEastAsia" w:hAnsiTheme="minorHAnsi" w:cstheme="minorBidi"/>
          <w:color w:val="auto"/>
          <w:sz w:val="22"/>
          <w:szCs w:val="22"/>
        </w:rPr>
      </w:pPr>
      <w:r>
        <w:t>Consideration of proposals and enquiries</w:t>
      </w:r>
      <w:r>
        <w:tab/>
        <w:t>9</w:t>
      </w:r>
    </w:p>
    <w:p w:rsidR="00D44748" w:rsidRDefault="00D44748">
      <w:pPr>
        <w:pStyle w:val="TOC3"/>
        <w:rPr>
          <w:rFonts w:asciiTheme="minorHAnsi" w:eastAsiaTheme="minorEastAsia" w:hAnsiTheme="minorHAnsi" w:cstheme="minorBidi"/>
          <w:color w:val="auto"/>
          <w:sz w:val="22"/>
          <w:szCs w:val="22"/>
        </w:rPr>
      </w:pPr>
      <w:r>
        <w:t>Changes to foreign investment screening thresholds</w:t>
      </w:r>
      <w:r>
        <w:tab/>
        <w:t>10</w:t>
      </w:r>
    </w:p>
    <w:p w:rsidR="00D44748" w:rsidRDefault="00D44748">
      <w:pPr>
        <w:pStyle w:val="TOC3"/>
        <w:rPr>
          <w:rFonts w:asciiTheme="minorHAnsi" w:eastAsiaTheme="minorEastAsia" w:hAnsiTheme="minorHAnsi" w:cstheme="minorBidi"/>
          <w:color w:val="auto"/>
          <w:sz w:val="22"/>
          <w:szCs w:val="22"/>
        </w:rPr>
      </w:pPr>
      <w:r>
        <w:t>Changes to foreign investment policy — residential real estate</w:t>
      </w:r>
      <w:r>
        <w:tab/>
        <w:t>11</w:t>
      </w:r>
    </w:p>
    <w:p w:rsidR="00D44748" w:rsidRDefault="00D44748">
      <w:pPr>
        <w:pStyle w:val="TOC2"/>
        <w:rPr>
          <w:rFonts w:asciiTheme="minorHAnsi" w:eastAsiaTheme="minorEastAsia" w:hAnsiTheme="minorHAnsi" w:cstheme="minorBidi"/>
          <w:color w:val="auto"/>
          <w:sz w:val="22"/>
          <w:szCs w:val="22"/>
        </w:rPr>
      </w:pPr>
      <w:r>
        <w:t>Monitoring and compliance activity</w:t>
      </w:r>
      <w:r>
        <w:tab/>
        <w:t>12</w:t>
      </w:r>
    </w:p>
    <w:p w:rsidR="00D44748" w:rsidRDefault="00D44748">
      <w:pPr>
        <w:pStyle w:val="TOC1"/>
        <w:rPr>
          <w:rFonts w:asciiTheme="minorHAnsi" w:eastAsiaTheme="minorEastAsia" w:hAnsiTheme="minorHAnsi" w:cstheme="minorBidi"/>
          <w:b w:val="0"/>
          <w:smallCaps w:val="0"/>
          <w:color w:val="auto"/>
        </w:rPr>
      </w:pPr>
      <w:r>
        <w:t>Chapter 2: Foreign investment proposals</w:t>
      </w:r>
      <w:r>
        <w:tab/>
        <w:t>13</w:t>
      </w:r>
    </w:p>
    <w:p w:rsidR="00D44748" w:rsidRDefault="00D44748">
      <w:pPr>
        <w:pStyle w:val="TOC2"/>
        <w:rPr>
          <w:rFonts w:asciiTheme="minorHAnsi" w:eastAsiaTheme="minorEastAsia" w:hAnsiTheme="minorHAnsi" w:cstheme="minorBidi"/>
          <w:color w:val="auto"/>
          <w:sz w:val="22"/>
          <w:szCs w:val="22"/>
        </w:rPr>
      </w:pPr>
      <w:r>
        <w:t>Features of the FIRB statistics</w:t>
      </w:r>
      <w:r>
        <w:tab/>
        <w:t>15</w:t>
      </w:r>
    </w:p>
    <w:p w:rsidR="00D44748" w:rsidRDefault="00D44748">
      <w:pPr>
        <w:pStyle w:val="TOC2"/>
        <w:rPr>
          <w:rFonts w:asciiTheme="minorHAnsi" w:eastAsiaTheme="minorEastAsia" w:hAnsiTheme="minorHAnsi" w:cstheme="minorBidi"/>
          <w:color w:val="auto"/>
          <w:sz w:val="22"/>
          <w:szCs w:val="22"/>
        </w:rPr>
      </w:pPr>
      <w:r>
        <w:t>Applications considered</w:t>
      </w:r>
      <w:r>
        <w:tab/>
        <w:t>18</w:t>
      </w:r>
    </w:p>
    <w:p w:rsidR="00D44748" w:rsidRDefault="00D44748">
      <w:pPr>
        <w:pStyle w:val="TOC2"/>
        <w:rPr>
          <w:rFonts w:asciiTheme="minorHAnsi" w:eastAsiaTheme="minorEastAsia" w:hAnsiTheme="minorHAnsi" w:cstheme="minorBidi"/>
          <w:color w:val="auto"/>
          <w:sz w:val="22"/>
          <w:szCs w:val="22"/>
        </w:rPr>
      </w:pPr>
      <w:r>
        <w:t>Applications decided</w:t>
      </w:r>
      <w:r>
        <w:tab/>
        <w:t>19</w:t>
      </w:r>
    </w:p>
    <w:p w:rsidR="00D44748" w:rsidRDefault="00D44748">
      <w:pPr>
        <w:pStyle w:val="TOC2"/>
        <w:rPr>
          <w:rFonts w:asciiTheme="minorHAnsi" w:eastAsiaTheme="minorEastAsia" w:hAnsiTheme="minorHAnsi" w:cstheme="minorBidi"/>
          <w:color w:val="auto"/>
          <w:sz w:val="22"/>
          <w:szCs w:val="22"/>
        </w:rPr>
      </w:pPr>
      <w:r>
        <w:t>Approvals by value</w:t>
      </w:r>
      <w:r>
        <w:tab/>
        <w:t>22</w:t>
      </w:r>
    </w:p>
    <w:p w:rsidR="00D44748" w:rsidRDefault="00D44748">
      <w:pPr>
        <w:pStyle w:val="TOC2"/>
        <w:rPr>
          <w:rFonts w:asciiTheme="minorHAnsi" w:eastAsiaTheme="minorEastAsia" w:hAnsiTheme="minorHAnsi" w:cstheme="minorBidi"/>
          <w:color w:val="auto"/>
          <w:sz w:val="22"/>
          <w:szCs w:val="22"/>
        </w:rPr>
      </w:pPr>
      <w:r>
        <w:t>Approvals by sector</w:t>
      </w:r>
      <w:r>
        <w:tab/>
        <w:t>24</w:t>
      </w:r>
    </w:p>
    <w:p w:rsidR="00D44748" w:rsidRDefault="00D44748">
      <w:pPr>
        <w:pStyle w:val="TOC3"/>
        <w:rPr>
          <w:rFonts w:asciiTheme="minorHAnsi" w:eastAsiaTheme="minorEastAsia" w:hAnsiTheme="minorHAnsi" w:cstheme="minorBidi"/>
          <w:color w:val="auto"/>
          <w:sz w:val="22"/>
          <w:szCs w:val="22"/>
        </w:rPr>
      </w:pPr>
      <w:r>
        <w:t>Agriculture, forestry and fishing</w:t>
      </w:r>
      <w:r>
        <w:tab/>
        <w:t>25</w:t>
      </w:r>
    </w:p>
    <w:p w:rsidR="00D44748" w:rsidRDefault="00D44748">
      <w:pPr>
        <w:pStyle w:val="TOC3"/>
        <w:rPr>
          <w:rFonts w:asciiTheme="minorHAnsi" w:eastAsiaTheme="minorEastAsia" w:hAnsiTheme="minorHAnsi" w:cstheme="minorBidi"/>
          <w:color w:val="auto"/>
          <w:sz w:val="22"/>
          <w:szCs w:val="22"/>
        </w:rPr>
      </w:pPr>
      <w:r>
        <w:t>Finance and insurance</w:t>
      </w:r>
      <w:r>
        <w:tab/>
        <w:t>25</w:t>
      </w:r>
    </w:p>
    <w:p w:rsidR="00D44748" w:rsidRDefault="00D44748">
      <w:pPr>
        <w:pStyle w:val="TOC3"/>
        <w:rPr>
          <w:rFonts w:asciiTheme="minorHAnsi" w:eastAsiaTheme="minorEastAsia" w:hAnsiTheme="minorHAnsi" w:cstheme="minorBidi"/>
          <w:color w:val="auto"/>
          <w:sz w:val="22"/>
          <w:szCs w:val="22"/>
        </w:rPr>
      </w:pPr>
      <w:r>
        <w:t>Manufacturing</w:t>
      </w:r>
      <w:r>
        <w:tab/>
        <w:t>26</w:t>
      </w:r>
    </w:p>
    <w:p w:rsidR="00D44748" w:rsidRDefault="00D44748">
      <w:pPr>
        <w:pStyle w:val="TOC3"/>
        <w:rPr>
          <w:rFonts w:asciiTheme="minorHAnsi" w:eastAsiaTheme="minorEastAsia" w:hAnsiTheme="minorHAnsi" w:cstheme="minorBidi"/>
          <w:color w:val="auto"/>
          <w:sz w:val="22"/>
          <w:szCs w:val="22"/>
        </w:rPr>
      </w:pPr>
      <w:r>
        <w:t>Mineral exploration and development</w:t>
      </w:r>
      <w:r>
        <w:tab/>
        <w:t>26</w:t>
      </w:r>
    </w:p>
    <w:p w:rsidR="00D44748" w:rsidRDefault="00D44748">
      <w:pPr>
        <w:pStyle w:val="TOC3"/>
        <w:rPr>
          <w:rFonts w:asciiTheme="minorHAnsi" w:eastAsiaTheme="minorEastAsia" w:hAnsiTheme="minorHAnsi" w:cstheme="minorBidi"/>
          <w:color w:val="auto"/>
          <w:sz w:val="22"/>
          <w:szCs w:val="22"/>
        </w:rPr>
      </w:pPr>
      <w:r>
        <w:t>Resource processing</w:t>
      </w:r>
      <w:r>
        <w:tab/>
        <w:t>27</w:t>
      </w:r>
    </w:p>
    <w:p w:rsidR="00D44748" w:rsidRDefault="00D44748">
      <w:pPr>
        <w:pStyle w:val="TOC3"/>
        <w:rPr>
          <w:rFonts w:asciiTheme="minorHAnsi" w:eastAsiaTheme="minorEastAsia" w:hAnsiTheme="minorHAnsi" w:cstheme="minorBidi"/>
          <w:color w:val="auto"/>
          <w:sz w:val="22"/>
          <w:szCs w:val="22"/>
        </w:rPr>
      </w:pPr>
      <w:r>
        <w:t>Services</w:t>
      </w:r>
      <w:r>
        <w:tab/>
        <w:t>27</w:t>
      </w:r>
    </w:p>
    <w:p w:rsidR="00D44748" w:rsidRDefault="00D44748">
      <w:pPr>
        <w:pStyle w:val="TOC3"/>
        <w:rPr>
          <w:rFonts w:asciiTheme="minorHAnsi" w:eastAsiaTheme="minorEastAsia" w:hAnsiTheme="minorHAnsi" w:cstheme="minorBidi"/>
          <w:color w:val="auto"/>
          <w:sz w:val="22"/>
          <w:szCs w:val="22"/>
        </w:rPr>
      </w:pPr>
      <w:r>
        <w:t>Tourism</w:t>
      </w:r>
      <w:r>
        <w:tab/>
        <w:t>28</w:t>
      </w:r>
    </w:p>
    <w:p w:rsidR="00D44748" w:rsidRDefault="00D44748">
      <w:pPr>
        <w:pStyle w:val="TOC3"/>
        <w:rPr>
          <w:rFonts w:asciiTheme="minorHAnsi" w:eastAsiaTheme="minorEastAsia" w:hAnsiTheme="minorHAnsi" w:cstheme="minorBidi"/>
          <w:color w:val="auto"/>
          <w:sz w:val="22"/>
          <w:szCs w:val="22"/>
        </w:rPr>
      </w:pPr>
      <w:r>
        <w:t>Real estate</w:t>
      </w:r>
      <w:r>
        <w:tab/>
        <w:t>28</w:t>
      </w:r>
    </w:p>
    <w:p w:rsidR="00D44748" w:rsidRDefault="00D44748">
      <w:pPr>
        <w:pStyle w:val="TOC2"/>
        <w:rPr>
          <w:rFonts w:asciiTheme="minorHAnsi" w:eastAsiaTheme="minorEastAsia" w:hAnsiTheme="minorHAnsi" w:cstheme="minorBidi"/>
          <w:color w:val="auto"/>
          <w:sz w:val="22"/>
          <w:szCs w:val="22"/>
        </w:rPr>
      </w:pPr>
      <w:r>
        <w:t>Approvals by country of investor</w:t>
      </w:r>
      <w:r>
        <w:tab/>
        <w:t>33</w:t>
      </w:r>
    </w:p>
    <w:p w:rsidR="00D44748" w:rsidRDefault="00D44748" w:rsidP="0010222E">
      <w:pPr>
        <w:pStyle w:val="TOC1"/>
        <w:rPr>
          <w:rFonts w:asciiTheme="minorHAnsi" w:eastAsiaTheme="minorEastAsia" w:hAnsiTheme="minorHAnsi" w:cstheme="minorBidi"/>
          <w:b w:val="0"/>
          <w:smallCaps w:val="0"/>
          <w:color w:val="auto"/>
        </w:rPr>
      </w:pPr>
      <w:r>
        <w:t xml:space="preserve">Chapter 3: Overview of the </w:t>
      </w:r>
      <w:r w:rsidRPr="00884260">
        <w:rPr>
          <w:i/>
        </w:rPr>
        <w:t>Foreign Acquisitions and Takeovers Act 1975</w:t>
      </w:r>
      <w:r>
        <w:tab/>
        <w:t>39</w:t>
      </w:r>
    </w:p>
    <w:p w:rsidR="00D44748" w:rsidRDefault="00D44748">
      <w:pPr>
        <w:pStyle w:val="TOC2"/>
        <w:rPr>
          <w:rFonts w:asciiTheme="minorHAnsi" w:eastAsiaTheme="minorEastAsia" w:hAnsiTheme="minorHAnsi" w:cstheme="minorBidi"/>
          <w:color w:val="auto"/>
          <w:sz w:val="22"/>
          <w:szCs w:val="22"/>
        </w:rPr>
      </w:pPr>
      <w:r>
        <w:t>Introduction</w:t>
      </w:r>
      <w:r>
        <w:tab/>
        <w:t>41</w:t>
      </w:r>
    </w:p>
    <w:p w:rsidR="00D44748" w:rsidRDefault="00D44748">
      <w:pPr>
        <w:pStyle w:val="TOC3"/>
        <w:rPr>
          <w:rFonts w:asciiTheme="minorHAnsi" w:eastAsiaTheme="minorEastAsia" w:hAnsiTheme="minorHAnsi" w:cstheme="minorBidi"/>
          <w:color w:val="auto"/>
          <w:sz w:val="22"/>
          <w:szCs w:val="22"/>
        </w:rPr>
      </w:pPr>
      <w:r>
        <w:t>2010 legislative amendments</w:t>
      </w:r>
      <w:r>
        <w:tab/>
        <w:t>42</w:t>
      </w:r>
    </w:p>
    <w:p w:rsidR="00D44748" w:rsidRDefault="00D44748">
      <w:pPr>
        <w:pStyle w:val="TOC2"/>
        <w:rPr>
          <w:rFonts w:asciiTheme="minorHAnsi" w:eastAsiaTheme="minorEastAsia" w:hAnsiTheme="minorHAnsi" w:cstheme="minorBidi"/>
          <w:color w:val="auto"/>
          <w:sz w:val="22"/>
          <w:szCs w:val="22"/>
        </w:rPr>
      </w:pPr>
      <w:r>
        <w:t>Notification</w:t>
      </w:r>
      <w:r>
        <w:tab/>
        <w:t>42</w:t>
      </w:r>
    </w:p>
    <w:p w:rsidR="00D44748" w:rsidRDefault="00D44748">
      <w:pPr>
        <w:pStyle w:val="TOC2"/>
        <w:rPr>
          <w:rFonts w:asciiTheme="minorHAnsi" w:eastAsiaTheme="minorEastAsia" w:hAnsiTheme="minorHAnsi" w:cstheme="minorBidi"/>
          <w:color w:val="auto"/>
          <w:sz w:val="22"/>
          <w:szCs w:val="22"/>
        </w:rPr>
      </w:pPr>
      <w:r>
        <w:t>The Treasurer’s powers</w:t>
      </w:r>
      <w:r>
        <w:tab/>
        <w:t>43</w:t>
      </w:r>
    </w:p>
    <w:p w:rsidR="00D44748" w:rsidRDefault="00D44748">
      <w:pPr>
        <w:pStyle w:val="TOC3"/>
        <w:rPr>
          <w:rFonts w:asciiTheme="minorHAnsi" w:eastAsiaTheme="minorEastAsia" w:hAnsiTheme="minorHAnsi" w:cstheme="minorBidi"/>
          <w:color w:val="auto"/>
          <w:sz w:val="22"/>
          <w:szCs w:val="22"/>
        </w:rPr>
      </w:pPr>
      <w:r>
        <w:t>Foreign</w:t>
      </w:r>
      <w:r w:rsidR="00D9142C">
        <w:noBreakHyphen/>
      </w:r>
      <w:r>
        <w:t>to</w:t>
      </w:r>
      <w:r w:rsidR="00D9142C">
        <w:noBreakHyphen/>
      </w:r>
      <w:r>
        <w:t>foreign transactions</w:t>
      </w:r>
      <w:r>
        <w:tab/>
        <w:t>44</w:t>
      </w:r>
    </w:p>
    <w:p w:rsidR="00D44748" w:rsidRDefault="00D44748">
      <w:pPr>
        <w:pStyle w:val="TOC3"/>
        <w:rPr>
          <w:rFonts w:asciiTheme="minorHAnsi" w:eastAsiaTheme="minorEastAsia" w:hAnsiTheme="minorHAnsi" w:cstheme="minorBidi"/>
          <w:color w:val="auto"/>
          <w:sz w:val="22"/>
          <w:szCs w:val="22"/>
        </w:rPr>
      </w:pPr>
      <w:r>
        <w:t>Prior approval for contractual arrangements</w:t>
      </w:r>
      <w:r>
        <w:tab/>
        <w:t>45</w:t>
      </w:r>
    </w:p>
    <w:p w:rsidR="00D44748" w:rsidRDefault="00D44748">
      <w:pPr>
        <w:pStyle w:val="TOC3"/>
        <w:rPr>
          <w:rFonts w:asciiTheme="minorHAnsi" w:eastAsiaTheme="minorEastAsia" w:hAnsiTheme="minorHAnsi" w:cstheme="minorBidi"/>
          <w:color w:val="auto"/>
          <w:sz w:val="22"/>
          <w:szCs w:val="22"/>
        </w:rPr>
      </w:pPr>
      <w:r>
        <w:t>Foreign control</w:t>
      </w:r>
      <w:r>
        <w:tab/>
        <w:t>45</w:t>
      </w:r>
    </w:p>
    <w:p w:rsidR="00D44748" w:rsidRDefault="00D44748">
      <w:pPr>
        <w:pStyle w:val="TOC2"/>
        <w:rPr>
          <w:rFonts w:asciiTheme="minorHAnsi" w:eastAsiaTheme="minorEastAsia" w:hAnsiTheme="minorHAnsi" w:cstheme="minorBidi"/>
          <w:color w:val="auto"/>
          <w:sz w:val="22"/>
          <w:szCs w:val="22"/>
        </w:rPr>
      </w:pPr>
      <w:r>
        <w:t>Enforcement provisions</w:t>
      </w:r>
      <w:r>
        <w:tab/>
        <w:t>46</w:t>
      </w:r>
    </w:p>
    <w:p w:rsidR="00D44748" w:rsidRDefault="00D44748">
      <w:pPr>
        <w:pStyle w:val="TOC2"/>
        <w:rPr>
          <w:rFonts w:asciiTheme="minorHAnsi" w:eastAsiaTheme="minorEastAsia" w:hAnsiTheme="minorHAnsi" w:cstheme="minorBidi"/>
          <w:color w:val="auto"/>
          <w:sz w:val="22"/>
          <w:szCs w:val="22"/>
        </w:rPr>
      </w:pPr>
      <w:r>
        <w:t>Other aspects of foreign investment policy</w:t>
      </w:r>
      <w:r>
        <w:tab/>
        <w:t>46</w:t>
      </w:r>
    </w:p>
    <w:p w:rsidR="00D44748" w:rsidRDefault="00D44748">
      <w:pPr>
        <w:pStyle w:val="TOC3"/>
        <w:rPr>
          <w:rFonts w:asciiTheme="minorHAnsi" w:eastAsiaTheme="minorEastAsia" w:hAnsiTheme="minorHAnsi" w:cstheme="minorBidi"/>
          <w:color w:val="auto"/>
          <w:sz w:val="22"/>
          <w:szCs w:val="22"/>
        </w:rPr>
      </w:pPr>
      <w:r>
        <w:t>Foreign investment in Australian residential real estate</w:t>
      </w:r>
      <w:r>
        <w:tab/>
        <w:t>46</w:t>
      </w:r>
    </w:p>
    <w:p w:rsidR="00D44748" w:rsidRDefault="00D44748">
      <w:pPr>
        <w:pStyle w:val="TOC1"/>
        <w:rPr>
          <w:rFonts w:asciiTheme="minorHAnsi" w:eastAsiaTheme="minorEastAsia" w:hAnsiTheme="minorHAnsi" w:cstheme="minorBidi"/>
          <w:b w:val="0"/>
          <w:smallCaps w:val="0"/>
          <w:color w:val="auto"/>
        </w:rPr>
      </w:pPr>
      <w:r>
        <w:t>Chapter 4: Australia’s international investment position</w:t>
      </w:r>
      <w:r>
        <w:tab/>
        <w:t>49</w:t>
      </w:r>
    </w:p>
    <w:p w:rsidR="00D44748" w:rsidRDefault="00D44748">
      <w:pPr>
        <w:pStyle w:val="TOC2"/>
        <w:rPr>
          <w:rFonts w:asciiTheme="minorHAnsi" w:eastAsiaTheme="minorEastAsia" w:hAnsiTheme="minorHAnsi" w:cstheme="minorBidi"/>
          <w:color w:val="auto"/>
          <w:sz w:val="22"/>
          <w:szCs w:val="22"/>
        </w:rPr>
      </w:pPr>
      <w:r>
        <w:t>Introduction</w:t>
      </w:r>
      <w:r>
        <w:tab/>
        <w:t>51</w:t>
      </w:r>
    </w:p>
    <w:p w:rsidR="00D44748" w:rsidRDefault="00D44748">
      <w:pPr>
        <w:pStyle w:val="TOC2"/>
        <w:rPr>
          <w:rFonts w:asciiTheme="minorHAnsi" w:eastAsiaTheme="minorEastAsia" w:hAnsiTheme="minorHAnsi" w:cstheme="minorBidi"/>
          <w:color w:val="auto"/>
          <w:sz w:val="22"/>
          <w:szCs w:val="22"/>
        </w:rPr>
      </w:pPr>
      <w:r>
        <w:t>Australia’s international investment position</w:t>
      </w:r>
      <w:r>
        <w:tab/>
        <w:t>52</w:t>
      </w:r>
    </w:p>
    <w:p w:rsidR="00D44748" w:rsidRDefault="00D44748">
      <w:pPr>
        <w:pStyle w:val="TOC3"/>
        <w:rPr>
          <w:rFonts w:asciiTheme="minorHAnsi" w:eastAsiaTheme="minorEastAsia" w:hAnsiTheme="minorHAnsi" w:cstheme="minorBidi"/>
          <w:color w:val="auto"/>
          <w:sz w:val="22"/>
          <w:szCs w:val="22"/>
        </w:rPr>
      </w:pPr>
      <w:r>
        <w:t>Foreign investment levels</w:t>
      </w:r>
      <w:r>
        <w:tab/>
        <w:t>52</w:t>
      </w:r>
    </w:p>
    <w:p w:rsidR="00D44748" w:rsidRDefault="00D44748">
      <w:pPr>
        <w:pStyle w:val="TOC3"/>
        <w:rPr>
          <w:rFonts w:asciiTheme="minorHAnsi" w:eastAsiaTheme="minorEastAsia" w:hAnsiTheme="minorHAnsi" w:cstheme="minorBidi"/>
          <w:color w:val="auto"/>
          <w:sz w:val="22"/>
          <w:szCs w:val="22"/>
        </w:rPr>
      </w:pPr>
      <w:r>
        <w:t>Foreign direct investment levels by country</w:t>
      </w:r>
      <w:r>
        <w:tab/>
        <w:t>52</w:t>
      </w:r>
    </w:p>
    <w:p w:rsidR="00D44748" w:rsidRDefault="00D44748">
      <w:pPr>
        <w:pStyle w:val="TOC3"/>
        <w:rPr>
          <w:rFonts w:asciiTheme="minorHAnsi" w:eastAsiaTheme="minorEastAsia" w:hAnsiTheme="minorHAnsi" w:cstheme="minorBidi"/>
          <w:color w:val="auto"/>
          <w:sz w:val="22"/>
          <w:szCs w:val="22"/>
        </w:rPr>
      </w:pPr>
      <w:r>
        <w:t>Foreign investment flows</w:t>
      </w:r>
      <w:r>
        <w:tab/>
        <w:t>54</w:t>
      </w:r>
    </w:p>
    <w:p w:rsidR="00D44748" w:rsidRDefault="00D44748">
      <w:pPr>
        <w:pStyle w:val="TOC1"/>
        <w:rPr>
          <w:rFonts w:asciiTheme="minorHAnsi" w:eastAsiaTheme="minorEastAsia" w:hAnsiTheme="minorHAnsi" w:cstheme="minorBidi"/>
          <w:b w:val="0"/>
          <w:smallCaps w:val="0"/>
          <w:color w:val="auto"/>
        </w:rPr>
      </w:pPr>
      <w:r>
        <w:t>Appendix A: Media releases and speeches</w:t>
      </w:r>
      <w:r>
        <w:tab/>
        <w:t>57</w:t>
      </w:r>
    </w:p>
    <w:p w:rsidR="00D25E26" w:rsidRDefault="00476E7B" w:rsidP="0048500C">
      <w:r>
        <w:fldChar w:fldCharType="end"/>
      </w:r>
    </w:p>
    <w:p w:rsidR="00A5449C" w:rsidRDefault="00D25E26" w:rsidP="00C47831">
      <w:pPr>
        <w:pStyle w:val="TOC1"/>
      </w:pPr>
      <w:r>
        <w:rPr>
          <w:b w:val="0"/>
          <w:smallCaps w:val="0"/>
        </w:rPr>
        <w:br w:type="page"/>
      </w:r>
      <w:r w:rsidR="005D5D0F">
        <w:t>Tables</w:t>
      </w:r>
    </w:p>
    <w:p w:rsidR="00EF72C7" w:rsidRDefault="00476E7B">
      <w:pPr>
        <w:pStyle w:val="TOC6"/>
        <w:rPr>
          <w:rFonts w:asciiTheme="minorHAnsi" w:eastAsiaTheme="minorEastAsia" w:hAnsiTheme="minorHAnsi" w:cstheme="minorBidi"/>
          <w:color w:val="auto"/>
          <w:sz w:val="22"/>
          <w:szCs w:val="22"/>
        </w:rPr>
      </w:pPr>
      <w:r>
        <w:fldChar w:fldCharType="begin"/>
      </w:r>
      <w:r w:rsidR="00B40B73">
        <w:instrText xml:space="preserve"> TOC \t "Table Main Heading,</w:instrText>
      </w:r>
      <w:r w:rsidR="000A7614">
        <w:instrText>6</w:instrText>
      </w:r>
      <w:r w:rsidR="00B40B73">
        <w:instrText xml:space="preserve">" </w:instrText>
      </w:r>
      <w:r>
        <w:fldChar w:fldCharType="separate"/>
      </w:r>
      <w:r w:rsidR="00EF72C7">
        <w:t xml:space="preserve">Table 2.1: </w:t>
      </w:r>
      <w:r w:rsidR="00EF72C7">
        <w:tab/>
        <w:t>Applications considered: 2004</w:t>
      </w:r>
      <w:r w:rsidR="00D9142C">
        <w:noBreakHyphen/>
      </w:r>
      <w:r w:rsidR="00EF72C7">
        <w:t>05 to 2009</w:t>
      </w:r>
      <w:r w:rsidR="00D9142C">
        <w:noBreakHyphen/>
      </w:r>
      <w:r w:rsidR="00EF72C7">
        <w:t>10 (number of proposals)</w:t>
      </w:r>
      <w:r w:rsidR="00EF72C7">
        <w:tab/>
        <w:t>19</w:t>
      </w:r>
    </w:p>
    <w:p w:rsidR="00EF72C7" w:rsidRDefault="00EF72C7">
      <w:pPr>
        <w:pStyle w:val="TOC6"/>
        <w:rPr>
          <w:rFonts w:asciiTheme="minorHAnsi" w:eastAsiaTheme="minorEastAsia" w:hAnsiTheme="minorHAnsi" w:cstheme="minorBidi"/>
          <w:color w:val="auto"/>
          <w:sz w:val="22"/>
          <w:szCs w:val="22"/>
        </w:rPr>
      </w:pPr>
      <w:r>
        <w:t xml:space="preserve">Table 2.2: </w:t>
      </w:r>
      <w:r>
        <w:tab/>
        <w:t>Applications decided: 2004</w:t>
      </w:r>
      <w:r w:rsidR="00D9142C">
        <w:noBreakHyphen/>
      </w:r>
      <w:r>
        <w:t>05 to 2009</w:t>
      </w:r>
      <w:r w:rsidR="00D9142C">
        <w:noBreakHyphen/>
      </w:r>
      <w:r>
        <w:t>10 (proposed investment)</w:t>
      </w:r>
      <w:r>
        <w:tab/>
        <w:t>20</w:t>
      </w:r>
    </w:p>
    <w:p w:rsidR="00EF72C7" w:rsidRDefault="0010222E">
      <w:pPr>
        <w:pStyle w:val="TOC6"/>
        <w:rPr>
          <w:rFonts w:asciiTheme="minorHAnsi" w:eastAsiaTheme="minorEastAsia" w:hAnsiTheme="minorHAnsi" w:cstheme="minorBidi"/>
          <w:color w:val="auto"/>
          <w:sz w:val="22"/>
          <w:szCs w:val="22"/>
        </w:rPr>
      </w:pPr>
      <w:r>
        <w:t>Table 2.3:</w:t>
      </w:r>
      <w:r>
        <w:tab/>
      </w:r>
      <w:r w:rsidR="00EF72C7">
        <w:t>Total approvals by value and number 2006</w:t>
      </w:r>
      <w:r w:rsidR="00D9142C">
        <w:noBreakHyphen/>
      </w:r>
      <w:r w:rsidR="00EF72C7">
        <w:t>07 to 2009</w:t>
      </w:r>
      <w:r w:rsidR="00D9142C">
        <w:noBreakHyphen/>
      </w:r>
      <w:r w:rsidR="00EF72C7">
        <w:t>10</w:t>
      </w:r>
      <w:r w:rsidR="00EF72C7">
        <w:tab/>
        <w:t>22</w:t>
      </w:r>
    </w:p>
    <w:p w:rsidR="00EF72C7" w:rsidRDefault="00EF72C7">
      <w:pPr>
        <w:pStyle w:val="TOC6"/>
        <w:rPr>
          <w:rFonts w:asciiTheme="minorHAnsi" w:eastAsiaTheme="minorEastAsia" w:hAnsiTheme="minorHAnsi" w:cstheme="minorBidi"/>
          <w:color w:val="auto"/>
          <w:sz w:val="22"/>
          <w:szCs w:val="22"/>
        </w:rPr>
      </w:pPr>
      <w:r>
        <w:t xml:space="preserve">Table 2.4: </w:t>
      </w:r>
      <w:r>
        <w:tab/>
        <w:t>Total approvals by industry sector in 2009</w:t>
      </w:r>
      <w:r w:rsidR="00D9142C">
        <w:noBreakHyphen/>
      </w:r>
      <w:r>
        <w:t>10</w:t>
      </w:r>
      <w:r>
        <w:tab/>
        <w:t>24</w:t>
      </w:r>
    </w:p>
    <w:p w:rsidR="00EF72C7" w:rsidRDefault="00EF72C7">
      <w:pPr>
        <w:pStyle w:val="TOC6"/>
        <w:rPr>
          <w:rFonts w:asciiTheme="minorHAnsi" w:eastAsiaTheme="minorEastAsia" w:hAnsiTheme="minorHAnsi" w:cstheme="minorBidi"/>
          <w:color w:val="auto"/>
          <w:sz w:val="22"/>
          <w:szCs w:val="22"/>
        </w:rPr>
      </w:pPr>
      <w:r>
        <w:t xml:space="preserve">Table 2.5: </w:t>
      </w:r>
      <w:r>
        <w:tab/>
        <w:t>Manufacturing sector approvals in 2009</w:t>
      </w:r>
      <w:r w:rsidR="00D9142C">
        <w:noBreakHyphen/>
      </w:r>
      <w:r>
        <w:t>10</w:t>
      </w:r>
      <w:r>
        <w:tab/>
        <w:t>26</w:t>
      </w:r>
    </w:p>
    <w:p w:rsidR="00EF72C7" w:rsidRDefault="00EF72C7">
      <w:pPr>
        <w:pStyle w:val="TOC6"/>
        <w:rPr>
          <w:rFonts w:asciiTheme="minorHAnsi" w:eastAsiaTheme="minorEastAsia" w:hAnsiTheme="minorHAnsi" w:cstheme="minorBidi"/>
          <w:color w:val="auto"/>
          <w:sz w:val="22"/>
          <w:szCs w:val="22"/>
        </w:rPr>
      </w:pPr>
      <w:r>
        <w:t xml:space="preserve">Table 2.6: </w:t>
      </w:r>
      <w:r>
        <w:tab/>
        <w:t xml:space="preserve">Mineral exploration and development sector approvals: </w:t>
      </w:r>
      <w:r w:rsidR="0010222E">
        <w:br/>
      </w:r>
      <w:r>
        <w:t>2006</w:t>
      </w:r>
      <w:r w:rsidR="00D9142C">
        <w:noBreakHyphen/>
      </w:r>
      <w:r>
        <w:t>07 to 2009</w:t>
      </w:r>
      <w:r w:rsidR="00D9142C">
        <w:noBreakHyphen/>
      </w:r>
      <w:r>
        <w:t>10</w:t>
      </w:r>
      <w:r>
        <w:tab/>
        <w:t>27</w:t>
      </w:r>
    </w:p>
    <w:p w:rsidR="00EF72C7" w:rsidRDefault="00EF72C7">
      <w:pPr>
        <w:pStyle w:val="TOC6"/>
        <w:rPr>
          <w:rFonts w:asciiTheme="minorHAnsi" w:eastAsiaTheme="minorEastAsia" w:hAnsiTheme="minorHAnsi" w:cstheme="minorBidi"/>
          <w:color w:val="auto"/>
          <w:sz w:val="22"/>
          <w:szCs w:val="22"/>
        </w:rPr>
      </w:pPr>
      <w:r>
        <w:t xml:space="preserve">Table 2.7: </w:t>
      </w:r>
      <w:r>
        <w:tab/>
        <w:t xml:space="preserve">Services (excluding Tourism) sector approvals: </w:t>
      </w:r>
      <w:r w:rsidR="0010222E">
        <w:br/>
      </w:r>
      <w:r>
        <w:t>2006</w:t>
      </w:r>
      <w:r w:rsidR="00D9142C">
        <w:noBreakHyphen/>
      </w:r>
      <w:r>
        <w:t>07 to 2009</w:t>
      </w:r>
      <w:r w:rsidR="00D9142C">
        <w:noBreakHyphen/>
      </w:r>
      <w:r>
        <w:t>10</w:t>
      </w:r>
      <w:r>
        <w:tab/>
        <w:t>28</w:t>
      </w:r>
    </w:p>
    <w:p w:rsidR="00EF72C7" w:rsidRDefault="00EF72C7">
      <w:pPr>
        <w:pStyle w:val="TOC6"/>
        <w:rPr>
          <w:rFonts w:asciiTheme="minorHAnsi" w:eastAsiaTheme="minorEastAsia" w:hAnsiTheme="minorHAnsi" w:cstheme="minorBidi"/>
          <w:color w:val="auto"/>
          <w:sz w:val="22"/>
          <w:szCs w:val="22"/>
        </w:rPr>
      </w:pPr>
      <w:r>
        <w:t xml:space="preserve">Table 2.8: </w:t>
      </w:r>
      <w:r>
        <w:tab/>
        <w:t>Investment in residential real estate by type of expenditure and number of proposals approved from 2006</w:t>
      </w:r>
      <w:r w:rsidR="00D9142C">
        <w:noBreakHyphen/>
      </w:r>
      <w:r>
        <w:t>07 to 2009</w:t>
      </w:r>
      <w:r w:rsidR="00D9142C">
        <w:noBreakHyphen/>
      </w:r>
      <w:r>
        <w:t>10</w:t>
      </w:r>
      <w:r>
        <w:tab/>
        <w:t>30</w:t>
      </w:r>
    </w:p>
    <w:p w:rsidR="00EF72C7" w:rsidRDefault="00EF72C7">
      <w:pPr>
        <w:pStyle w:val="TOC6"/>
        <w:rPr>
          <w:rFonts w:asciiTheme="minorHAnsi" w:eastAsiaTheme="minorEastAsia" w:hAnsiTheme="minorHAnsi" w:cstheme="minorBidi"/>
          <w:color w:val="auto"/>
          <w:sz w:val="22"/>
          <w:szCs w:val="22"/>
        </w:rPr>
      </w:pPr>
      <w:r>
        <w:t xml:space="preserve">Table 2.9: </w:t>
      </w:r>
      <w:r>
        <w:tab/>
        <w:t>Investment in commercial real estate by type of expenditure and number of proposals approved from 2006</w:t>
      </w:r>
      <w:r w:rsidR="00D9142C">
        <w:noBreakHyphen/>
      </w:r>
      <w:r>
        <w:t>07 to 2009</w:t>
      </w:r>
      <w:r w:rsidR="00D9142C">
        <w:noBreakHyphen/>
      </w:r>
      <w:r>
        <w:t>10</w:t>
      </w:r>
      <w:r>
        <w:tab/>
        <w:t>32</w:t>
      </w:r>
    </w:p>
    <w:p w:rsidR="00EF72C7" w:rsidRDefault="00EF72C7">
      <w:pPr>
        <w:pStyle w:val="TOC6"/>
        <w:rPr>
          <w:rFonts w:asciiTheme="minorHAnsi" w:eastAsiaTheme="minorEastAsia" w:hAnsiTheme="minorHAnsi" w:cstheme="minorBidi"/>
          <w:color w:val="auto"/>
          <w:sz w:val="22"/>
          <w:szCs w:val="22"/>
        </w:rPr>
      </w:pPr>
      <w:r>
        <w:t xml:space="preserve">Table 2.10: </w:t>
      </w:r>
      <w:r>
        <w:tab/>
        <w:t>State distribution of proposed investment in real estate in 2009</w:t>
      </w:r>
      <w:r w:rsidR="00D9142C">
        <w:noBreakHyphen/>
      </w:r>
      <w:r>
        <w:t>10</w:t>
      </w:r>
      <w:r>
        <w:tab/>
        <w:t>33</w:t>
      </w:r>
    </w:p>
    <w:p w:rsidR="00EF72C7" w:rsidRDefault="00EF72C7">
      <w:pPr>
        <w:pStyle w:val="TOC6"/>
        <w:rPr>
          <w:rFonts w:asciiTheme="minorHAnsi" w:eastAsiaTheme="minorEastAsia" w:hAnsiTheme="minorHAnsi" w:cstheme="minorBidi"/>
          <w:color w:val="auto"/>
          <w:sz w:val="22"/>
          <w:szCs w:val="22"/>
        </w:rPr>
      </w:pPr>
      <w:r>
        <w:t xml:space="preserve">Table 2.11: </w:t>
      </w:r>
      <w:r>
        <w:tab/>
        <w:t>Approvals by country of investor in 2009</w:t>
      </w:r>
      <w:r w:rsidR="00D9142C">
        <w:noBreakHyphen/>
      </w:r>
      <w:r>
        <w:t>10 — industry sector</w:t>
      </w:r>
      <w:r>
        <w:tab/>
        <w:t>35</w:t>
      </w:r>
    </w:p>
    <w:p w:rsidR="00EF72C7" w:rsidRDefault="00EF72C7">
      <w:pPr>
        <w:pStyle w:val="TOC6"/>
        <w:rPr>
          <w:rFonts w:asciiTheme="minorHAnsi" w:eastAsiaTheme="minorEastAsia" w:hAnsiTheme="minorHAnsi" w:cstheme="minorBidi"/>
          <w:color w:val="auto"/>
          <w:sz w:val="22"/>
          <w:szCs w:val="22"/>
        </w:rPr>
      </w:pPr>
      <w:r>
        <w:t xml:space="preserve">Table 4.1: </w:t>
      </w:r>
      <w:r>
        <w:tab/>
        <w:t>Foreign investment flows 2005</w:t>
      </w:r>
      <w:r w:rsidR="00D9142C">
        <w:noBreakHyphen/>
      </w:r>
      <w:r>
        <w:t>06 to 2009</w:t>
      </w:r>
      <w:r w:rsidR="00D9142C">
        <w:noBreakHyphen/>
      </w:r>
      <w:r w:rsidR="007D7B70">
        <w:t>10</w:t>
      </w:r>
      <w:r w:rsidR="007D7B70">
        <w:tab/>
        <w:t>53</w:t>
      </w:r>
    </w:p>
    <w:p w:rsidR="00815C93" w:rsidRDefault="00476E7B" w:rsidP="00D25E26">
      <w:r>
        <w:fldChar w:fldCharType="end"/>
      </w:r>
    </w:p>
    <w:p w:rsidR="00CE0BE0" w:rsidRDefault="00B40B73" w:rsidP="00C47831">
      <w:pPr>
        <w:pStyle w:val="TOC1"/>
      </w:pPr>
      <w:r>
        <w:t>Charts</w:t>
      </w:r>
    </w:p>
    <w:p w:rsidR="00D44748" w:rsidRDefault="00476E7B">
      <w:pPr>
        <w:pStyle w:val="TOC6"/>
        <w:rPr>
          <w:rFonts w:asciiTheme="minorHAnsi" w:eastAsiaTheme="minorEastAsia" w:hAnsiTheme="minorHAnsi" w:cstheme="minorBidi"/>
          <w:color w:val="auto"/>
          <w:sz w:val="22"/>
          <w:szCs w:val="22"/>
        </w:rPr>
      </w:pPr>
      <w:r>
        <w:fldChar w:fldCharType="begin"/>
      </w:r>
      <w:r w:rsidR="00B40B73">
        <w:instrText xml:space="preserve"> TOC \t "Chart Main Heading,</w:instrText>
      </w:r>
      <w:r w:rsidR="000A7614">
        <w:instrText>6</w:instrText>
      </w:r>
      <w:r w:rsidR="00B40B73">
        <w:instrText xml:space="preserve">" </w:instrText>
      </w:r>
      <w:r>
        <w:fldChar w:fldCharType="separate"/>
      </w:r>
      <w:r w:rsidR="00D44748">
        <w:t xml:space="preserve">Chart 2.1: </w:t>
      </w:r>
      <w:r w:rsidR="00D44748">
        <w:tab/>
        <w:t>Applications decided 2004</w:t>
      </w:r>
      <w:r w:rsidR="00D9142C">
        <w:noBreakHyphen/>
      </w:r>
      <w:r w:rsidR="00D44748">
        <w:t>05 to 2009</w:t>
      </w:r>
      <w:r w:rsidR="00D9142C">
        <w:noBreakHyphen/>
      </w:r>
      <w:r w:rsidR="00D44748">
        <w:t>10 —  number of proposals</w:t>
      </w:r>
      <w:r w:rsidR="00D44748">
        <w:tab/>
        <w:t>21</w:t>
      </w:r>
    </w:p>
    <w:p w:rsidR="00D44748" w:rsidRDefault="00D44748">
      <w:pPr>
        <w:pStyle w:val="TOC6"/>
        <w:rPr>
          <w:rFonts w:asciiTheme="minorHAnsi" w:eastAsiaTheme="minorEastAsia" w:hAnsiTheme="minorHAnsi" w:cstheme="minorBidi"/>
          <w:color w:val="auto"/>
          <w:sz w:val="22"/>
          <w:szCs w:val="22"/>
        </w:rPr>
      </w:pPr>
      <w:r>
        <w:t xml:space="preserve">Chart 2.2: </w:t>
      </w:r>
      <w:r>
        <w:tab/>
        <w:t>Applications decided 2004</w:t>
      </w:r>
      <w:r w:rsidR="00D9142C">
        <w:noBreakHyphen/>
      </w:r>
      <w:r>
        <w:t>05 to 2009</w:t>
      </w:r>
      <w:r w:rsidR="00D9142C">
        <w:noBreakHyphen/>
      </w:r>
      <w:r>
        <w:t>10 —  proposed investment</w:t>
      </w:r>
      <w:r>
        <w:tab/>
        <w:t>21</w:t>
      </w:r>
    </w:p>
    <w:p w:rsidR="00D44748" w:rsidRDefault="00D44748">
      <w:pPr>
        <w:pStyle w:val="TOC6"/>
        <w:rPr>
          <w:rFonts w:asciiTheme="minorHAnsi" w:eastAsiaTheme="minorEastAsia" w:hAnsiTheme="minorHAnsi" w:cstheme="minorBidi"/>
          <w:color w:val="auto"/>
          <w:sz w:val="22"/>
          <w:szCs w:val="22"/>
        </w:rPr>
      </w:pPr>
      <w:r>
        <w:t xml:space="preserve">Chart 2.3: </w:t>
      </w:r>
      <w:r>
        <w:tab/>
        <w:t>Total approvals by value 2006</w:t>
      </w:r>
      <w:r w:rsidR="00D9142C">
        <w:noBreakHyphen/>
      </w:r>
      <w:r>
        <w:t>07 to 2009</w:t>
      </w:r>
      <w:r w:rsidR="00D9142C">
        <w:noBreakHyphen/>
      </w:r>
      <w:r>
        <w:t>10 —  number of proposals</w:t>
      </w:r>
      <w:r>
        <w:tab/>
        <w:t>23</w:t>
      </w:r>
    </w:p>
    <w:p w:rsidR="00D44748" w:rsidRDefault="00D44748">
      <w:pPr>
        <w:pStyle w:val="TOC6"/>
        <w:rPr>
          <w:rFonts w:asciiTheme="minorHAnsi" w:eastAsiaTheme="minorEastAsia" w:hAnsiTheme="minorHAnsi" w:cstheme="minorBidi"/>
          <w:color w:val="auto"/>
          <w:sz w:val="22"/>
          <w:szCs w:val="22"/>
        </w:rPr>
      </w:pPr>
      <w:r>
        <w:t xml:space="preserve">Chart 2.4: </w:t>
      </w:r>
      <w:r>
        <w:tab/>
        <w:t>Total approvals by value 2006</w:t>
      </w:r>
      <w:r w:rsidR="00D9142C">
        <w:noBreakHyphen/>
      </w:r>
      <w:r>
        <w:t>07 to 2009</w:t>
      </w:r>
      <w:r w:rsidR="00D9142C">
        <w:noBreakHyphen/>
      </w:r>
      <w:r>
        <w:t xml:space="preserve">10 —  </w:t>
      </w:r>
      <w:r w:rsidR="0010222E">
        <w:br/>
      </w:r>
      <w:r>
        <w:t>proposed investment</w:t>
      </w:r>
      <w:r>
        <w:tab/>
        <w:t>23</w:t>
      </w:r>
    </w:p>
    <w:p w:rsidR="00D44748" w:rsidRDefault="00D44748">
      <w:pPr>
        <w:pStyle w:val="TOC6"/>
        <w:rPr>
          <w:rFonts w:asciiTheme="minorHAnsi" w:eastAsiaTheme="minorEastAsia" w:hAnsiTheme="minorHAnsi" w:cstheme="minorBidi"/>
          <w:color w:val="auto"/>
          <w:sz w:val="22"/>
          <w:szCs w:val="22"/>
        </w:rPr>
      </w:pPr>
      <w:r>
        <w:t xml:space="preserve">Chart 2.5: </w:t>
      </w:r>
      <w:r>
        <w:tab/>
        <w:t>Total approvals by value by industry sector in 2009</w:t>
      </w:r>
      <w:r w:rsidR="00D9142C">
        <w:noBreakHyphen/>
      </w:r>
      <w:r>
        <w:t>10 —  proposed investment</w:t>
      </w:r>
      <w:r>
        <w:tab/>
        <w:t>25</w:t>
      </w:r>
    </w:p>
    <w:p w:rsidR="00D44748" w:rsidRDefault="00D44748">
      <w:pPr>
        <w:pStyle w:val="TOC6"/>
        <w:rPr>
          <w:rFonts w:asciiTheme="minorHAnsi" w:eastAsiaTheme="minorEastAsia" w:hAnsiTheme="minorHAnsi" w:cstheme="minorBidi"/>
          <w:color w:val="auto"/>
          <w:sz w:val="22"/>
          <w:szCs w:val="22"/>
        </w:rPr>
      </w:pPr>
      <w:r>
        <w:t xml:space="preserve">Chart 4.1: </w:t>
      </w:r>
      <w:r>
        <w:tab/>
        <w:t>Level of foreign</w:t>
      </w:r>
      <w:r w:rsidR="007D7B70">
        <w:t xml:space="preserve"> direct investment by country</w:t>
      </w:r>
      <w:r w:rsidR="007D7B70">
        <w:tab/>
        <w:t>52</w:t>
      </w:r>
    </w:p>
    <w:p w:rsidR="00D44748" w:rsidRDefault="00D44748">
      <w:pPr>
        <w:pStyle w:val="TOC6"/>
        <w:rPr>
          <w:rFonts w:asciiTheme="minorHAnsi" w:eastAsiaTheme="minorEastAsia" w:hAnsiTheme="minorHAnsi" w:cstheme="minorBidi"/>
          <w:color w:val="auto"/>
          <w:sz w:val="22"/>
          <w:szCs w:val="22"/>
        </w:rPr>
      </w:pPr>
      <w:r>
        <w:t xml:space="preserve">Chart 4.2: </w:t>
      </w:r>
      <w:r>
        <w:tab/>
        <w:t>Foreign investment flows 2005</w:t>
      </w:r>
      <w:r w:rsidR="00D9142C">
        <w:noBreakHyphen/>
      </w:r>
      <w:r>
        <w:t>06 to 2009</w:t>
      </w:r>
      <w:r w:rsidR="00D9142C">
        <w:noBreakHyphen/>
      </w:r>
      <w:r w:rsidR="007D7B70">
        <w:t>10</w:t>
      </w:r>
      <w:r w:rsidR="007D7B70">
        <w:tab/>
        <w:t>54</w:t>
      </w:r>
    </w:p>
    <w:p w:rsidR="00D657CE" w:rsidRDefault="00476E7B" w:rsidP="009944D9">
      <w:pPr>
        <w:pStyle w:val="TOC6"/>
        <w:sectPr w:rsidR="00D657CE" w:rsidSect="007A7BB8">
          <w:headerReference w:type="even" r:id="rId22"/>
          <w:headerReference w:type="first" r:id="rId23"/>
          <w:footerReference w:type="first" r:id="rId24"/>
          <w:pgSz w:w="11907" w:h="16840" w:code="9"/>
          <w:pgMar w:top="2466" w:right="2098" w:bottom="2466" w:left="2098" w:header="1899" w:footer="1899" w:gutter="0"/>
          <w:pgNumType w:fmt="lowerRoman"/>
          <w:cols w:space="708"/>
          <w:titlePg/>
          <w:docGrid w:linePitch="360"/>
        </w:sectPr>
      </w:pPr>
      <w:r>
        <w:fldChar w:fldCharType="end"/>
      </w:r>
    </w:p>
    <w:p w:rsidR="00B40B73" w:rsidRPr="00B40B73" w:rsidRDefault="00B40B73" w:rsidP="009944D9">
      <w:pPr>
        <w:pStyle w:val="TOC6"/>
      </w:pPr>
    </w:p>
    <w:sectPr w:rsidR="00B40B73" w:rsidRPr="00B40B73" w:rsidSect="007A7BB8">
      <w:footerReference w:type="first" r:id="rId25"/>
      <w:pgSz w:w="11907" w:h="16840" w:code="9"/>
      <w:pgMar w:top="2466" w:right="2098" w:bottom="2466" w:left="2098" w:header="1899" w:footer="189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D4E" w:rsidRDefault="00F64D4E">
      <w:r>
        <w:separator/>
      </w:r>
    </w:p>
  </w:endnote>
  <w:endnote w:type="continuationSeparator" w:id="0">
    <w:p w:rsidR="00F64D4E" w:rsidRDefault="00F6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wis721 Lt BT">
    <w:altName w:val="Microsoft YaHei"/>
    <w:charset w:val="00"/>
    <w:family w:val="swiss"/>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4E" w:rsidRDefault="00E36086">
    <w:pPr>
      <w:pStyle w:val="FooterEven"/>
    </w:pPr>
    <w:r>
      <w:fldChar w:fldCharType="begin"/>
    </w:r>
    <w:r>
      <w:instrText xml:space="preserve"> PAGE  \* MERGEFORMAT </w:instrText>
    </w:r>
    <w:r>
      <w:fldChar w:fldCharType="separate"/>
    </w:r>
    <w:r>
      <w:rPr>
        <w:noProof/>
      </w:rPr>
      <w:t>vi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4E" w:rsidRDefault="00E36086">
    <w:pPr>
      <w:pStyle w:val="FooterOdd"/>
    </w:pPr>
    <w:r>
      <w:fldChar w:fldCharType="begin"/>
    </w:r>
    <w:r>
      <w:instrText xml:space="preserve"> PAGE  \* MERGEFORMAT </w:instrText>
    </w:r>
    <w:r>
      <w:fldChar w:fldCharType="separate"/>
    </w:r>
    <w:r>
      <w:rPr>
        <w:noProof/>
      </w:rPr>
      <w:t>vii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4E" w:rsidRDefault="00F64D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4E" w:rsidRDefault="00E36086" w:rsidP="006836C8">
    <w:pPr>
      <w:pStyle w:val="FooterOdd"/>
    </w:pPr>
    <w:r>
      <w:fldChar w:fldCharType="begin"/>
    </w:r>
    <w:r>
      <w:instrText xml:space="preserve"> PAGE   \* MERGEFORMAT </w:instrText>
    </w:r>
    <w:r>
      <w:fldChar w:fldCharType="separate"/>
    </w:r>
    <w:r w:rsidR="00790505">
      <w:rPr>
        <w:noProof/>
      </w:rPr>
      <w:t>iii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4E" w:rsidRPr="006836C8" w:rsidRDefault="00E36086" w:rsidP="006836C8">
    <w:pPr>
      <w:pStyle w:val="FooterOdd"/>
    </w:pPr>
    <w:r>
      <w:fldChar w:fldCharType="begin"/>
    </w:r>
    <w:r>
      <w:instrText xml:space="preserve"> PAGE   \* MERGEFORMAT </w:instrText>
    </w:r>
    <w:r>
      <w:fldChar w:fldCharType="separate"/>
    </w:r>
    <w:r>
      <w:rPr>
        <w:noProof/>
      </w:rPr>
      <w:t>v</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4E" w:rsidRPr="00D657CE" w:rsidRDefault="00F64D4E" w:rsidP="00D65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D4E" w:rsidRDefault="00F64D4E">
      <w:r>
        <w:separator/>
      </w:r>
    </w:p>
  </w:footnote>
  <w:footnote w:type="continuationSeparator" w:id="0">
    <w:p w:rsidR="00F64D4E" w:rsidRDefault="00F6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4E" w:rsidRDefault="00F64D4E">
    <w:pPr>
      <w:pStyle w:val="Header"/>
    </w:pPr>
    <w: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4E" w:rsidRDefault="00F64D4E" w:rsidP="00751D1E">
    <w:pPr>
      <w:pStyle w:val="HeaderOdd"/>
    </w:pPr>
    <w:r>
      <w:t>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4E" w:rsidRDefault="00F64D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4E" w:rsidRPr="00C94797" w:rsidRDefault="00F64D4E" w:rsidP="00C947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763" w:type="dxa"/>
      <w:tblInd w:w="108" w:type="dxa"/>
      <w:tblLayout w:type="fixed"/>
      <w:tblLook w:val="0000" w:firstRow="0" w:lastRow="0" w:firstColumn="0" w:lastColumn="0" w:noHBand="0" w:noVBand="0"/>
    </w:tblPr>
    <w:tblGrid>
      <w:gridCol w:w="5495"/>
      <w:gridCol w:w="2268"/>
    </w:tblGrid>
    <w:tr w:rsidR="00F64D4E" w:rsidTr="001E1A9A">
      <w:trPr>
        <w:cantSplit/>
      </w:trPr>
      <w:tc>
        <w:tcPr>
          <w:tcW w:w="5495" w:type="dxa"/>
        </w:tcPr>
        <w:p w:rsidR="00F64D4E" w:rsidRDefault="00F64D4E" w:rsidP="001E1A9A">
          <w:pPr>
            <w:spacing w:line="240" w:lineRule="auto"/>
            <w:rPr>
              <w:b/>
            </w:rPr>
          </w:pPr>
          <w:r>
            <w:rPr>
              <w:b/>
              <w:noProof/>
            </w:rPr>
            <w:drawing>
              <wp:inline distT="0" distB="0" distL="0" distR="0">
                <wp:extent cx="2733675" cy="542925"/>
                <wp:effectExtent l="19050" t="0" r="9525" b="0"/>
                <wp:docPr id="4" name="Picture 1" descr="FIRB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B_inline"/>
                        <pic:cNvPicPr>
                          <a:picLocks noChangeAspect="1" noChangeArrowheads="1"/>
                        </pic:cNvPicPr>
                      </pic:nvPicPr>
                      <pic:blipFill>
                        <a:blip r:embed="rId1"/>
                        <a:srcRect/>
                        <a:stretch>
                          <a:fillRect/>
                        </a:stretch>
                      </pic:blipFill>
                      <pic:spPr bwMode="auto">
                        <a:xfrm>
                          <a:off x="0" y="0"/>
                          <a:ext cx="2733675" cy="542925"/>
                        </a:xfrm>
                        <a:prstGeom prst="rect">
                          <a:avLst/>
                        </a:prstGeom>
                        <a:noFill/>
                        <a:ln w="9525">
                          <a:noFill/>
                          <a:miter lim="800000"/>
                          <a:headEnd/>
                          <a:tailEnd/>
                        </a:ln>
                      </pic:spPr>
                    </pic:pic>
                  </a:graphicData>
                </a:graphic>
              </wp:inline>
            </w:drawing>
          </w:r>
        </w:p>
      </w:tc>
      <w:tc>
        <w:tcPr>
          <w:tcW w:w="2268" w:type="dxa"/>
        </w:tcPr>
        <w:p w:rsidR="00F64D4E" w:rsidRPr="00D91D70" w:rsidRDefault="00F64D4E" w:rsidP="00F64D4E">
          <w:pPr>
            <w:pStyle w:val="SinglePara"/>
            <w:spacing w:before="120"/>
            <w:jc w:val="right"/>
            <w:rPr>
              <w:rFonts w:ascii="Arial" w:hAnsi="Arial"/>
              <w:sz w:val="16"/>
            </w:rPr>
          </w:pPr>
          <w:r w:rsidRPr="00D91D70">
            <w:rPr>
              <w:rFonts w:ascii="Arial" w:hAnsi="Arial"/>
              <w:sz w:val="16"/>
            </w:rPr>
            <w:t>c/-Treasury Building</w:t>
          </w:r>
        </w:p>
        <w:p w:rsidR="00F64D4E" w:rsidRPr="00D91D70" w:rsidRDefault="00F64D4E" w:rsidP="00F64D4E">
          <w:pPr>
            <w:pStyle w:val="SinglePara"/>
            <w:jc w:val="right"/>
            <w:rPr>
              <w:rFonts w:ascii="Arial" w:hAnsi="Arial"/>
              <w:sz w:val="16"/>
            </w:rPr>
          </w:pPr>
          <w:r w:rsidRPr="00D91D70">
            <w:rPr>
              <w:rFonts w:ascii="Arial" w:hAnsi="Arial"/>
              <w:sz w:val="16"/>
            </w:rPr>
            <w:t>Langton Crescent</w:t>
          </w:r>
        </w:p>
        <w:p w:rsidR="00F64D4E" w:rsidRPr="00D91D70" w:rsidRDefault="00F64D4E" w:rsidP="00F64D4E">
          <w:pPr>
            <w:pStyle w:val="SinglePara"/>
            <w:jc w:val="right"/>
            <w:rPr>
              <w:rFonts w:ascii="Arial" w:hAnsi="Arial"/>
              <w:sz w:val="16"/>
            </w:rPr>
          </w:pPr>
          <w:r>
            <w:rPr>
              <w:rFonts w:ascii="Arial" w:hAnsi="Arial"/>
              <w:sz w:val="16"/>
            </w:rPr>
            <w:t>PARKES</w:t>
          </w:r>
          <w:r w:rsidRPr="00D91D70">
            <w:rPr>
              <w:rFonts w:ascii="Arial" w:hAnsi="Arial"/>
              <w:sz w:val="16"/>
            </w:rPr>
            <w:t xml:space="preserve">  ACT  2600</w:t>
          </w:r>
        </w:p>
        <w:p w:rsidR="00F64D4E" w:rsidRPr="00D91D70" w:rsidRDefault="00F64D4E" w:rsidP="00F64D4E">
          <w:pPr>
            <w:pStyle w:val="SinglePara"/>
            <w:jc w:val="right"/>
            <w:rPr>
              <w:rFonts w:ascii="Arial" w:hAnsi="Arial"/>
              <w:sz w:val="16"/>
            </w:rPr>
          </w:pPr>
          <w:r w:rsidRPr="00D91D70">
            <w:rPr>
              <w:rFonts w:ascii="Arial" w:hAnsi="Arial"/>
              <w:sz w:val="16"/>
            </w:rPr>
            <w:t xml:space="preserve">Telephone </w:t>
          </w:r>
          <w:r>
            <w:rPr>
              <w:rFonts w:ascii="Arial" w:hAnsi="Arial"/>
              <w:sz w:val="16"/>
            </w:rPr>
            <w:t xml:space="preserve">02 </w:t>
          </w:r>
          <w:r w:rsidRPr="00D91D70">
            <w:rPr>
              <w:rFonts w:ascii="Arial" w:hAnsi="Arial"/>
              <w:sz w:val="16"/>
            </w:rPr>
            <w:t>6263 3795</w:t>
          </w:r>
        </w:p>
        <w:p w:rsidR="00F64D4E" w:rsidRPr="00D91D70" w:rsidRDefault="00F64D4E" w:rsidP="00F64D4E">
          <w:pPr>
            <w:pStyle w:val="SinglePara"/>
            <w:jc w:val="right"/>
            <w:rPr>
              <w:rFonts w:ascii="Arial" w:hAnsi="Arial" w:cs="Arial"/>
              <w:sz w:val="16"/>
              <w:szCs w:val="16"/>
            </w:rPr>
          </w:pPr>
          <w:r w:rsidRPr="00D91D70">
            <w:rPr>
              <w:rFonts w:ascii="Arial" w:hAnsi="Arial" w:cs="Arial"/>
              <w:sz w:val="16"/>
              <w:szCs w:val="16"/>
            </w:rPr>
            <w:t xml:space="preserve">Fax </w:t>
          </w:r>
          <w:r>
            <w:rPr>
              <w:rFonts w:ascii="Arial" w:hAnsi="Arial" w:cs="Arial"/>
              <w:sz w:val="16"/>
              <w:szCs w:val="16"/>
            </w:rPr>
            <w:t xml:space="preserve">02 </w:t>
          </w:r>
          <w:r w:rsidRPr="00D91D70">
            <w:rPr>
              <w:rFonts w:ascii="Arial" w:hAnsi="Arial" w:cs="Arial"/>
              <w:sz w:val="16"/>
              <w:szCs w:val="16"/>
            </w:rPr>
            <w:t>6263 2940</w:t>
          </w:r>
        </w:p>
      </w:tc>
    </w:tr>
  </w:tbl>
  <w:p w:rsidR="00F64D4E" w:rsidRDefault="00F64D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4E" w:rsidRPr="00053957" w:rsidRDefault="00F64D4E" w:rsidP="00C94797">
    <w:pPr>
      <w:pStyle w:val="HeaderEven"/>
    </w:pPr>
    <w:r w:rsidRPr="00053957">
      <w:t>Foreign Investment</w:t>
    </w:r>
    <w:r>
      <w:t xml:space="preserve"> Review Board Annual Report 2009</w:t>
    </w:r>
    <w:r w:rsidRPr="00053957">
      <w:t>-</w:t>
    </w:r>
    <w:r>
      <w:t>10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4E" w:rsidRDefault="00F64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40BE8"/>
    <w:lvl w:ilvl="0">
      <w:start w:val="1"/>
      <w:numFmt w:val="decimal"/>
      <w:lvlText w:val="%1."/>
      <w:lvlJc w:val="left"/>
      <w:pPr>
        <w:tabs>
          <w:tab w:val="num" w:pos="1492"/>
        </w:tabs>
        <w:ind w:left="1492" w:hanging="360"/>
      </w:pPr>
    </w:lvl>
  </w:abstractNum>
  <w:abstractNum w:abstractNumId="1">
    <w:nsid w:val="FFFFFF7D"/>
    <w:multiLevelType w:val="singleLevel"/>
    <w:tmpl w:val="EFB0FAB8"/>
    <w:lvl w:ilvl="0">
      <w:start w:val="1"/>
      <w:numFmt w:val="decimal"/>
      <w:lvlText w:val="%1."/>
      <w:lvlJc w:val="left"/>
      <w:pPr>
        <w:tabs>
          <w:tab w:val="num" w:pos="1209"/>
        </w:tabs>
        <w:ind w:left="1209" w:hanging="360"/>
      </w:pPr>
    </w:lvl>
  </w:abstractNum>
  <w:abstractNum w:abstractNumId="2">
    <w:nsid w:val="FFFFFF7E"/>
    <w:multiLevelType w:val="singleLevel"/>
    <w:tmpl w:val="0FBE4C42"/>
    <w:lvl w:ilvl="0">
      <w:start w:val="1"/>
      <w:numFmt w:val="decimal"/>
      <w:lvlText w:val="%1."/>
      <w:lvlJc w:val="left"/>
      <w:pPr>
        <w:tabs>
          <w:tab w:val="num" w:pos="926"/>
        </w:tabs>
        <w:ind w:left="926" w:hanging="360"/>
      </w:pPr>
    </w:lvl>
  </w:abstractNum>
  <w:abstractNum w:abstractNumId="3">
    <w:nsid w:val="FFFFFF7F"/>
    <w:multiLevelType w:val="singleLevel"/>
    <w:tmpl w:val="0972CECC"/>
    <w:lvl w:ilvl="0">
      <w:start w:val="1"/>
      <w:numFmt w:val="decimal"/>
      <w:lvlText w:val="%1."/>
      <w:lvlJc w:val="left"/>
      <w:pPr>
        <w:tabs>
          <w:tab w:val="num" w:pos="643"/>
        </w:tabs>
        <w:ind w:left="643" w:hanging="360"/>
      </w:pPr>
    </w:lvl>
  </w:abstractNum>
  <w:abstractNum w:abstractNumId="4">
    <w:nsid w:val="FFFFFF80"/>
    <w:multiLevelType w:val="singleLevel"/>
    <w:tmpl w:val="6AB4E9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AA60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82D5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2038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1EC916"/>
    <w:lvl w:ilvl="0">
      <w:start w:val="1"/>
      <w:numFmt w:val="decimal"/>
      <w:lvlText w:val="%1."/>
      <w:lvlJc w:val="left"/>
      <w:pPr>
        <w:tabs>
          <w:tab w:val="num" w:pos="360"/>
        </w:tabs>
        <w:ind w:left="360" w:hanging="360"/>
      </w:pPr>
    </w:lvl>
  </w:abstractNum>
  <w:abstractNum w:abstractNumId="9">
    <w:nsid w:val="FFFFFF89"/>
    <w:multiLevelType w:val="singleLevel"/>
    <w:tmpl w:val="AFB0A3AC"/>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20B16FC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74F414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69293D"/>
    <w:multiLevelType w:val="multilevel"/>
    <w:tmpl w:val="0C09001D"/>
    <w:name w:val="AppendixA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ind w:left="0" w:firstLine="0"/>
      </w:pPr>
      <w:rPr>
        <w:rFonts w:ascii="Arial" w:hAnsi="Arial" w:cs="Arial"/>
        <w:b/>
        <w:i w:val="0"/>
        <w:color w:val="2B7C32"/>
        <w:sz w:val="2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2C723F30"/>
    <w:multiLevelType w:val="singleLevel"/>
    <w:tmpl w:val="1430D9F2"/>
    <w:name w:val="StandardNumberedParagraphList"/>
    <w:lvl w:ilvl="0">
      <w:start w:val="2"/>
      <w:numFmt w:val="decimal"/>
      <w:pStyle w:val="NumberedParagraph"/>
      <w:lvlText w:val="%1."/>
      <w:lvlJc w:val="left"/>
      <w:pPr>
        <w:tabs>
          <w:tab w:val="num" w:pos="567"/>
        </w:tabs>
        <w:ind w:left="0" w:firstLine="0"/>
      </w:pPr>
    </w:lvl>
  </w:abstractNum>
  <w:abstractNum w:abstractNumId="20">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b w:val="0"/>
        <w:i w:val="0"/>
        <w:sz w:val="20"/>
      </w:rPr>
    </w:lvl>
  </w:abstractNum>
  <w:abstractNum w:abstractNumId="21">
    <w:nsid w:val="312C1B26"/>
    <w:multiLevelType w:val="multilevel"/>
    <w:tmpl w:val="05ECB0F6"/>
    <w:name w:val="AppendixAHeading3"/>
    <w:lvl w:ilvl="0">
      <w:start w:val="1"/>
      <w:numFmt w:val="decimal"/>
      <w:lvlRestart w:val="0"/>
      <w:pStyle w:val="AppendixAHeading3"/>
      <w:lvlText w:val="%1."/>
      <w:lvlJc w:val="left"/>
      <w:pPr>
        <w:tabs>
          <w:tab w:val="num" w:pos="567"/>
        </w:tabs>
        <w:ind w:left="567" w:hanging="567"/>
      </w:pPr>
      <w:rPr>
        <w:rFonts w:ascii="Arial" w:hAnsi="Arial" w:cs="Arial"/>
        <w:b/>
        <w:i w:val="0"/>
        <w:color w:val="2B7C32"/>
        <w:sz w:val="24"/>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3">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4">
    <w:nsid w:val="407931C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18B22D4"/>
    <w:multiLevelType w:val="singleLevel"/>
    <w:tmpl w:val="0C09000F"/>
    <w:lvl w:ilvl="0">
      <w:start w:val="1"/>
      <w:numFmt w:val="decimal"/>
      <w:lvlText w:val="%1."/>
      <w:lvlJc w:val="left"/>
      <w:pPr>
        <w:tabs>
          <w:tab w:val="num" w:pos="720"/>
        </w:tabs>
        <w:ind w:left="720" w:hanging="360"/>
      </w:pPr>
    </w:lvl>
  </w:abstractNum>
  <w:abstractNum w:abstractNumId="26">
    <w:nsid w:val="4BEE3F5E"/>
    <w:multiLevelType w:val="multilevel"/>
    <w:tmpl w:val="DA00C22E"/>
    <w:name w:val="StandardBulletedList"/>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7">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8">
    <w:nsid w:val="51FC68E7"/>
    <w:multiLevelType w:val="multilevel"/>
    <w:tmpl w:val="0220E126"/>
    <w:lvl w:ilvl="0">
      <w:start w:val="1"/>
      <w:numFmt w:val="upperLetter"/>
      <w:lvlRestart w:val="0"/>
      <w:suff w:val="nothing"/>
      <w:lvlText w:val=""/>
      <w:lvlJc w:val="left"/>
      <w:pPr>
        <w:ind w:left="0" w:firstLine="0"/>
      </w:pPr>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ascii="Helvetica" w:hAnsi="Helvetica" w:hint="default"/>
        <w:b w:val="0"/>
        <w:i w:val="0"/>
        <w:color w:val="F8981D"/>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9">
    <w:nsid w:val="535357C1"/>
    <w:multiLevelType w:val="singleLevel"/>
    <w:tmpl w:val="0C09000F"/>
    <w:name w:val="ChartTableFootnoteAlpha"/>
    <w:lvl w:ilvl="0">
      <w:start w:val="1"/>
      <w:numFmt w:val="decimal"/>
      <w:lvlText w:val="%1."/>
      <w:lvlJc w:val="left"/>
      <w:pPr>
        <w:tabs>
          <w:tab w:val="num" w:pos="720"/>
        </w:tabs>
        <w:ind w:left="720" w:hanging="360"/>
      </w:pPr>
    </w:lvl>
  </w:abstractNum>
  <w:abstractNum w:abstractNumId="3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nsid w:val="581A16E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0A6F8D"/>
    <w:multiLevelType w:val="multilevel"/>
    <w:tmpl w:val="51941ED6"/>
    <w:name w:val="Box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3">
    <w:nsid w:val="65FB0D17"/>
    <w:multiLevelType w:val="singleLevel"/>
    <w:tmpl w:val="0C09000F"/>
    <w:lvl w:ilvl="0">
      <w:start w:val="1"/>
      <w:numFmt w:val="decimal"/>
      <w:lvlText w:val="%1."/>
      <w:lvlJc w:val="left"/>
      <w:pPr>
        <w:tabs>
          <w:tab w:val="num" w:pos="720"/>
        </w:tabs>
        <w:ind w:left="720" w:hanging="360"/>
      </w:pPr>
    </w:lvl>
  </w:abstractNum>
  <w:abstractNum w:abstractNumId="34">
    <w:nsid w:val="6E186C1A"/>
    <w:multiLevelType w:val="multilevel"/>
    <w:tmpl w:val="0C09001D"/>
    <w:name w:val="RecommendationBulleted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4"/>
  </w:num>
  <w:num w:numId="3">
    <w:abstractNumId w:val="20"/>
  </w:num>
  <w:num w:numId="4">
    <w:abstractNumId w:val="27"/>
  </w:num>
  <w:num w:numId="5">
    <w:abstractNumId w:val="13"/>
  </w:num>
  <w:num w:numId="6">
    <w:abstractNumId w:val="13"/>
  </w:num>
  <w:num w:numId="7">
    <w:abstractNumId w:val="13"/>
  </w:num>
  <w:num w:numId="8">
    <w:abstractNumId w:val="35"/>
  </w:num>
  <w:num w:numId="9">
    <w:abstractNumId w:val="30"/>
  </w:num>
  <w:num w:numId="10">
    <w:abstractNumId w:val="10"/>
  </w:num>
  <w:num w:numId="11">
    <w:abstractNumId w:val="3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22"/>
  </w:num>
  <w:num w:numId="24">
    <w:abstractNumId w:val="19"/>
  </w:num>
  <w:num w:numId="25">
    <w:abstractNumId w:val="24"/>
  </w:num>
  <w:num w:numId="26">
    <w:abstractNumId w:val="16"/>
  </w:num>
  <w:num w:numId="27">
    <w:abstractNumId w:val="17"/>
  </w:num>
  <w:num w:numId="28">
    <w:abstractNumId w:val="34"/>
  </w:num>
  <w:num w:numId="29">
    <w:abstractNumId w:val="31"/>
  </w:num>
  <w:num w:numId="30">
    <w:abstractNumId w:val="23"/>
  </w:num>
  <w:num w:numId="31">
    <w:abstractNumId w:val="11"/>
  </w:num>
  <w:num w:numId="32">
    <w:abstractNumId w:val="26"/>
  </w:num>
  <w:num w:numId="33">
    <w:abstractNumId w:val="12"/>
  </w:num>
  <w:num w:numId="34">
    <w:abstractNumId w:val="2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B5"/>
    <w:rsid w:val="00000E30"/>
    <w:rsid w:val="00003AF0"/>
    <w:rsid w:val="00012E3C"/>
    <w:rsid w:val="00036C3A"/>
    <w:rsid w:val="0003780C"/>
    <w:rsid w:val="00040101"/>
    <w:rsid w:val="000444D1"/>
    <w:rsid w:val="0004580B"/>
    <w:rsid w:val="00047FBD"/>
    <w:rsid w:val="0005311B"/>
    <w:rsid w:val="00053D85"/>
    <w:rsid w:val="00062789"/>
    <w:rsid w:val="00072166"/>
    <w:rsid w:val="00075606"/>
    <w:rsid w:val="000834BE"/>
    <w:rsid w:val="000929FC"/>
    <w:rsid w:val="00093AF9"/>
    <w:rsid w:val="00095560"/>
    <w:rsid w:val="000A14D9"/>
    <w:rsid w:val="000A7614"/>
    <w:rsid w:val="000B07BA"/>
    <w:rsid w:val="000B15DC"/>
    <w:rsid w:val="000C2FDC"/>
    <w:rsid w:val="000C7F47"/>
    <w:rsid w:val="000D5929"/>
    <w:rsid w:val="000D6074"/>
    <w:rsid w:val="000D694C"/>
    <w:rsid w:val="000E6532"/>
    <w:rsid w:val="000E696D"/>
    <w:rsid w:val="000F00D9"/>
    <w:rsid w:val="000F2790"/>
    <w:rsid w:val="000F4593"/>
    <w:rsid w:val="000F45C1"/>
    <w:rsid w:val="00101030"/>
    <w:rsid w:val="0010222E"/>
    <w:rsid w:val="001121B9"/>
    <w:rsid w:val="0011259A"/>
    <w:rsid w:val="00122AA1"/>
    <w:rsid w:val="00127521"/>
    <w:rsid w:val="00127B4C"/>
    <w:rsid w:val="001300F9"/>
    <w:rsid w:val="001310B5"/>
    <w:rsid w:val="00131735"/>
    <w:rsid w:val="00133AED"/>
    <w:rsid w:val="001371F2"/>
    <w:rsid w:val="00150D92"/>
    <w:rsid w:val="0015209B"/>
    <w:rsid w:val="001557D9"/>
    <w:rsid w:val="0016740A"/>
    <w:rsid w:val="001708B5"/>
    <w:rsid w:val="00175FD1"/>
    <w:rsid w:val="00177949"/>
    <w:rsid w:val="00177B28"/>
    <w:rsid w:val="0018041D"/>
    <w:rsid w:val="00181FCD"/>
    <w:rsid w:val="00191432"/>
    <w:rsid w:val="001A0ADE"/>
    <w:rsid w:val="001A5637"/>
    <w:rsid w:val="001B7805"/>
    <w:rsid w:val="001C53B2"/>
    <w:rsid w:val="001C669A"/>
    <w:rsid w:val="001E1A9A"/>
    <w:rsid w:val="001E4823"/>
    <w:rsid w:val="00206FCD"/>
    <w:rsid w:val="002102E7"/>
    <w:rsid w:val="00221AC6"/>
    <w:rsid w:val="00224D3A"/>
    <w:rsid w:val="0023641C"/>
    <w:rsid w:val="00241B2C"/>
    <w:rsid w:val="0024479E"/>
    <w:rsid w:val="002523E4"/>
    <w:rsid w:val="00266073"/>
    <w:rsid w:val="002750A1"/>
    <w:rsid w:val="002855F3"/>
    <w:rsid w:val="002863E5"/>
    <w:rsid w:val="002912AE"/>
    <w:rsid w:val="00295705"/>
    <w:rsid w:val="00296582"/>
    <w:rsid w:val="002A2B1B"/>
    <w:rsid w:val="002A3A05"/>
    <w:rsid w:val="002A512D"/>
    <w:rsid w:val="002A5894"/>
    <w:rsid w:val="002B732D"/>
    <w:rsid w:val="002B7BB8"/>
    <w:rsid w:val="002C4410"/>
    <w:rsid w:val="002D64D5"/>
    <w:rsid w:val="002E3C0A"/>
    <w:rsid w:val="002E5B10"/>
    <w:rsid w:val="002E6014"/>
    <w:rsid w:val="002F5D42"/>
    <w:rsid w:val="003024C9"/>
    <w:rsid w:val="00305BBF"/>
    <w:rsid w:val="00313699"/>
    <w:rsid w:val="0032158F"/>
    <w:rsid w:val="00354BEF"/>
    <w:rsid w:val="00366436"/>
    <w:rsid w:val="00374D5F"/>
    <w:rsid w:val="0037711E"/>
    <w:rsid w:val="003852CB"/>
    <w:rsid w:val="003A2D7D"/>
    <w:rsid w:val="003D5483"/>
    <w:rsid w:val="003D7834"/>
    <w:rsid w:val="003F307C"/>
    <w:rsid w:val="0041283E"/>
    <w:rsid w:val="00413D5E"/>
    <w:rsid w:val="00414C40"/>
    <w:rsid w:val="004209AF"/>
    <w:rsid w:val="00431975"/>
    <w:rsid w:val="004439B8"/>
    <w:rsid w:val="00443BA2"/>
    <w:rsid w:val="004440D0"/>
    <w:rsid w:val="004504AA"/>
    <w:rsid w:val="0046177D"/>
    <w:rsid w:val="0046267F"/>
    <w:rsid w:val="0046385A"/>
    <w:rsid w:val="00476E7B"/>
    <w:rsid w:val="00484D48"/>
    <w:rsid w:val="0048500C"/>
    <w:rsid w:val="00491242"/>
    <w:rsid w:val="004940FA"/>
    <w:rsid w:val="004A4EF2"/>
    <w:rsid w:val="004A6A1F"/>
    <w:rsid w:val="004B1714"/>
    <w:rsid w:val="004B4532"/>
    <w:rsid w:val="004C140D"/>
    <w:rsid w:val="004C440D"/>
    <w:rsid w:val="004D2888"/>
    <w:rsid w:val="004D2EB3"/>
    <w:rsid w:val="004E1E80"/>
    <w:rsid w:val="004E2DD6"/>
    <w:rsid w:val="004E5019"/>
    <w:rsid w:val="004F4312"/>
    <w:rsid w:val="00517CAD"/>
    <w:rsid w:val="00522CF1"/>
    <w:rsid w:val="00525399"/>
    <w:rsid w:val="00535892"/>
    <w:rsid w:val="00535A13"/>
    <w:rsid w:val="00537600"/>
    <w:rsid w:val="00550B3D"/>
    <w:rsid w:val="00551091"/>
    <w:rsid w:val="00581A63"/>
    <w:rsid w:val="00582A17"/>
    <w:rsid w:val="00582F76"/>
    <w:rsid w:val="00595090"/>
    <w:rsid w:val="005971F2"/>
    <w:rsid w:val="005B2B93"/>
    <w:rsid w:val="005C57DF"/>
    <w:rsid w:val="005D391B"/>
    <w:rsid w:val="005D3A93"/>
    <w:rsid w:val="005D5D0F"/>
    <w:rsid w:val="005E0DA4"/>
    <w:rsid w:val="005E2900"/>
    <w:rsid w:val="005E2901"/>
    <w:rsid w:val="005F742B"/>
    <w:rsid w:val="006245FC"/>
    <w:rsid w:val="006318D8"/>
    <w:rsid w:val="00631C30"/>
    <w:rsid w:val="0064158D"/>
    <w:rsid w:val="00642720"/>
    <w:rsid w:val="00642FC9"/>
    <w:rsid w:val="006467BC"/>
    <w:rsid w:val="006475A1"/>
    <w:rsid w:val="0065392C"/>
    <w:rsid w:val="006540F4"/>
    <w:rsid w:val="00655FCE"/>
    <w:rsid w:val="00657DB1"/>
    <w:rsid w:val="0066630C"/>
    <w:rsid w:val="00670498"/>
    <w:rsid w:val="00670968"/>
    <w:rsid w:val="006739A3"/>
    <w:rsid w:val="006767F7"/>
    <w:rsid w:val="006836C8"/>
    <w:rsid w:val="00690D4D"/>
    <w:rsid w:val="006917F4"/>
    <w:rsid w:val="00694676"/>
    <w:rsid w:val="0069608B"/>
    <w:rsid w:val="00696CD0"/>
    <w:rsid w:val="006975AC"/>
    <w:rsid w:val="006A5B0D"/>
    <w:rsid w:val="006A704B"/>
    <w:rsid w:val="006B4999"/>
    <w:rsid w:val="006B7761"/>
    <w:rsid w:val="006D14F4"/>
    <w:rsid w:val="006F20BB"/>
    <w:rsid w:val="00700D9C"/>
    <w:rsid w:val="007048C2"/>
    <w:rsid w:val="00710C96"/>
    <w:rsid w:val="0071273B"/>
    <w:rsid w:val="00713932"/>
    <w:rsid w:val="0072016A"/>
    <w:rsid w:val="00720583"/>
    <w:rsid w:val="007209C7"/>
    <w:rsid w:val="00730A57"/>
    <w:rsid w:val="00751D1E"/>
    <w:rsid w:val="00765BD0"/>
    <w:rsid w:val="007729B5"/>
    <w:rsid w:val="00775736"/>
    <w:rsid w:val="007774B3"/>
    <w:rsid w:val="00790505"/>
    <w:rsid w:val="007A7536"/>
    <w:rsid w:val="007A7BB8"/>
    <w:rsid w:val="007B11AF"/>
    <w:rsid w:val="007B30BF"/>
    <w:rsid w:val="007C27E7"/>
    <w:rsid w:val="007D2404"/>
    <w:rsid w:val="007D69EF"/>
    <w:rsid w:val="007D7B70"/>
    <w:rsid w:val="007E4460"/>
    <w:rsid w:val="007E7C10"/>
    <w:rsid w:val="007F638C"/>
    <w:rsid w:val="00804DE5"/>
    <w:rsid w:val="00807554"/>
    <w:rsid w:val="00815C93"/>
    <w:rsid w:val="00816409"/>
    <w:rsid w:val="00822DF4"/>
    <w:rsid w:val="00823EF3"/>
    <w:rsid w:val="008310D0"/>
    <w:rsid w:val="008401E6"/>
    <w:rsid w:val="00840FE8"/>
    <w:rsid w:val="00841A81"/>
    <w:rsid w:val="00842453"/>
    <w:rsid w:val="00857A2E"/>
    <w:rsid w:val="00862E4E"/>
    <w:rsid w:val="008630E5"/>
    <w:rsid w:val="00863203"/>
    <w:rsid w:val="0086400F"/>
    <w:rsid w:val="00872DED"/>
    <w:rsid w:val="00874704"/>
    <w:rsid w:val="0088630A"/>
    <w:rsid w:val="008A5940"/>
    <w:rsid w:val="008A7048"/>
    <w:rsid w:val="008B3DA8"/>
    <w:rsid w:val="008B4B7B"/>
    <w:rsid w:val="008B4F7C"/>
    <w:rsid w:val="008C10A6"/>
    <w:rsid w:val="008D0CCD"/>
    <w:rsid w:val="008D7FD4"/>
    <w:rsid w:val="008E54A0"/>
    <w:rsid w:val="00904FBC"/>
    <w:rsid w:val="00905B3A"/>
    <w:rsid w:val="0090721E"/>
    <w:rsid w:val="00913FE1"/>
    <w:rsid w:val="0092089C"/>
    <w:rsid w:val="00922A73"/>
    <w:rsid w:val="009236F5"/>
    <w:rsid w:val="0094328B"/>
    <w:rsid w:val="009617C0"/>
    <w:rsid w:val="00961912"/>
    <w:rsid w:val="00984CC4"/>
    <w:rsid w:val="009878F8"/>
    <w:rsid w:val="009932F6"/>
    <w:rsid w:val="009944D9"/>
    <w:rsid w:val="00995DE1"/>
    <w:rsid w:val="009A40CC"/>
    <w:rsid w:val="009D69DB"/>
    <w:rsid w:val="009D752C"/>
    <w:rsid w:val="009E5421"/>
    <w:rsid w:val="009F72C1"/>
    <w:rsid w:val="00A071A9"/>
    <w:rsid w:val="00A13594"/>
    <w:rsid w:val="00A1603E"/>
    <w:rsid w:val="00A21798"/>
    <w:rsid w:val="00A224D0"/>
    <w:rsid w:val="00A25D67"/>
    <w:rsid w:val="00A27CF9"/>
    <w:rsid w:val="00A27CFE"/>
    <w:rsid w:val="00A31597"/>
    <w:rsid w:val="00A32053"/>
    <w:rsid w:val="00A33E56"/>
    <w:rsid w:val="00A34FAC"/>
    <w:rsid w:val="00A35153"/>
    <w:rsid w:val="00A361FC"/>
    <w:rsid w:val="00A5449C"/>
    <w:rsid w:val="00A7147C"/>
    <w:rsid w:val="00A81457"/>
    <w:rsid w:val="00A87561"/>
    <w:rsid w:val="00AA466A"/>
    <w:rsid w:val="00AA6E82"/>
    <w:rsid w:val="00AB7DE1"/>
    <w:rsid w:val="00AD6A62"/>
    <w:rsid w:val="00AF15DA"/>
    <w:rsid w:val="00AF79EE"/>
    <w:rsid w:val="00AF7BA3"/>
    <w:rsid w:val="00B11622"/>
    <w:rsid w:val="00B2032F"/>
    <w:rsid w:val="00B22C3A"/>
    <w:rsid w:val="00B24AC5"/>
    <w:rsid w:val="00B24CA9"/>
    <w:rsid w:val="00B32AFC"/>
    <w:rsid w:val="00B332E6"/>
    <w:rsid w:val="00B337D9"/>
    <w:rsid w:val="00B34145"/>
    <w:rsid w:val="00B34315"/>
    <w:rsid w:val="00B37833"/>
    <w:rsid w:val="00B40B73"/>
    <w:rsid w:val="00B40FE3"/>
    <w:rsid w:val="00B500BF"/>
    <w:rsid w:val="00B50564"/>
    <w:rsid w:val="00B52332"/>
    <w:rsid w:val="00B76058"/>
    <w:rsid w:val="00B770AB"/>
    <w:rsid w:val="00B84E2B"/>
    <w:rsid w:val="00B874DA"/>
    <w:rsid w:val="00BA3E7E"/>
    <w:rsid w:val="00BA5BC4"/>
    <w:rsid w:val="00BA5D60"/>
    <w:rsid w:val="00BC44B5"/>
    <w:rsid w:val="00BC4A5C"/>
    <w:rsid w:val="00BD160E"/>
    <w:rsid w:val="00BD2615"/>
    <w:rsid w:val="00BF1A3C"/>
    <w:rsid w:val="00BF539D"/>
    <w:rsid w:val="00C00588"/>
    <w:rsid w:val="00C054D3"/>
    <w:rsid w:val="00C2677D"/>
    <w:rsid w:val="00C26F9F"/>
    <w:rsid w:val="00C301B0"/>
    <w:rsid w:val="00C31C87"/>
    <w:rsid w:val="00C374D9"/>
    <w:rsid w:val="00C423CE"/>
    <w:rsid w:val="00C47831"/>
    <w:rsid w:val="00C56DDF"/>
    <w:rsid w:val="00C80ADB"/>
    <w:rsid w:val="00C870E0"/>
    <w:rsid w:val="00C87F41"/>
    <w:rsid w:val="00C94797"/>
    <w:rsid w:val="00C95770"/>
    <w:rsid w:val="00C9774F"/>
    <w:rsid w:val="00C97917"/>
    <w:rsid w:val="00CB0F5F"/>
    <w:rsid w:val="00CB51CE"/>
    <w:rsid w:val="00CB693F"/>
    <w:rsid w:val="00CC7F05"/>
    <w:rsid w:val="00CD7780"/>
    <w:rsid w:val="00CE0BE0"/>
    <w:rsid w:val="00CE33C8"/>
    <w:rsid w:val="00CE6BA1"/>
    <w:rsid w:val="00D04F04"/>
    <w:rsid w:val="00D22C13"/>
    <w:rsid w:val="00D23D41"/>
    <w:rsid w:val="00D23F3C"/>
    <w:rsid w:val="00D25E26"/>
    <w:rsid w:val="00D26684"/>
    <w:rsid w:val="00D300CC"/>
    <w:rsid w:val="00D44748"/>
    <w:rsid w:val="00D54930"/>
    <w:rsid w:val="00D55D1B"/>
    <w:rsid w:val="00D62CE5"/>
    <w:rsid w:val="00D62D37"/>
    <w:rsid w:val="00D657CE"/>
    <w:rsid w:val="00D71B38"/>
    <w:rsid w:val="00D72F48"/>
    <w:rsid w:val="00D72FB1"/>
    <w:rsid w:val="00D82A9B"/>
    <w:rsid w:val="00D9142C"/>
    <w:rsid w:val="00D93DDB"/>
    <w:rsid w:val="00DA0BF2"/>
    <w:rsid w:val="00DA29ED"/>
    <w:rsid w:val="00DB3EED"/>
    <w:rsid w:val="00DB533E"/>
    <w:rsid w:val="00DB5702"/>
    <w:rsid w:val="00DB695F"/>
    <w:rsid w:val="00DC0BD0"/>
    <w:rsid w:val="00DC3507"/>
    <w:rsid w:val="00DC5B41"/>
    <w:rsid w:val="00DE0ADC"/>
    <w:rsid w:val="00DE31BF"/>
    <w:rsid w:val="00DF1A37"/>
    <w:rsid w:val="00E06802"/>
    <w:rsid w:val="00E07DD6"/>
    <w:rsid w:val="00E11A9A"/>
    <w:rsid w:val="00E12FCB"/>
    <w:rsid w:val="00E278BD"/>
    <w:rsid w:val="00E306BC"/>
    <w:rsid w:val="00E31D7A"/>
    <w:rsid w:val="00E36086"/>
    <w:rsid w:val="00E41A1F"/>
    <w:rsid w:val="00E77C19"/>
    <w:rsid w:val="00E8775F"/>
    <w:rsid w:val="00EA7CD4"/>
    <w:rsid w:val="00EB5694"/>
    <w:rsid w:val="00EB68D7"/>
    <w:rsid w:val="00EC13B4"/>
    <w:rsid w:val="00ED176E"/>
    <w:rsid w:val="00ED41DD"/>
    <w:rsid w:val="00ED6561"/>
    <w:rsid w:val="00ED7F54"/>
    <w:rsid w:val="00EF72C7"/>
    <w:rsid w:val="00F01AEE"/>
    <w:rsid w:val="00F30819"/>
    <w:rsid w:val="00F36F4B"/>
    <w:rsid w:val="00F64D4E"/>
    <w:rsid w:val="00F72B3D"/>
    <w:rsid w:val="00F73BC2"/>
    <w:rsid w:val="00F80C3C"/>
    <w:rsid w:val="00F926BA"/>
    <w:rsid w:val="00F92AD9"/>
    <w:rsid w:val="00F92C1B"/>
    <w:rsid w:val="00F956B6"/>
    <w:rsid w:val="00FA66E2"/>
    <w:rsid w:val="00FB2DBB"/>
    <w:rsid w:val="00FB5C49"/>
    <w:rsid w:val="00FB622B"/>
    <w:rsid w:val="00FC5438"/>
    <w:rsid w:val="00FC6830"/>
    <w:rsid w:val="00FD0811"/>
    <w:rsid w:val="00FD10DC"/>
    <w:rsid w:val="00FD42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6"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582"/>
    <w:pPr>
      <w:spacing w:after="240" w:line="260" w:lineRule="exact"/>
      <w:jc w:val="both"/>
    </w:pPr>
    <w:rPr>
      <w:rFonts w:ascii="Book Antiqua" w:hAnsi="Book Antiqua"/>
      <w:color w:val="000000"/>
    </w:rPr>
  </w:style>
  <w:style w:type="paragraph" w:styleId="Heading1">
    <w:name w:val="heading 1"/>
    <w:basedOn w:val="HeadingBase"/>
    <w:next w:val="Normal"/>
    <w:qFormat/>
    <w:rsid w:val="00296582"/>
    <w:pPr>
      <w:keepNext/>
      <w:spacing w:before="284" w:after="113"/>
      <w:outlineLvl w:val="0"/>
    </w:pPr>
    <w:rPr>
      <w:rFonts w:cs="Arial"/>
      <w:b/>
      <w:bCs/>
      <w:kern w:val="32"/>
      <w:sz w:val="48"/>
      <w:szCs w:val="48"/>
    </w:rPr>
  </w:style>
  <w:style w:type="paragraph" w:styleId="Heading2">
    <w:name w:val="heading 2"/>
    <w:basedOn w:val="HeadingBase"/>
    <w:next w:val="Normal"/>
    <w:qFormat/>
    <w:rsid w:val="00296582"/>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qFormat/>
    <w:rsid w:val="00296582"/>
    <w:pPr>
      <w:keepNext/>
      <w:spacing w:before="57" w:after="57" w:line="280" w:lineRule="exact"/>
      <w:outlineLvl w:val="2"/>
    </w:pPr>
    <w:rPr>
      <w:rFonts w:cs="Arial"/>
      <w:b/>
      <w:bCs/>
      <w:sz w:val="24"/>
      <w:szCs w:val="26"/>
    </w:rPr>
  </w:style>
  <w:style w:type="paragraph" w:styleId="Heading4">
    <w:name w:val="heading 4"/>
    <w:basedOn w:val="HeadingBase"/>
    <w:next w:val="Normal"/>
    <w:qFormat/>
    <w:rsid w:val="00296582"/>
    <w:pPr>
      <w:keepNext/>
      <w:spacing w:before="57" w:after="57" w:line="280" w:lineRule="exact"/>
      <w:outlineLvl w:val="3"/>
    </w:pPr>
    <w:rPr>
      <w:b/>
      <w:bCs/>
      <w:szCs w:val="22"/>
    </w:rPr>
  </w:style>
  <w:style w:type="paragraph" w:styleId="Heading5">
    <w:name w:val="heading 5"/>
    <w:basedOn w:val="HeadingBase"/>
    <w:next w:val="Normal"/>
    <w:qFormat/>
    <w:rsid w:val="00296582"/>
    <w:pPr>
      <w:keepNext/>
      <w:spacing w:before="57" w:after="57" w:line="280" w:lineRule="exact"/>
      <w:outlineLvl w:val="4"/>
    </w:pPr>
    <w:rPr>
      <w:bCs/>
      <w:iCs/>
    </w:rPr>
  </w:style>
  <w:style w:type="paragraph" w:styleId="Heading6">
    <w:name w:val="heading 6"/>
    <w:basedOn w:val="HeadingBase"/>
    <w:next w:val="Normal"/>
    <w:qFormat/>
    <w:rsid w:val="00296582"/>
    <w:pPr>
      <w:keepNext/>
      <w:spacing w:after="120"/>
      <w:outlineLvl w:val="5"/>
    </w:pPr>
    <w:rPr>
      <w:bCs/>
      <w:szCs w:val="22"/>
    </w:rPr>
  </w:style>
  <w:style w:type="paragraph" w:styleId="Heading7">
    <w:name w:val="heading 7"/>
    <w:basedOn w:val="Heading2"/>
    <w:next w:val="Normal"/>
    <w:qFormat/>
    <w:rsid w:val="00296582"/>
    <w:pPr>
      <w:jc w:val="right"/>
      <w:outlineLvl w:val="6"/>
    </w:pPr>
  </w:style>
  <w:style w:type="paragraph" w:styleId="Heading8">
    <w:name w:val="heading 8"/>
    <w:basedOn w:val="HeadingBase"/>
    <w:next w:val="Normal"/>
    <w:qFormat/>
    <w:rsid w:val="00296582"/>
    <w:pPr>
      <w:keepNext/>
      <w:spacing w:before="284" w:after="360"/>
      <w:jc w:val="right"/>
      <w:outlineLvl w:val="7"/>
    </w:pPr>
    <w:rPr>
      <w:iCs/>
      <w:sz w:val="48"/>
      <w:szCs w:val="24"/>
    </w:rPr>
  </w:style>
  <w:style w:type="paragraph" w:styleId="Heading9">
    <w:name w:val="heading 9"/>
    <w:basedOn w:val="HeadingBase"/>
    <w:next w:val="Normal"/>
    <w:qFormat/>
    <w:rsid w:val="00296582"/>
    <w:pPr>
      <w:keepNext/>
      <w:spacing w:before="170" w:after="113" w:line="320" w:lineRule="exact"/>
      <w:jc w:val="right"/>
      <w:outlineLvl w:val="8"/>
    </w:pPr>
    <w:rPr>
      <w:rFonts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296582"/>
    <w:pPr>
      <w:spacing w:after="0"/>
    </w:pPr>
  </w:style>
  <w:style w:type="character" w:styleId="Hyperlink">
    <w:name w:val="Hyperlink"/>
    <w:basedOn w:val="DefaultParagraphFont"/>
    <w:rsid w:val="00296582"/>
    <w:rPr>
      <w:color w:val="000000"/>
      <w:u w:val="none"/>
    </w:rPr>
  </w:style>
  <w:style w:type="character" w:styleId="FootnoteReference">
    <w:name w:val="footnote reference"/>
    <w:basedOn w:val="DefaultParagraphFont"/>
    <w:rsid w:val="00296582"/>
    <w:rPr>
      <w:vertAlign w:val="superscript"/>
    </w:rPr>
  </w:style>
  <w:style w:type="paragraph" w:styleId="BalloonText">
    <w:name w:val="Balloon Text"/>
    <w:basedOn w:val="Normal"/>
    <w:rsid w:val="00296582"/>
    <w:rPr>
      <w:rFonts w:ascii="Tahoma" w:hAnsi="Tahoma" w:cs="Tahoma"/>
      <w:sz w:val="16"/>
      <w:szCs w:val="16"/>
    </w:rPr>
  </w:style>
  <w:style w:type="character" w:styleId="PageNumber">
    <w:name w:val="page number"/>
    <w:basedOn w:val="DefaultParagraphFont"/>
    <w:rsid w:val="00EC13B4"/>
    <w:rPr>
      <w:rFonts w:ascii="Times" w:hAnsi="Times"/>
      <w:color w:val="72B4E7"/>
      <w:sz w:val="18"/>
      <w:szCs w:val="18"/>
    </w:rPr>
  </w:style>
  <w:style w:type="paragraph" w:styleId="FootnoteText">
    <w:name w:val="footnote text"/>
    <w:basedOn w:val="Normal"/>
    <w:rsid w:val="00296582"/>
    <w:pPr>
      <w:tabs>
        <w:tab w:val="left" w:pos="284"/>
      </w:tabs>
      <w:spacing w:after="0" w:line="240" w:lineRule="auto"/>
      <w:ind w:left="284" w:hanging="284"/>
    </w:pPr>
    <w:rPr>
      <w:sz w:val="18"/>
    </w:rPr>
  </w:style>
  <w:style w:type="paragraph" w:customStyle="1" w:styleId="Bullet">
    <w:name w:val="Bullet"/>
    <w:aliases w:val="b"/>
    <w:basedOn w:val="Normal"/>
    <w:rsid w:val="00296582"/>
    <w:pPr>
      <w:numPr>
        <w:numId w:val="1"/>
      </w:numPr>
      <w:ind w:left="284" w:hanging="284"/>
    </w:pPr>
  </w:style>
  <w:style w:type="paragraph" w:customStyle="1" w:styleId="Dash">
    <w:name w:val="Dash"/>
    <w:basedOn w:val="Normal"/>
    <w:rsid w:val="00296582"/>
    <w:pPr>
      <w:numPr>
        <w:ilvl w:val="1"/>
        <w:numId w:val="1"/>
      </w:numPr>
      <w:ind w:left="568"/>
    </w:pPr>
  </w:style>
  <w:style w:type="paragraph" w:customStyle="1" w:styleId="DoubleDot">
    <w:name w:val="Double Dot"/>
    <w:basedOn w:val="Normal"/>
    <w:rsid w:val="00296582"/>
    <w:pPr>
      <w:numPr>
        <w:ilvl w:val="2"/>
        <w:numId w:val="1"/>
      </w:numPr>
    </w:pPr>
  </w:style>
  <w:style w:type="paragraph" w:customStyle="1" w:styleId="OutlineNumbered1">
    <w:name w:val="Outline Numbered 1"/>
    <w:basedOn w:val="Normal"/>
    <w:rsid w:val="00296582"/>
    <w:pPr>
      <w:numPr>
        <w:numId w:val="2"/>
      </w:numPr>
    </w:pPr>
  </w:style>
  <w:style w:type="paragraph" w:customStyle="1" w:styleId="OutlineNumbered2">
    <w:name w:val="Outline Numbered 2"/>
    <w:basedOn w:val="Normal"/>
    <w:rsid w:val="00296582"/>
    <w:pPr>
      <w:numPr>
        <w:ilvl w:val="1"/>
        <w:numId w:val="2"/>
      </w:numPr>
    </w:pPr>
  </w:style>
  <w:style w:type="paragraph" w:customStyle="1" w:styleId="OutlineNumbered3">
    <w:name w:val="Outline Numbered 3"/>
    <w:basedOn w:val="Normal"/>
    <w:rsid w:val="00296582"/>
    <w:pPr>
      <w:numPr>
        <w:ilvl w:val="2"/>
        <w:numId w:val="2"/>
      </w:numPr>
    </w:pPr>
  </w:style>
  <w:style w:type="paragraph" w:customStyle="1" w:styleId="AlphaParagraph">
    <w:name w:val="Alpha Paragraph"/>
    <w:basedOn w:val="Normal"/>
    <w:rsid w:val="00296582"/>
    <w:pPr>
      <w:numPr>
        <w:numId w:val="3"/>
      </w:numPr>
    </w:pPr>
  </w:style>
  <w:style w:type="paragraph" w:customStyle="1" w:styleId="HeadingBase">
    <w:name w:val="Heading Base"/>
    <w:next w:val="Normal"/>
    <w:rsid w:val="00EC13B4"/>
    <w:rPr>
      <w:rFonts w:ascii="Arial" w:hAnsi="Arial"/>
      <w:color w:val="72B4E7"/>
    </w:rPr>
  </w:style>
  <w:style w:type="paragraph" w:customStyle="1" w:styleId="AppendixHeading">
    <w:name w:val="Appendix Heading"/>
    <w:basedOn w:val="HeadingBase"/>
    <w:next w:val="Normal"/>
    <w:rsid w:val="00296582"/>
    <w:pPr>
      <w:spacing w:before="720" w:after="360"/>
    </w:pPr>
    <w:rPr>
      <w:rFonts w:ascii="Arial Bold" w:hAnsi="Arial Bold"/>
      <w:b/>
      <w:smallCaps/>
      <w:sz w:val="36"/>
      <w:szCs w:val="36"/>
    </w:rPr>
  </w:style>
  <w:style w:type="character" w:customStyle="1" w:styleId="Bold">
    <w:name w:val="Bold"/>
    <w:basedOn w:val="DefaultParagraphFont"/>
    <w:rsid w:val="00296582"/>
    <w:rPr>
      <w:b/>
    </w:rPr>
  </w:style>
  <w:style w:type="paragraph" w:customStyle="1" w:styleId="BoxHeading">
    <w:name w:val="Box Heading"/>
    <w:basedOn w:val="HeadingBase"/>
    <w:next w:val="BoxText"/>
    <w:rsid w:val="00296582"/>
    <w:pPr>
      <w:spacing w:before="120" w:after="120"/>
    </w:pPr>
    <w:rPr>
      <w:b/>
      <w:sz w:val="22"/>
    </w:rPr>
  </w:style>
  <w:style w:type="paragraph" w:customStyle="1" w:styleId="BoxTextBase">
    <w:name w:val="Box Text Base"/>
    <w:basedOn w:val="Normal"/>
    <w:rsid w:val="00296582"/>
    <w:pPr>
      <w:spacing w:before="120" w:after="120" w:line="240" w:lineRule="auto"/>
    </w:pPr>
  </w:style>
  <w:style w:type="paragraph" w:customStyle="1" w:styleId="ChartandTableFootnoteAlpha">
    <w:name w:val="Chart and Table Footnote Alpha"/>
    <w:rsid w:val="00296582"/>
    <w:pPr>
      <w:numPr>
        <w:numId w:val="4"/>
      </w:numPr>
      <w:jc w:val="both"/>
    </w:pPr>
    <w:rPr>
      <w:rFonts w:ascii="Arial" w:hAnsi="Arial"/>
      <w:color w:val="000000"/>
      <w:sz w:val="16"/>
      <w:szCs w:val="16"/>
    </w:rPr>
  </w:style>
  <w:style w:type="paragraph" w:customStyle="1" w:styleId="ChartGraphic">
    <w:name w:val="Chart Graphic"/>
    <w:basedOn w:val="HeadingBase"/>
    <w:rsid w:val="00296582"/>
    <w:pPr>
      <w:jc w:val="center"/>
    </w:pPr>
  </w:style>
  <w:style w:type="paragraph" w:customStyle="1" w:styleId="ChartMainHeading">
    <w:name w:val="Chart Main Heading"/>
    <w:basedOn w:val="HeadingBase"/>
    <w:next w:val="ChartGraphic"/>
    <w:rsid w:val="00296582"/>
    <w:pPr>
      <w:keepNext/>
      <w:spacing w:before="170" w:after="113"/>
      <w:jc w:val="center"/>
    </w:pPr>
    <w:rPr>
      <w:b/>
      <w:sz w:val="22"/>
    </w:rPr>
  </w:style>
  <w:style w:type="paragraph" w:customStyle="1" w:styleId="ChartorTableNote">
    <w:name w:val="Chart or Table Note"/>
    <w:next w:val="Normal"/>
    <w:rsid w:val="00296582"/>
    <w:pPr>
      <w:jc w:val="both"/>
    </w:pPr>
    <w:rPr>
      <w:rFonts w:ascii="Arial" w:hAnsi="Arial"/>
      <w:color w:val="000000"/>
      <w:sz w:val="16"/>
    </w:rPr>
  </w:style>
  <w:style w:type="paragraph" w:customStyle="1" w:styleId="ChartSecondHeading">
    <w:name w:val="Chart Second Heading"/>
    <w:basedOn w:val="HeadingBase"/>
    <w:next w:val="ChartGraphic"/>
    <w:rsid w:val="00296582"/>
    <w:pPr>
      <w:keepNext/>
      <w:spacing w:after="20"/>
      <w:jc w:val="center"/>
    </w:pPr>
  </w:style>
  <w:style w:type="paragraph" w:customStyle="1" w:styleId="Classification">
    <w:name w:val="Classification"/>
    <w:basedOn w:val="HeadingBase"/>
    <w:next w:val="Footer"/>
    <w:rsid w:val="00296582"/>
    <w:pPr>
      <w:spacing w:after="120"/>
      <w:jc w:val="center"/>
    </w:pPr>
    <w:rPr>
      <w:b/>
      <w:smallCaps/>
    </w:rPr>
  </w:style>
  <w:style w:type="paragraph" w:styleId="Footer">
    <w:name w:val="footer"/>
    <w:basedOn w:val="HeadingBase"/>
    <w:rsid w:val="00296582"/>
    <w:rPr>
      <w:sz w:val="18"/>
    </w:rPr>
  </w:style>
  <w:style w:type="paragraph" w:customStyle="1" w:styleId="ContentsHeading">
    <w:name w:val="Contents Heading"/>
    <w:basedOn w:val="HeadingBase"/>
    <w:next w:val="Normal"/>
    <w:rsid w:val="00296582"/>
    <w:pPr>
      <w:spacing w:after="360"/>
    </w:pPr>
    <w:rPr>
      <w:smallCaps/>
      <w:sz w:val="36"/>
      <w:szCs w:val="36"/>
    </w:rPr>
  </w:style>
  <w:style w:type="paragraph" w:customStyle="1" w:styleId="CoverTitleMain">
    <w:name w:val="Cover Title Main"/>
    <w:basedOn w:val="HeadingBase"/>
    <w:next w:val="Normal"/>
    <w:rsid w:val="00296582"/>
    <w:pPr>
      <w:spacing w:after="360"/>
      <w:jc w:val="right"/>
    </w:pPr>
    <w:rPr>
      <w:b/>
      <w:sz w:val="44"/>
    </w:rPr>
  </w:style>
  <w:style w:type="paragraph" w:customStyle="1" w:styleId="CoverTitleSub">
    <w:name w:val="Cover Title Sub"/>
    <w:basedOn w:val="HeadingBase"/>
    <w:rsid w:val="00296582"/>
    <w:pPr>
      <w:spacing w:after="360"/>
      <w:jc w:val="center"/>
    </w:pPr>
    <w:rPr>
      <w:sz w:val="36"/>
    </w:rPr>
  </w:style>
  <w:style w:type="paragraph" w:customStyle="1" w:styleId="FooterCentered">
    <w:name w:val="Footer Centered"/>
    <w:basedOn w:val="Footer"/>
    <w:rsid w:val="00296582"/>
    <w:pPr>
      <w:jc w:val="center"/>
    </w:pPr>
  </w:style>
  <w:style w:type="paragraph" w:customStyle="1" w:styleId="FooterEven">
    <w:name w:val="Footer Even"/>
    <w:basedOn w:val="Footer"/>
    <w:rsid w:val="00296582"/>
  </w:style>
  <w:style w:type="paragraph" w:customStyle="1" w:styleId="FooterOdd">
    <w:name w:val="Footer Odd"/>
    <w:basedOn w:val="Footer"/>
    <w:rsid w:val="00296582"/>
    <w:pPr>
      <w:jc w:val="right"/>
    </w:pPr>
  </w:style>
  <w:style w:type="character" w:customStyle="1" w:styleId="FramedFooter">
    <w:name w:val="Framed Footer"/>
    <w:rsid w:val="00EC13B4"/>
    <w:rPr>
      <w:rFonts w:ascii="Swis721 Lt BT" w:hAnsi="Swis721 Lt BT"/>
      <w:color w:val="72B4E7"/>
      <w:sz w:val="18"/>
      <w:szCs w:val="18"/>
    </w:rPr>
  </w:style>
  <w:style w:type="character" w:customStyle="1" w:styleId="FramedHeader">
    <w:name w:val="Framed Header"/>
    <w:basedOn w:val="DefaultParagraphFont"/>
    <w:rsid w:val="00EC13B4"/>
    <w:rPr>
      <w:rFonts w:ascii="Arial" w:hAnsi="Arial"/>
      <w:dstrike w:val="0"/>
      <w:color w:val="72B4E7"/>
      <w:sz w:val="18"/>
      <w:szCs w:val="18"/>
      <w:vertAlign w:val="baseline"/>
    </w:rPr>
  </w:style>
  <w:style w:type="paragraph" w:styleId="Header">
    <w:name w:val="header"/>
    <w:basedOn w:val="HeadingBase"/>
    <w:rsid w:val="00296582"/>
    <w:rPr>
      <w:sz w:val="18"/>
    </w:rPr>
  </w:style>
  <w:style w:type="paragraph" w:customStyle="1" w:styleId="HeaderEven">
    <w:name w:val="Header Even"/>
    <w:basedOn w:val="Header"/>
    <w:rsid w:val="00296582"/>
  </w:style>
  <w:style w:type="paragraph" w:customStyle="1" w:styleId="HeaderOdd">
    <w:name w:val="Header Odd"/>
    <w:basedOn w:val="Header"/>
    <w:rsid w:val="00296582"/>
    <w:pPr>
      <w:jc w:val="right"/>
    </w:pPr>
  </w:style>
  <w:style w:type="paragraph" w:styleId="NormalIndent">
    <w:name w:val="Normal Indent"/>
    <w:basedOn w:val="Normal"/>
    <w:rsid w:val="00296582"/>
    <w:pPr>
      <w:ind w:left="567"/>
    </w:pPr>
  </w:style>
  <w:style w:type="paragraph" w:customStyle="1" w:styleId="RecommendationHeading">
    <w:name w:val="Recommendation Heading"/>
    <w:basedOn w:val="HeadingBase"/>
    <w:next w:val="RecommendationText"/>
    <w:rsid w:val="00296582"/>
    <w:pPr>
      <w:spacing w:after="240"/>
    </w:pPr>
    <w:rPr>
      <w:b/>
      <w:sz w:val="22"/>
    </w:rPr>
  </w:style>
  <w:style w:type="paragraph" w:customStyle="1" w:styleId="RecommendationBaseText">
    <w:name w:val="Recommendation Base Text"/>
    <w:basedOn w:val="Normal"/>
    <w:rsid w:val="00296582"/>
  </w:style>
  <w:style w:type="paragraph" w:customStyle="1" w:styleId="RecommendationText">
    <w:name w:val="Recommendation Text"/>
    <w:basedOn w:val="RecommendationBaseText"/>
    <w:rsid w:val="00296582"/>
  </w:style>
  <w:style w:type="paragraph" w:customStyle="1" w:styleId="TableTextBase">
    <w:name w:val="Table Text Base"/>
    <w:rsid w:val="00296582"/>
    <w:pPr>
      <w:spacing w:before="40" w:after="40"/>
    </w:pPr>
    <w:rPr>
      <w:rFonts w:ascii="Arial" w:hAnsi="Arial"/>
      <w:color w:val="000000"/>
      <w:sz w:val="16"/>
    </w:rPr>
  </w:style>
  <w:style w:type="paragraph" w:customStyle="1" w:styleId="TableColumnHeadingCentred">
    <w:name w:val="Table Column Heading Centred"/>
    <w:basedOn w:val="TableTextBase"/>
    <w:rsid w:val="00296582"/>
    <w:pPr>
      <w:jc w:val="center"/>
    </w:pPr>
    <w:rPr>
      <w:b/>
    </w:rPr>
  </w:style>
  <w:style w:type="paragraph" w:customStyle="1" w:styleId="TableColumnHeadingLeft">
    <w:name w:val="Table Column Heading Left"/>
    <w:basedOn w:val="TableTextBase"/>
    <w:rsid w:val="00296582"/>
    <w:rPr>
      <w:b/>
    </w:rPr>
  </w:style>
  <w:style w:type="paragraph" w:customStyle="1" w:styleId="TableColumnHeadingRight">
    <w:name w:val="Table Column Heading Right"/>
    <w:basedOn w:val="TableTextBase"/>
    <w:rsid w:val="00296582"/>
    <w:pPr>
      <w:jc w:val="right"/>
    </w:pPr>
    <w:rPr>
      <w:b/>
    </w:rPr>
  </w:style>
  <w:style w:type="paragraph" w:customStyle="1" w:styleId="TableGraphic">
    <w:name w:val="Table Graphic"/>
    <w:basedOn w:val="HeadingBase"/>
    <w:next w:val="Normal"/>
    <w:rsid w:val="00296582"/>
    <w:pPr>
      <w:spacing w:after="20"/>
      <w:ind w:right="-113"/>
    </w:pPr>
    <w:rPr>
      <w:rFonts w:ascii="Helvetica" w:hAnsi="Helvetica"/>
    </w:rPr>
  </w:style>
  <w:style w:type="paragraph" w:customStyle="1" w:styleId="TableMainHeading">
    <w:name w:val="Table Main Heading"/>
    <w:basedOn w:val="HeadingBase"/>
    <w:next w:val="TableGraphic"/>
    <w:rsid w:val="00296582"/>
    <w:pPr>
      <w:keepNext/>
      <w:spacing w:before="170" w:after="113"/>
    </w:pPr>
    <w:rPr>
      <w:b/>
      <w:sz w:val="22"/>
    </w:rPr>
  </w:style>
  <w:style w:type="paragraph" w:customStyle="1" w:styleId="TableMainHeadingContd">
    <w:name w:val="Table Main Heading Contd"/>
    <w:basedOn w:val="HeadingBase"/>
    <w:next w:val="TableGraphic"/>
    <w:rsid w:val="00296582"/>
    <w:pPr>
      <w:keepNext/>
      <w:spacing w:after="20"/>
    </w:pPr>
    <w:rPr>
      <w:b/>
      <w:sz w:val="22"/>
    </w:rPr>
  </w:style>
  <w:style w:type="paragraph" w:customStyle="1" w:styleId="TableSecondHeading">
    <w:name w:val="Table Second Heading"/>
    <w:basedOn w:val="HeadingBase"/>
    <w:next w:val="TableGraphic"/>
    <w:rsid w:val="00296582"/>
    <w:pPr>
      <w:keepNext/>
      <w:spacing w:after="20"/>
    </w:pPr>
  </w:style>
  <w:style w:type="paragraph" w:customStyle="1" w:styleId="TableTextCentered">
    <w:name w:val="Table Text Centered"/>
    <w:basedOn w:val="TableTextBase"/>
    <w:rsid w:val="00296582"/>
    <w:pPr>
      <w:jc w:val="center"/>
    </w:pPr>
  </w:style>
  <w:style w:type="paragraph" w:customStyle="1" w:styleId="TableTextIndented">
    <w:name w:val="Table Text Indented"/>
    <w:basedOn w:val="TableTextBase"/>
    <w:rsid w:val="00296582"/>
    <w:pPr>
      <w:ind w:left="284"/>
    </w:pPr>
  </w:style>
  <w:style w:type="paragraph" w:customStyle="1" w:styleId="TableTextLeft">
    <w:name w:val="Table Text Left"/>
    <w:basedOn w:val="TableTextBase"/>
    <w:rsid w:val="00296582"/>
  </w:style>
  <w:style w:type="paragraph" w:customStyle="1" w:styleId="TableTextRight">
    <w:name w:val="Table Text Right"/>
    <w:basedOn w:val="TableTextBase"/>
    <w:rsid w:val="00296582"/>
    <w:pPr>
      <w:jc w:val="right"/>
    </w:pPr>
  </w:style>
  <w:style w:type="paragraph" w:styleId="TOC1">
    <w:name w:val="toc 1"/>
    <w:basedOn w:val="HeadingBase"/>
    <w:next w:val="Normal"/>
    <w:uiPriority w:val="39"/>
    <w:rsid w:val="00296582"/>
    <w:pPr>
      <w:tabs>
        <w:tab w:val="right" w:leader="dot" w:pos="7700"/>
      </w:tabs>
      <w:spacing w:before="180"/>
      <w:ind w:right="851"/>
    </w:pPr>
    <w:rPr>
      <w:b/>
      <w:smallCaps/>
      <w:noProof/>
      <w:sz w:val="22"/>
      <w:szCs w:val="22"/>
    </w:rPr>
  </w:style>
  <w:style w:type="paragraph" w:styleId="TOC2">
    <w:name w:val="toc 2"/>
    <w:basedOn w:val="Normal"/>
    <w:next w:val="Normal"/>
    <w:rsid w:val="0010222E"/>
    <w:pPr>
      <w:tabs>
        <w:tab w:val="right" w:leader="dot" w:pos="7700"/>
      </w:tabs>
      <w:spacing w:after="0"/>
      <w:ind w:right="851"/>
      <w:jc w:val="left"/>
    </w:pPr>
    <w:rPr>
      <w:b/>
      <w:noProof/>
    </w:rPr>
  </w:style>
  <w:style w:type="paragraph" w:styleId="TOC3">
    <w:name w:val="toc 3"/>
    <w:basedOn w:val="Normal"/>
    <w:next w:val="Normal"/>
    <w:rsid w:val="00296582"/>
    <w:pPr>
      <w:tabs>
        <w:tab w:val="right" w:leader="dot" w:pos="7700"/>
      </w:tabs>
      <w:spacing w:after="0" w:line="240" w:lineRule="auto"/>
      <w:ind w:left="284" w:right="851"/>
      <w:jc w:val="left"/>
    </w:pPr>
    <w:rPr>
      <w:noProof/>
    </w:rPr>
  </w:style>
  <w:style w:type="paragraph" w:styleId="TOC4">
    <w:name w:val="toc 4"/>
    <w:basedOn w:val="Normal"/>
    <w:next w:val="Normal"/>
    <w:rsid w:val="00296582"/>
    <w:pPr>
      <w:tabs>
        <w:tab w:val="right" w:leader="dot" w:pos="7700"/>
      </w:tabs>
      <w:spacing w:after="0" w:line="240" w:lineRule="auto"/>
      <w:ind w:left="284" w:right="851" w:hanging="284"/>
      <w:jc w:val="left"/>
    </w:pPr>
    <w:rPr>
      <w:noProof/>
    </w:rPr>
  </w:style>
  <w:style w:type="character" w:customStyle="1" w:styleId="Italic">
    <w:name w:val="Italic"/>
    <w:basedOn w:val="DefaultParagraphFont"/>
    <w:rsid w:val="00296582"/>
    <w:rPr>
      <w:i/>
    </w:rPr>
  </w:style>
  <w:style w:type="paragraph" w:customStyle="1" w:styleId="OneLevelNumberedParagraph">
    <w:name w:val="One Level Numbered Paragraph"/>
    <w:basedOn w:val="Normal"/>
    <w:rsid w:val="00296582"/>
    <w:pPr>
      <w:numPr>
        <w:numId w:val="10"/>
      </w:numPr>
    </w:pPr>
  </w:style>
  <w:style w:type="paragraph" w:customStyle="1" w:styleId="BoxText">
    <w:name w:val="Box Text"/>
    <w:basedOn w:val="BoxTextBase"/>
    <w:rsid w:val="00296582"/>
  </w:style>
  <w:style w:type="paragraph" w:customStyle="1" w:styleId="BoxBullet">
    <w:name w:val="Box Bullet"/>
    <w:basedOn w:val="BoxTextBase"/>
    <w:rsid w:val="00296582"/>
    <w:pPr>
      <w:numPr>
        <w:numId w:val="9"/>
      </w:numPr>
    </w:pPr>
  </w:style>
  <w:style w:type="paragraph" w:customStyle="1" w:styleId="BoxDash">
    <w:name w:val="Box Dash"/>
    <w:basedOn w:val="Normal"/>
    <w:rsid w:val="00296582"/>
    <w:pPr>
      <w:numPr>
        <w:ilvl w:val="1"/>
        <w:numId w:val="9"/>
      </w:numPr>
    </w:pPr>
  </w:style>
  <w:style w:type="paragraph" w:customStyle="1" w:styleId="BoxDoubleDot">
    <w:name w:val="Box Double Dot"/>
    <w:basedOn w:val="BoxTextBase"/>
    <w:rsid w:val="00296582"/>
    <w:pPr>
      <w:numPr>
        <w:ilvl w:val="2"/>
        <w:numId w:val="9"/>
      </w:numPr>
    </w:pPr>
  </w:style>
  <w:style w:type="paragraph" w:customStyle="1" w:styleId="RecommendationBullet">
    <w:name w:val="Recommendation Bullet"/>
    <w:basedOn w:val="RecommendationBaseText"/>
    <w:rsid w:val="00296582"/>
    <w:pPr>
      <w:numPr>
        <w:numId w:val="11"/>
      </w:numPr>
    </w:pPr>
  </w:style>
  <w:style w:type="paragraph" w:customStyle="1" w:styleId="RecommendationDash">
    <w:name w:val="Recommendation Dash"/>
    <w:basedOn w:val="RecommendationBaseText"/>
    <w:rsid w:val="00296582"/>
    <w:pPr>
      <w:numPr>
        <w:ilvl w:val="1"/>
        <w:numId w:val="11"/>
      </w:numPr>
    </w:pPr>
  </w:style>
  <w:style w:type="paragraph" w:customStyle="1" w:styleId="RecommendationDoubleDot">
    <w:name w:val="Recommendation Double Dot"/>
    <w:basedOn w:val="RecommendationBaseText"/>
    <w:rsid w:val="00296582"/>
    <w:pPr>
      <w:numPr>
        <w:ilvl w:val="2"/>
        <w:numId w:val="11"/>
      </w:numPr>
    </w:pPr>
  </w:style>
  <w:style w:type="character" w:customStyle="1" w:styleId="Boldanditalic">
    <w:name w:val="Bold and italic"/>
    <w:basedOn w:val="DefaultParagraphFont"/>
    <w:rsid w:val="00296582"/>
    <w:rPr>
      <w:b/>
      <w:i/>
    </w:rPr>
  </w:style>
  <w:style w:type="paragraph" w:styleId="Caption">
    <w:name w:val="caption"/>
    <w:basedOn w:val="Normal"/>
    <w:next w:val="Normal"/>
    <w:qFormat/>
    <w:rsid w:val="00296582"/>
    <w:pPr>
      <w:spacing w:before="120" w:after="120"/>
    </w:pPr>
    <w:rPr>
      <w:b/>
      <w:bCs/>
    </w:rPr>
  </w:style>
  <w:style w:type="character" w:styleId="CommentReference">
    <w:name w:val="annotation reference"/>
    <w:basedOn w:val="DefaultParagraphFont"/>
    <w:rsid w:val="00296582"/>
    <w:rPr>
      <w:sz w:val="16"/>
      <w:szCs w:val="16"/>
    </w:rPr>
  </w:style>
  <w:style w:type="paragraph" w:styleId="CommentText">
    <w:name w:val="annotation text"/>
    <w:basedOn w:val="Normal"/>
    <w:rsid w:val="00296582"/>
  </w:style>
  <w:style w:type="paragraph" w:styleId="CommentSubject">
    <w:name w:val="annotation subject"/>
    <w:basedOn w:val="CommentText"/>
    <w:next w:val="CommentText"/>
    <w:rsid w:val="00296582"/>
    <w:rPr>
      <w:b/>
      <w:bCs/>
    </w:rPr>
  </w:style>
  <w:style w:type="paragraph" w:styleId="DocumentMap">
    <w:name w:val="Document Map"/>
    <w:basedOn w:val="Normal"/>
    <w:rsid w:val="00296582"/>
    <w:pPr>
      <w:shd w:val="clear" w:color="auto" w:fill="000080"/>
    </w:pPr>
    <w:rPr>
      <w:rFonts w:ascii="Tahoma" w:hAnsi="Tahoma" w:cs="Tahoma"/>
    </w:rPr>
  </w:style>
  <w:style w:type="character" w:styleId="EndnoteReference">
    <w:name w:val="endnote reference"/>
    <w:basedOn w:val="DefaultParagraphFont"/>
    <w:rsid w:val="00296582"/>
    <w:rPr>
      <w:vertAlign w:val="superscript"/>
    </w:rPr>
  </w:style>
  <w:style w:type="paragraph" w:styleId="EndnoteText">
    <w:name w:val="endnote text"/>
    <w:basedOn w:val="Normal"/>
    <w:rsid w:val="00296582"/>
  </w:style>
  <w:style w:type="paragraph" w:styleId="Index1">
    <w:name w:val="index 1"/>
    <w:basedOn w:val="Normal"/>
    <w:next w:val="Normal"/>
    <w:autoRedefine/>
    <w:rsid w:val="00296582"/>
    <w:pPr>
      <w:ind w:left="200" w:hanging="200"/>
    </w:pPr>
  </w:style>
  <w:style w:type="paragraph" w:styleId="Index2">
    <w:name w:val="index 2"/>
    <w:basedOn w:val="Normal"/>
    <w:next w:val="Normal"/>
    <w:autoRedefine/>
    <w:rsid w:val="00296582"/>
    <w:pPr>
      <w:ind w:left="400" w:hanging="200"/>
    </w:pPr>
  </w:style>
  <w:style w:type="paragraph" w:styleId="Index3">
    <w:name w:val="index 3"/>
    <w:basedOn w:val="Normal"/>
    <w:next w:val="Normal"/>
    <w:autoRedefine/>
    <w:rsid w:val="00296582"/>
    <w:pPr>
      <w:ind w:left="600" w:hanging="200"/>
    </w:pPr>
  </w:style>
  <w:style w:type="paragraph" w:styleId="Index4">
    <w:name w:val="index 4"/>
    <w:basedOn w:val="Normal"/>
    <w:next w:val="Normal"/>
    <w:autoRedefine/>
    <w:rsid w:val="00296582"/>
    <w:pPr>
      <w:ind w:left="800" w:hanging="200"/>
    </w:pPr>
  </w:style>
  <w:style w:type="paragraph" w:styleId="Index5">
    <w:name w:val="index 5"/>
    <w:basedOn w:val="Normal"/>
    <w:next w:val="Normal"/>
    <w:autoRedefine/>
    <w:rsid w:val="00296582"/>
    <w:pPr>
      <w:ind w:left="1000" w:hanging="200"/>
    </w:pPr>
  </w:style>
  <w:style w:type="paragraph" w:styleId="Index6">
    <w:name w:val="index 6"/>
    <w:basedOn w:val="Normal"/>
    <w:next w:val="Normal"/>
    <w:autoRedefine/>
    <w:rsid w:val="00296582"/>
    <w:pPr>
      <w:ind w:left="1200" w:hanging="200"/>
    </w:pPr>
  </w:style>
  <w:style w:type="paragraph" w:styleId="Index7">
    <w:name w:val="index 7"/>
    <w:basedOn w:val="Normal"/>
    <w:next w:val="Normal"/>
    <w:autoRedefine/>
    <w:rsid w:val="00296582"/>
    <w:pPr>
      <w:ind w:left="1400" w:hanging="200"/>
    </w:pPr>
  </w:style>
  <w:style w:type="paragraph" w:styleId="Index8">
    <w:name w:val="index 8"/>
    <w:basedOn w:val="Normal"/>
    <w:next w:val="Normal"/>
    <w:autoRedefine/>
    <w:rsid w:val="00296582"/>
    <w:pPr>
      <w:ind w:left="1600" w:hanging="200"/>
    </w:pPr>
  </w:style>
  <w:style w:type="paragraph" w:styleId="Index9">
    <w:name w:val="index 9"/>
    <w:basedOn w:val="Normal"/>
    <w:next w:val="Normal"/>
    <w:autoRedefine/>
    <w:rsid w:val="00296582"/>
    <w:pPr>
      <w:ind w:left="1800" w:hanging="200"/>
    </w:pPr>
  </w:style>
  <w:style w:type="paragraph" w:styleId="IndexHeading">
    <w:name w:val="index heading"/>
    <w:basedOn w:val="Normal"/>
    <w:next w:val="Index1"/>
    <w:rsid w:val="00EC13B4"/>
    <w:rPr>
      <w:rFonts w:ascii="Arial" w:hAnsi="Arial" w:cs="Arial"/>
      <w:b/>
      <w:bCs/>
      <w:color w:val="72B4E7"/>
    </w:rPr>
  </w:style>
  <w:style w:type="paragraph" w:styleId="MacroText">
    <w:name w:val="macro"/>
    <w:rsid w:val="00296582"/>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296582"/>
    <w:pPr>
      <w:ind w:left="200" w:hanging="200"/>
    </w:pPr>
  </w:style>
  <w:style w:type="paragraph" w:styleId="TableofFigures">
    <w:name w:val="table of figures"/>
    <w:basedOn w:val="Normal"/>
    <w:next w:val="Normal"/>
    <w:rsid w:val="00296582"/>
    <w:pPr>
      <w:ind w:left="400" w:hanging="400"/>
    </w:pPr>
  </w:style>
  <w:style w:type="paragraph" w:styleId="TOAHeading">
    <w:name w:val="toa heading"/>
    <w:basedOn w:val="Normal"/>
    <w:next w:val="Normal"/>
    <w:rsid w:val="00296582"/>
    <w:pPr>
      <w:spacing w:before="120"/>
    </w:pPr>
    <w:rPr>
      <w:rFonts w:ascii="Arial" w:hAnsi="Arial" w:cs="Arial"/>
      <w:b/>
      <w:bCs/>
      <w:sz w:val="24"/>
      <w:szCs w:val="24"/>
    </w:rPr>
  </w:style>
  <w:style w:type="paragraph" w:styleId="TOC5">
    <w:name w:val="toc 5"/>
    <w:basedOn w:val="TOC2"/>
    <w:next w:val="Normal"/>
    <w:autoRedefine/>
    <w:rsid w:val="00296582"/>
    <w:pPr>
      <w:ind w:left="1260" w:hanging="1260"/>
    </w:pPr>
  </w:style>
  <w:style w:type="paragraph" w:styleId="TOC6">
    <w:name w:val="toc 6"/>
    <w:basedOn w:val="TOC5"/>
    <w:next w:val="Normal"/>
    <w:uiPriority w:val="39"/>
    <w:rsid w:val="0010222E"/>
    <w:pPr>
      <w:tabs>
        <w:tab w:val="left" w:pos="1080"/>
        <w:tab w:val="left" w:pos="1134"/>
      </w:tabs>
      <w:ind w:left="1080" w:hanging="1080"/>
    </w:pPr>
    <w:rPr>
      <w:b w:val="0"/>
    </w:rPr>
  </w:style>
  <w:style w:type="paragraph" w:styleId="TOC7">
    <w:name w:val="toc 7"/>
    <w:basedOn w:val="Normal"/>
    <w:next w:val="Normal"/>
    <w:autoRedefine/>
    <w:rsid w:val="00296582"/>
    <w:pPr>
      <w:ind w:left="1200"/>
    </w:pPr>
  </w:style>
  <w:style w:type="paragraph" w:styleId="TOC8">
    <w:name w:val="toc 8"/>
    <w:basedOn w:val="Normal"/>
    <w:next w:val="Normal"/>
    <w:autoRedefine/>
    <w:rsid w:val="00296582"/>
    <w:pPr>
      <w:ind w:left="1400"/>
    </w:pPr>
  </w:style>
  <w:style w:type="paragraph" w:styleId="TOC9">
    <w:name w:val="toc 9"/>
    <w:basedOn w:val="Normal"/>
    <w:next w:val="Normal"/>
    <w:autoRedefine/>
    <w:rsid w:val="00296582"/>
    <w:pPr>
      <w:ind w:left="1600"/>
    </w:pPr>
  </w:style>
  <w:style w:type="paragraph" w:customStyle="1" w:styleId="AppendixAHeading3">
    <w:name w:val="AppendixAHeading3"/>
    <w:basedOn w:val="Heading3"/>
    <w:next w:val="AppendixAHeading4"/>
    <w:rsid w:val="00296582"/>
    <w:pPr>
      <w:numPr>
        <w:numId w:val="34"/>
      </w:numPr>
    </w:pPr>
    <w:rPr>
      <w:rFonts w:ascii="Arial Bold" w:hAnsi="Arial Bold"/>
      <w:i/>
    </w:rPr>
  </w:style>
  <w:style w:type="paragraph" w:customStyle="1" w:styleId="AppendixAHeading4">
    <w:name w:val="AppendixAHeading4"/>
    <w:basedOn w:val="Heading4"/>
    <w:next w:val="Bullet"/>
    <w:rsid w:val="00296582"/>
    <w:pPr>
      <w:numPr>
        <w:ilvl w:val="1"/>
        <w:numId w:val="35"/>
      </w:numPr>
    </w:pPr>
  </w:style>
  <w:style w:type="paragraph" w:customStyle="1" w:styleId="AppendixGHeading3">
    <w:name w:val="AppendixGHeading3"/>
    <w:basedOn w:val="Heading3"/>
    <w:rsid w:val="00296582"/>
    <w:pPr>
      <w:numPr>
        <w:numId w:val="30"/>
      </w:numPr>
    </w:pPr>
  </w:style>
  <w:style w:type="character" w:customStyle="1" w:styleId="Italics">
    <w:name w:val="Italics"/>
    <w:basedOn w:val="DefaultParagraphFont"/>
    <w:rsid w:val="00131735"/>
    <w:rPr>
      <w:i/>
    </w:rPr>
  </w:style>
  <w:style w:type="paragraph" w:customStyle="1" w:styleId="SinglePara">
    <w:name w:val="Single Para"/>
    <w:basedOn w:val="Normal"/>
    <w:rsid w:val="00131735"/>
    <w:pPr>
      <w:spacing w:after="0" w:line="240" w:lineRule="auto"/>
      <w:jc w:val="left"/>
    </w:pPr>
    <w:rPr>
      <w:rFonts w:ascii="Times New Roman" w:hAnsi="Times New Roman"/>
      <w:color w:val="auto"/>
      <w:sz w:val="24"/>
    </w:rPr>
  </w:style>
  <w:style w:type="paragraph" w:styleId="BodyText">
    <w:name w:val="Body Text"/>
    <w:basedOn w:val="Normal"/>
    <w:link w:val="BodyTextChar"/>
    <w:rsid w:val="00131735"/>
    <w:pPr>
      <w:tabs>
        <w:tab w:val="left" w:pos="5812"/>
      </w:tabs>
      <w:spacing w:line="300" w:lineRule="exact"/>
      <w:jc w:val="left"/>
    </w:pPr>
    <w:rPr>
      <w:rFonts w:ascii="Palatino" w:hAnsi="Palatino"/>
      <w:color w:val="auto"/>
      <w:sz w:val="22"/>
    </w:rPr>
  </w:style>
  <w:style w:type="paragraph" w:customStyle="1" w:styleId="NumberedParagraph">
    <w:name w:val="Numbered Paragraph"/>
    <w:basedOn w:val="Normal"/>
    <w:rsid w:val="00296582"/>
    <w:pPr>
      <w:numPr>
        <w:numId w:val="24"/>
      </w:numPr>
    </w:pPr>
  </w:style>
  <w:style w:type="character" w:customStyle="1" w:styleId="SingleParagraphChar">
    <w:name w:val="Single Paragraph Char"/>
    <w:basedOn w:val="DefaultParagraphFont"/>
    <w:link w:val="SingleParagraph"/>
    <w:rsid w:val="00A35153"/>
    <w:rPr>
      <w:rFonts w:ascii="Book Antiqua" w:hAnsi="Book Antiqua"/>
      <w:color w:val="000000"/>
    </w:rPr>
  </w:style>
  <w:style w:type="paragraph" w:customStyle="1" w:styleId="CharCharCharCharCharChar">
    <w:name w:val="Char Char Char Char Char Char"/>
    <w:basedOn w:val="Normal"/>
    <w:rsid w:val="001E4823"/>
    <w:pPr>
      <w:spacing w:after="160" w:line="240" w:lineRule="exact"/>
      <w:jc w:val="left"/>
    </w:pPr>
    <w:rPr>
      <w:rFonts w:ascii="Verdana" w:hAnsi="Verdana"/>
      <w:color w:val="auto"/>
      <w:szCs w:val="24"/>
      <w:lang w:val="en-US" w:eastAsia="en-US"/>
    </w:rPr>
  </w:style>
  <w:style w:type="paragraph" w:customStyle="1" w:styleId="Heading3noTOC">
    <w:name w:val="Heading 3 no TOC"/>
    <w:basedOn w:val="Heading3"/>
    <w:rsid w:val="00296582"/>
    <w:pPr>
      <w:outlineLvl w:val="9"/>
    </w:pPr>
  </w:style>
  <w:style w:type="character" w:styleId="FollowedHyperlink">
    <w:name w:val="FollowedHyperlink"/>
    <w:basedOn w:val="DefaultParagraphFont"/>
    <w:rsid w:val="00296582"/>
    <w:rPr>
      <w:color w:val="000000"/>
      <w:u w:val="none"/>
    </w:rPr>
  </w:style>
  <w:style w:type="paragraph" w:customStyle="1" w:styleId="Style1">
    <w:name w:val="Style1"/>
    <w:basedOn w:val="AppendixAHeading3"/>
    <w:next w:val="AppendixAHeading4"/>
    <w:rsid w:val="00296582"/>
    <w:pPr>
      <w:numPr>
        <w:numId w:val="0"/>
      </w:numPr>
    </w:pPr>
  </w:style>
  <w:style w:type="paragraph" w:customStyle="1" w:styleId="AppendixAHeading3NotItalic">
    <w:name w:val="AppendixAHeading3NotItalic"/>
    <w:basedOn w:val="HeadingBase"/>
    <w:next w:val="AppendixAHeading4"/>
    <w:rsid w:val="00296582"/>
    <w:pPr>
      <w:numPr>
        <w:numId w:val="35"/>
      </w:numPr>
      <w:spacing w:before="57" w:after="57" w:line="280" w:lineRule="exact"/>
    </w:pPr>
    <w:rPr>
      <w:rFonts w:ascii="Arial Bold" w:hAnsi="Arial Bold"/>
      <w:b/>
      <w:sz w:val="24"/>
    </w:rPr>
  </w:style>
  <w:style w:type="paragraph" w:customStyle="1" w:styleId="Heading1noTOC">
    <w:name w:val="Heading 1 no TOC"/>
    <w:basedOn w:val="Heading1"/>
    <w:next w:val="Normal"/>
    <w:rsid w:val="00296582"/>
  </w:style>
  <w:style w:type="paragraph" w:styleId="Title">
    <w:name w:val="Title"/>
    <w:basedOn w:val="Normal"/>
    <w:qFormat/>
    <w:rsid w:val="00C054D3"/>
    <w:pPr>
      <w:spacing w:before="240" w:after="60"/>
      <w:jc w:val="center"/>
      <w:outlineLvl w:val="0"/>
    </w:pPr>
    <w:rPr>
      <w:rFonts w:ascii="Arial" w:hAnsi="Arial" w:cs="Arial"/>
      <w:b/>
      <w:bCs/>
      <w:kern w:val="28"/>
      <w:sz w:val="32"/>
      <w:szCs w:val="32"/>
    </w:rPr>
  </w:style>
  <w:style w:type="paragraph" w:customStyle="1" w:styleId="Heading2noTOC">
    <w:name w:val="Heading 2 no TOC"/>
    <w:basedOn w:val="Heading2"/>
    <w:next w:val="Normal"/>
    <w:rsid w:val="00296582"/>
    <w:pPr>
      <w:outlineLvl w:val="9"/>
    </w:pPr>
    <w:rPr>
      <w:rFonts w:ascii="Arial" w:hAnsi="Arial"/>
    </w:rPr>
  </w:style>
  <w:style w:type="paragraph" w:customStyle="1" w:styleId="Heading9noTOC">
    <w:name w:val="Heading 9 no TOC"/>
    <w:basedOn w:val="Heading9"/>
    <w:rsid w:val="00296582"/>
    <w:pPr>
      <w:outlineLvl w:val="9"/>
    </w:pPr>
  </w:style>
  <w:style w:type="paragraph" w:styleId="EnvelopeAddress">
    <w:name w:val="envelope address"/>
    <w:basedOn w:val="Normal"/>
    <w:rsid w:val="00F73BC2"/>
    <w:pPr>
      <w:framePr w:w="7920" w:h="1980" w:hRule="exact" w:hSpace="180" w:wrap="auto" w:hAnchor="page" w:xAlign="center" w:yAlign="bottom"/>
      <w:ind w:left="2880"/>
      <w:jc w:val="left"/>
    </w:pPr>
    <w:rPr>
      <w:rFonts w:ascii="Arial" w:hAnsi="Arial" w:cs="Arial"/>
      <w:sz w:val="24"/>
      <w:szCs w:val="24"/>
    </w:rPr>
  </w:style>
  <w:style w:type="paragraph" w:styleId="EnvelopeReturn">
    <w:name w:val="envelope return"/>
    <w:basedOn w:val="Normal"/>
    <w:rsid w:val="00F73BC2"/>
    <w:pPr>
      <w:spacing w:after="0" w:line="240" w:lineRule="auto"/>
      <w:jc w:val="left"/>
    </w:pPr>
    <w:rPr>
      <w:rFonts w:ascii="Arial" w:hAnsi="Arial" w:cs="Arial"/>
    </w:rPr>
  </w:style>
  <w:style w:type="character" w:customStyle="1" w:styleId="BodyTextChar">
    <w:name w:val="Body Text Char"/>
    <w:basedOn w:val="DefaultParagraphFont"/>
    <w:link w:val="BodyText"/>
    <w:rsid w:val="001300F9"/>
    <w:rPr>
      <w:rFonts w:ascii="Palatino" w:hAnsi="Palatino"/>
      <w:sz w:val="22"/>
    </w:rPr>
  </w:style>
  <w:style w:type="character" w:styleId="IntenseEmphasis">
    <w:name w:val="Intense Emphasis"/>
    <w:basedOn w:val="DefaultParagraphFont"/>
    <w:uiPriority w:val="21"/>
    <w:qFormat/>
    <w:rsid w:val="00296582"/>
    <w:rPr>
      <w:b/>
      <w:bCs/>
      <w:i/>
      <w:iCs/>
      <w:color w:val="005ABB"/>
    </w:rPr>
  </w:style>
  <w:style w:type="paragraph" w:styleId="IntenseQuote">
    <w:name w:val="Intense Quote"/>
    <w:basedOn w:val="Normal"/>
    <w:next w:val="Normal"/>
    <w:link w:val="IntenseQuoteChar"/>
    <w:uiPriority w:val="30"/>
    <w:qFormat/>
    <w:rsid w:val="00296582"/>
    <w:pPr>
      <w:pBdr>
        <w:bottom w:val="single" w:sz="4" w:space="4" w:color="4F81BD" w:themeColor="accent1"/>
      </w:pBdr>
      <w:spacing w:before="200" w:after="280"/>
      <w:ind w:left="936" w:right="936"/>
    </w:pPr>
    <w:rPr>
      <w:b/>
      <w:bCs/>
      <w:i/>
      <w:iCs/>
      <w:color w:val="005ABB"/>
    </w:rPr>
  </w:style>
  <w:style w:type="character" w:customStyle="1" w:styleId="IntenseQuoteChar">
    <w:name w:val="Intense Quote Char"/>
    <w:basedOn w:val="DefaultParagraphFont"/>
    <w:link w:val="IntenseQuote"/>
    <w:uiPriority w:val="30"/>
    <w:rsid w:val="00296582"/>
    <w:rPr>
      <w:rFonts w:ascii="Book Antiqua" w:hAnsi="Book Antiqua"/>
      <w:b/>
      <w:bCs/>
      <w:i/>
      <w:iCs/>
      <w:color w:val="005ABB"/>
    </w:rPr>
  </w:style>
  <w:style w:type="paragraph" w:styleId="TOCHeading">
    <w:name w:val="TOC Heading"/>
    <w:basedOn w:val="Heading1"/>
    <w:next w:val="Normal"/>
    <w:uiPriority w:val="39"/>
    <w:semiHidden/>
    <w:unhideWhenUsed/>
    <w:qFormat/>
    <w:rsid w:val="00296582"/>
    <w:pPr>
      <w:keepLines/>
      <w:spacing w:before="480" w:after="0" w:line="260" w:lineRule="exact"/>
      <w:jc w:val="both"/>
      <w:outlineLvl w:val="9"/>
    </w:pPr>
    <w:rPr>
      <w:rFonts w:asciiTheme="majorHAnsi" w:eastAsiaTheme="majorEastAsia" w:hAnsiTheme="majorHAnsi" w:cstheme="majorBidi"/>
      <w:kern w:val="0"/>
      <w:sz w:val="28"/>
      <w:szCs w:val="28"/>
    </w:rPr>
  </w:style>
  <w:style w:type="paragraph" w:styleId="Subtitle">
    <w:name w:val="Subtitle"/>
    <w:basedOn w:val="Normal"/>
    <w:next w:val="Normal"/>
    <w:link w:val="SubtitleChar"/>
    <w:qFormat/>
    <w:rsid w:val="00296582"/>
    <w:pPr>
      <w:numPr>
        <w:ilvl w:val="1"/>
      </w:numPr>
    </w:pPr>
    <w:rPr>
      <w:rFonts w:asciiTheme="majorHAnsi" w:eastAsiaTheme="majorEastAsia" w:hAnsiTheme="majorHAnsi" w:cstheme="majorBidi"/>
      <w:i/>
      <w:iCs/>
      <w:color w:val="005ABB"/>
      <w:spacing w:val="15"/>
      <w:sz w:val="24"/>
      <w:szCs w:val="24"/>
    </w:rPr>
  </w:style>
  <w:style w:type="character" w:customStyle="1" w:styleId="SubtitleChar">
    <w:name w:val="Subtitle Char"/>
    <w:basedOn w:val="DefaultParagraphFont"/>
    <w:link w:val="Subtitle"/>
    <w:rsid w:val="00296582"/>
    <w:rPr>
      <w:rFonts w:asciiTheme="majorHAnsi" w:eastAsiaTheme="majorEastAsia" w:hAnsiTheme="majorHAnsi" w:cstheme="majorBidi"/>
      <w:i/>
      <w:iCs/>
      <w:color w:val="005ABB"/>
      <w:spacing w:val="15"/>
      <w:sz w:val="24"/>
      <w:szCs w:val="24"/>
    </w:rPr>
  </w:style>
  <w:style w:type="paragraph" w:customStyle="1" w:styleId="ChairmanLetter">
    <w:name w:val="Chairman Letter"/>
    <w:basedOn w:val="Normal"/>
    <w:qFormat/>
    <w:rsid w:val="00DA0BF2"/>
    <w:pPr>
      <w:jc w:val="left"/>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6"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582"/>
    <w:pPr>
      <w:spacing w:after="240" w:line="260" w:lineRule="exact"/>
      <w:jc w:val="both"/>
    </w:pPr>
    <w:rPr>
      <w:rFonts w:ascii="Book Antiqua" w:hAnsi="Book Antiqua"/>
      <w:color w:val="000000"/>
    </w:rPr>
  </w:style>
  <w:style w:type="paragraph" w:styleId="Heading1">
    <w:name w:val="heading 1"/>
    <w:basedOn w:val="HeadingBase"/>
    <w:next w:val="Normal"/>
    <w:qFormat/>
    <w:rsid w:val="00296582"/>
    <w:pPr>
      <w:keepNext/>
      <w:spacing w:before="284" w:after="113"/>
      <w:outlineLvl w:val="0"/>
    </w:pPr>
    <w:rPr>
      <w:rFonts w:cs="Arial"/>
      <w:b/>
      <w:bCs/>
      <w:kern w:val="32"/>
      <w:sz w:val="48"/>
      <w:szCs w:val="48"/>
    </w:rPr>
  </w:style>
  <w:style w:type="paragraph" w:styleId="Heading2">
    <w:name w:val="heading 2"/>
    <w:basedOn w:val="HeadingBase"/>
    <w:next w:val="Normal"/>
    <w:qFormat/>
    <w:rsid w:val="00296582"/>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qFormat/>
    <w:rsid w:val="00296582"/>
    <w:pPr>
      <w:keepNext/>
      <w:spacing w:before="57" w:after="57" w:line="280" w:lineRule="exact"/>
      <w:outlineLvl w:val="2"/>
    </w:pPr>
    <w:rPr>
      <w:rFonts w:cs="Arial"/>
      <w:b/>
      <w:bCs/>
      <w:sz w:val="24"/>
      <w:szCs w:val="26"/>
    </w:rPr>
  </w:style>
  <w:style w:type="paragraph" w:styleId="Heading4">
    <w:name w:val="heading 4"/>
    <w:basedOn w:val="HeadingBase"/>
    <w:next w:val="Normal"/>
    <w:qFormat/>
    <w:rsid w:val="00296582"/>
    <w:pPr>
      <w:keepNext/>
      <w:spacing w:before="57" w:after="57" w:line="280" w:lineRule="exact"/>
      <w:outlineLvl w:val="3"/>
    </w:pPr>
    <w:rPr>
      <w:b/>
      <w:bCs/>
      <w:szCs w:val="22"/>
    </w:rPr>
  </w:style>
  <w:style w:type="paragraph" w:styleId="Heading5">
    <w:name w:val="heading 5"/>
    <w:basedOn w:val="HeadingBase"/>
    <w:next w:val="Normal"/>
    <w:qFormat/>
    <w:rsid w:val="00296582"/>
    <w:pPr>
      <w:keepNext/>
      <w:spacing w:before="57" w:after="57" w:line="280" w:lineRule="exact"/>
      <w:outlineLvl w:val="4"/>
    </w:pPr>
    <w:rPr>
      <w:bCs/>
      <w:iCs/>
    </w:rPr>
  </w:style>
  <w:style w:type="paragraph" w:styleId="Heading6">
    <w:name w:val="heading 6"/>
    <w:basedOn w:val="HeadingBase"/>
    <w:next w:val="Normal"/>
    <w:qFormat/>
    <w:rsid w:val="00296582"/>
    <w:pPr>
      <w:keepNext/>
      <w:spacing w:after="120"/>
      <w:outlineLvl w:val="5"/>
    </w:pPr>
    <w:rPr>
      <w:bCs/>
      <w:szCs w:val="22"/>
    </w:rPr>
  </w:style>
  <w:style w:type="paragraph" w:styleId="Heading7">
    <w:name w:val="heading 7"/>
    <w:basedOn w:val="Heading2"/>
    <w:next w:val="Normal"/>
    <w:qFormat/>
    <w:rsid w:val="00296582"/>
    <w:pPr>
      <w:jc w:val="right"/>
      <w:outlineLvl w:val="6"/>
    </w:pPr>
  </w:style>
  <w:style w:type="paragraph" w:styleId="Heading8">
    <w:name w:val="heading 8"/>
    <w:basedOn w:val="HeadingBase"/>
    <w:next w:val="Normal"/>
    <w:qFormat/>
    <w:rsid w:val="00296582"/>
    <w:pPr>
      <w:keepNext/>
      <w:spacing w:before="284" w:after="360"/>
      <w:jc w:val="right"/>
      <w:outlineLvl w:val="7"/>
    </w:pPr>
    <w:rPr>
      <w:iCs/>
      <w:sz w:val="48"/>
      <w:szCs w:val="24"/>
    </w:rPr>
  </w:style>
  <w:style w:type="paragraph" w:styleId="Heading9">
    <w:name w:val="heading 9"/>
    <w:basedOn w:val="HeadingBase"/>
    <w:next w:val="Normal"/>
    <w:qFormat/>
    <w:rsid w:val="00296582"/>
    <w:pPr>
      <w:keepNext/>
      <w:spacing w:before="170" w:after="113" w:line="320" w:lineRule="exact"/>
      <w:jc w:val="right"/>
      <w:outlineLvl w:val="8"/>
    </w:pPr>
    <w:rPr>
      <w:rFonts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296582"/>
    <w:pPr>
      <w:spacing w:after="0"/>
    </w:pPr>
  </w:style>
  <w:style w:type="character" w:styleId="Hyperlink">
    <w:name w:val="Hyperlink"/>
    <w:basedOn w:val="DefaultParagraphFont"/>
    <w:rsid w:val="00296582"/>
    <w:rPr>
      <w:color w:val="000000"/>
      <w:u w:val="none"/>
    </w:rPr>
  </w:style>
  <w:style w:type="character" w:styleId="FootnoteReference">
    <w:name w:val="footnote reference"/>
    <w:basedOn w:val="DefaultParagraphFont"/>
    <w:rsid w:val="00296582"/>
    <w:rPr>
      <w:vertAlign w:val="superscript"/>
    </w:rPr>
  </w:style>
  <w:style w:type="paragraph" w:styleId="BalloonText">
    <w:name w:val="Balloon Text"/>
    <w:basedOn w:val="Normal"/>
    <w:rsid w:val="00296582"/>
    <w:rPr>
      <w:rFonts w:ascii="Tahoma" w:hAnsi="Tahoma" w:cs="Tahoma"/>
      <w:sz w:val="16"/>
      <w:szCs w:val="16"/>
    </w:rPr>
  </w:style>
  <w:style w:type="character" w:styleId="PageNumber">
    <w:name w:val="page number"/>
    <w:basedOn w:val="DefaultParagraphFont"/>
    <w:rsid w:val="00EC13B4"/>
    <w:rPr>
      <w:rFonts w:ascii="Times" w:hAnsi="Times"/>
      <w:color w:val="72B4E7"/>
      <w:sz w:val="18"/>
      <w:szCs w:val="18"/>
    </w:rPr>
  </w:style>
  <w:style w:type="paragraph" w:styleId="FootnoteText">
    <w:name w:val="footnote text"/>
    <w:basedOn w:val="Normal"/>
    <w:rsid w:val="00296582"/>
    <w:pPr>
      <w:tabs>
        <w:tab w:val="left" w:pos="284"/>
      </w:tabs>
      <w:spacing w:after="0" w:line="240" w:lineRule="auto"/>
      <w:ind w:left="284" w:hanging="284"/>
    </w:pPr>
    <w:rPr>
      <w:sz w:val="18"/>
    </w:rPr>
  </w:style>
  <w:style w:type="paragraph" w:customStyle="1" w:styleId="Bullet">
    <w:name w:val="Bullet"/>
    <w:aliases w:val="b"/>
    <w:basedOn w:val="Normal"/>
    <w:rsid w:val="00296582"/>
    <w:pPr>
      <w:numPr>
        <w:numId w:val="1"/>
      </w:numPr>
      <w:ind w:left="284" w:hanging="284"/>
    </w:pPr>
  </w:style>
  <w:style w:type="paragraph" w:customStyle="1" w:styleId="Dash">
    <w:name w:val="Dash"/>
    <w:basedOn w:val="Normal"/>
    <w:rsid w:val="00296582"/>
    <w:pPr>
      <w:numPr>
        <w:ilvl w:val="1"/>
        <w:numId w:val="1"/>
      </w:numPr>
      <w:ind w:left="568"/>
    </w:pPr>
  </w:style>
  <w:style w:type="paragraph" w:customStyle="1" w:styleId="DoubleDot">
    <w:name w:val="Double Dot"/>
    <w:basedOn w:val="Normal"/>
    <w:rsid w:val="00296582"/>
    <w:pPr>
      <w:numPr>
        <w:ilvl w:val="2"/>
        <w:numId w:val="1"/>
      </w:numPr>
    </w:pPr>
  </w:style>
  <w:style w:type="paragraph" w:customStyle="1" w:styleId="OutlineNumbered1">
    <w:name w:val="Outline Numbered 1"/>
    <w:basedOn w:val="Normal"/>
    <w:rsid w:val="00296582"/>
    <w:pPr>
      <w:numPr>
        <w:numId w:val="2"/>
      </w:numPr>
    </w:pPr>
  </w:style>
  <w:style w:type="paragraph" w:customStyle="1" w:styleId="OutlineNumbered2">
    <w:name w:val="Outline Numbered 2"/>
    <w:basedOn w:val="Normal"/>
    <w:rsid w:val="00296582"/>
    <w:pPr>
      <w:numPr>
        <w:ilvl w:val="1"/>
        <w:numId w:val="2"/>
      </w:numPr>
    </w:pPr>
  </w:style>
  <w:style w:type="paragraph" w:customStyle="1" w:styleId="OutlineNumbered3">
    <w:name w:val="Outline Numbered 3"/>
    <w:basedOn w:val="Normal"/>
    <w:rsid w:val="00296582"/>
    <w:pPr>
      <w:numPr>
        <w:ilvl w:val="2"/>
        <w:numId w:val="2"/>
      </w:numPr>
    </w:pPr>
  </w:style>
  <w:style w:type="paragraph" w:customStyle="1" w:styleId="AlphaParagraph">
    <w:name w:val="Alpha Paragraph"/>
    <w:basedOn w:val="Normal"/>
    <w:rsid w:val="00296582"/>
    <w:pPr>
      <w:numPr>
        <w:numId w:val="3"/>
      </w:numPr>
    </w:pPr>
  </w:style>
  <w:style w:type="paragraph" w:customStyle="1" w:styleId="HeadingBase">
    <w:name w:val="Heading Base"/>
    <w:next w:val="Normal"/>
    <w:rsid w:val="00EC13B4"/>
    <w:rPr>
      <w:rFonts w:ascii="Arial" w:hAnsi="Arial"/>
      <w:color w:val="72B4E7"/>
    </w:rPr>
  </w:style>
  <w:style w:type="paragraph" w:customStyle="1" w:styleId="AppendixHeading">
    <w:name w:val="Appendix Heading"/>
    <w:basedOn w:val="HeadingBase"/>
    <w:next w:val="Normal"/>
    <w:rsid w:val="00296582"/>
    <w:pPr>
      <w:spacing w:before="720" w:after="360"/>
    </w:pPr>
    <w:rPr>
      <w:rFonts w:ascii="Arial Bold" w:hAnsi="Arial Bold"/>
      <w:b/>
      <w:smallCaps/>
      <w:sz w:val="36"/>
      <w:szCs w:val="36"/>
    </w:rPr>
  </w:style>
  <w:style w:type="character" w:customStyle="1" w:styleId="Bold">
    <w:name w:val="Bold"/>
    <w:basedOn w:val="DefaultParagraphFont"/>
    <w:rsid w:val="00296582"/>
    <w:rPr>
      <w:b/>
    </w:rPr>
  </w:style>
  <w:style w:type="paragraph" w:customStyle="1" w:styleId="BoxHeading">
    <w:name w:val="Box Heading"/>
    <w:basedOn w:val="HeadingBase"/>
    <w:next w:val="BoxText"/>
    <w:rsid w:val="00296582"/>
    <w:pPr>
      <w:spacing w:before="120" w:after="120"/>
    </w:pPr>
    <w:rPr>
      <w:b/>
      <w:sz w:val="22"/>
    </w:rPr>
  </w:style>
  <w:style w:type="paragraph" w:customStyle="1" w:styleId="BoxTextBase">
    <w:name w:val="Box Text Base"/>
    <w:basedOn w:val="Normal"/>
    <w:rsid w:val="00296582"/>
    <w:pPr>
      <w:spacing w:before="120" w:after="120" w:line="240" w:lineRule="auto"/>
    </w:pPr>
  </w:style>
  <w:style w:type="paragraph" w:customStyle="1" w:styleId="ChartandTableFootnoteAlpha">
    <w:name w:val="Chart and Table Footnote Alpha"/>
    <w:rsid w:val="00296582"/>
    <w:pPr>
      <w:numPr>
        <w:numId w:val="4"/>
      </w:numPr>
      <w:jc w:val="both"/>
    </w:pPr>
    <w:rPr>
      <w:rFonts w:ascii="Arial" w:hAnsi="Arial"/>
      <w:color w:val="000000"/>
      <w:sz w:val="16"/>
      <w:szCs w:val="16"/>
    </w:rPr>
  </w:style>
  <w:style w:type="paragraph" w:customStyle="1" w:styleId="ChartGraphic">
    <w:name w:val="Chart Graphic"/>
    <w:basedOn w:val="HeadingBase"/>
    <w:rsid w:val="00296582"/>
    <w:pPr>
      <w:jc w:val="center"/>
    </w:pPr>
  </w:style>
  <w:style w:type="paragraph" w:customStyle="1" w:styleId="ChartMainHeading">
    <w:name w:val="Chart Main Heading"/>
    <w:basedOn w:val="HeadingBase"/>
    <w:next w:val="ChartGraphic"/>
    <w:rsid w:val="00296582"/>
    <w:pPr>
      <w:keepNext/>
      <w:spacing w:before="170" w:after="113"/>
      <w:jc w:val="center"/>
    </w:pPr>
    <w:rPr>
      <w:b/>
      <w:sz w:val="22"/>
    </w:rPr>
  </w:style>
  <w:style w:type="paragraph" w:customStyle="1" w:styleId="ChartorTableNote">
    <w:name w:val="Chart or Table Note"/>
    <w:next w:val="Normal"/>
    <w:rsid w:val="00296582"/>
    <w:pPr>
      <w:jc w:val="both"/>
    </w:pPr>
    <w:rPr>
      <w:rFonts w:ascii="Arial" w:hAnsi="Arial"/>
      <w:color w:val="000000"/>
      <w:sz w:val="16"/>
    </w:rPr>
  </w:style>
  <w:style w:type="paragraph" w:customStyle="1" w:styleId="ChartSecondHeading">
    <w:name w:val="Chart Second Heading"/>
    <w:basedOn w:val="HeadingBase"/>
    <w:next w:val="ChartGraphic"/>
    <w:rsid w:val="00296582"/>
    <w:pPr>
      <w:keepNext/>
      <w:spacing w:after="20"/>
      <w:jc w:val="center"/>
    </w:pPr>
  </w:style>
  <w:style w:type="paragraph" w:customStyle="1" w:styleId="Classification">
    <w:name w:val="Classification"/>
    <w:basedOn w:val="HeadingBase"/>
    <w:next w:val="Footer"/>
    <w:rsid w:val="00296582"/>
    <w:pPr>
      <w:spacing w:after="120"/>
      <w:jc w:val="center"/>
    </w:pPr>
    <w:rPr>
      <w:b/>
      <w:smallCaps/>
    </w:rPr>
  </w:style>
  <w:style w:type="paragraph" w:styleId="Footer">
    <w:name w:val="footer"/>
    <w:basedOn w:val="HeadingBase"/>
    <w:rsid w:val="00296582"/>
    <w:rPr>
      <w:sz w:val="18"/>
    </w:rPr>
  </w:style>
  <w:style w:type="paragraph" w:customStyle="1" w:styleId="ContentsHeading">
    <w:name w:val="Contents Heading"/>
    <w:basedOn w:val="HeadingBase"/>
    <w:next w:val="Normal"/>
    <w:rsid w:val="00296582"/>
    <w:pPr>
      <w:spacing w:after="360"/>
    </w:pPr>
    <w:rPr>
      <w:smallCaps/>
      <w:sz w:val="36"/>
      <w:szCs w:val="36"/>
    </w:rPr>
  </w:style>
  <w:style w:type="paragraph" w:customStyle="1" w:styleId="CoverTitleMain">
    <w:name w:val="Cover Title Main"/>
    <w:basedOn w:val="HeadingBase"/>
    <w:next w:val="Normal"/>
    <w:rsid w:val="00296582"/>
    <w:pPr>
      <w:spacing w:after="360"/>
      <w:jc w:val="right"/>
    </w:pPr>
    <w:rPr>
      <w:b/>
      <w:sz w:val="44"/>
    </w:rPr>
  </w:style>
  <w:style w:type="paragraph" w:customStyle="1" w:styleId="CoverTitleSub">
    <w:name w:val="Cover Title Sub"/>
    <w:basedOn w:val="HeadingBase"/>
    <w:rsid w:val="00296582"/>
    <w:pPr>
      <w:spacing w:after="360"/>
      <w:jc w:val="center"/>
    </w:pPr>
    <w:rPr>
      <w:sz w:val="36"/>
    </w:rPr>
  </w:style>
  <w:style w:type="paragraph" w:customStyle="1" w:styleId="FooterCentered">
    <w:name w:val="Footer Centered"/>
    <w:basedOn w:val="Footer"/>
    <w:rsid w:val="00296582"/>
    <w:pPr>
      <w:jc w:val="center"/>
    </w:pPr>
  </w:style>
  <w:style w:type="paragraph" w:customStyle="1" w:styleId="FooterEven">
    <w:name w:val="Footer Even"/>
    <w:basedOn w:val="Footer"/>
    <w:rsid w:val="00296582"/>
  </w:style>
  <w:style w:type="paragraph" w:customStyle="1" w:styleId="FooterOdd">
    <w:name w:val="Footer Odd"/>
    <w:basedOn w:val="Footer"/>
    <w:rsid w:val="00296582"/>
    <w:pPr>
      <w:jc w:val="right"/>
    </w:pPr>
  </w:style>
  <w:style w:type="character" w:customStyle="1" w:styleId="FramedFooter">
    <w:name w:val="Framed Footer"/>
    <w:rsid w:val="00EC13B4"/>
    <w:rPr>
      <w:rFonts w:ascii="Swis721 Lt BT" w:hAnsi="Swis721 Lt BT"/>
      <w:color w:val="72B4E7"/>
      <w:sz w:val="18"/>
      <w:szCs w:val="18"/>
    </w:rPr>
  </w:style>
  <w:style w:type="character" w:customStyle="1" w:styleId="FramedHeader">
    <w:name w:val="Framed Header"/>
    <w:basedOn w:val="DefaultParagraphFont"/>
    <w:rsid w:val="00EC13B4"/>
    <w:rPr>
      <w:rFonts w:ascii="Arial" w:hAnsi="Arial"/>
      <w:dstrike w:val="0"/>
      <w:color w:val="72B4E7"/>
      <w:sz w:val="18"/>
      <w:szCs w:val="18"/>
      <w:vertAlign w:val="baseline"/>
    </w:rPr>
  </w:style>
  <w:style w:type="paragraph" w:styleId="Header">
    <w:name w:val="header"/>
    <w:basedOn w:val="HeadingBase"/>
    <w:rsid w:val="00296582"/>
    <w:rPr>
      <w:sz w:val="18"/>
    </w:rPr>
  </w:style>
  <w:style w:type="paragraph" w:customStyle="1" w:styleId="HeaderEven">
    <w:name w:val="Header Even"/>
    <w:basedOn w:val="Header"/>
    <w:rsid w:val="00296582"/>
  </w:style>
  <w:style w:type="paragraph" w:customStyle="1" w:styleId="HeaderOdd">
    <w:name w:val="Header Odd"/>
    <w:basedOn w:val="Header"/>
    <w:rsid w:val="00296582"/>
    <w:pPr>
      <w:jc w:val="right"/>
    </w:pPr>
  </w:style>
  <w:style w:type="paragraph" w:styleId="NormalIndent">
    <w:name w:val="Normal Indent"/>
    <w:basedOn w:val="Normal"/>
    <w:rsid w:val="00296582"/>
    <w:pPr>
      <w:ind w:left="567"/>
    </w:pPr>
  </w:style>
  <w:style w:type="paragraph" w:customStyle="1" w:styleId="RecommendationHeading">
    <w:name w:val="Recommendation Heading"/>
    <w:basedOn w:val="HeadingBase"/>
    <w:next w:val="RecommendationText"/>
    <w:rsid w:val="00296582"/>
    <w:pPr>
      <w:spacing w:after="240"/>
    </w:pPr>
    <w:rPr>
      <w:b/>
      <w:sz w:val="22"/>
    </w:rPr>
  </w:style>
  <w:style w:type="paragraph" w:customStyle="1" w:styleId="RecommendationBaseText">
    <w:name w:val="Recommendation Base Text"/>
    <w:basedOn w:val="Normal"/>
    <w:rsid w:val="00296582"/>
  </w:style>
  <w:style w:type="paragraph" w:customStyle="1" w:styleId="RecommendationText">
    <w:name w:val="Recommendation Text"/>
    <w:basedOn w:val="RecommendationBaseText"/>
    <w:rsid w:val="00296582"/>
  </w:style>
  <w:style w:type="paragraph" w:customStyle="1" w:styleId="TableTextBase">
    <w:name w:val="Table Text Base"/>
    <w:rsid w:val="00296582"/>
    <w:pPr>
      <w:spacing w:before="40" w:after="40"/>
    </w:pPr>
    <w:rPr>
      <w:rFonts w:ascii="Arial" w:hAnsi="Arial"/>
      <w:color w:val="000000"/>
      <w:sz w:val="16"/>
    </w:rPr>
  </w:style>
  <w:style w:type="paragraph" w:customStyle="1" w:styleId="TableColumnHeadingCentred">
    <w:name w:val="Table Column Heading Centred"/>
    <w:basedOn w:val="TableTextBase"/>
    <w:rsid w:val="00296582"/>
    <w:pPr>
      <w:jc w:val="center"/>
    </w:pPr>
    <w:rPr>
      <w:b/>
    </w:rPr>
  </w:style>
  <w:style w:type="paragraph" w:customStyle="1" w:styleId="TableColumnHeadingLeft">
    <w:name w:val="Table Column Heading Left"/>
    <w:basedOn w:val="TableTextBase"/>
    <w:rsid w:val="00296582"/>
    <w:rPr>
      <w:b/>
    </w:rPr>
  </w:style>
  <w:style w:type="paragraph" w:customStyle="1" w:styleId="TableColumnHeadingRight">
    <w:name w:val="Table Column Heading Right"/>
    <w:basedOn w:val="TableTextBase"/>
    <w:rsid w:val="00296582"/>
    <w:pPr>
      <w:jc w:val="right"/>
    </w:pPr>
    <w:rPr>
      <w:b/>
    </w:rPr>
  </w:style>
  <w:style w:type="paragraph" w:customStyle="1" w:styleId="TableGraphic">
    <w:name w:val="Table Graphic"/>
    <w:basedOn w:val="HeadingBase"/>
    <w:next w:val="Normal"/>
    <w:rsid w:val="00296582"/>
    <w:pPr>
      <w:spacing w:after="20"/>
      <w:ind w:right="-113"/>
    </w:pPr>
    <w:rPr>
      <w:rFonts w:ascii="Helvetica" w:hAnsi="Helvetica"/>
    </w:rPr>
  </w:style>
  <w:style w:type="paragraph" w:customStyle="1" w:styleId="TableMainHeading">
    <w:name w:val="Table Main Heading"/>
    <w:basedOn w:val="HeadingBase"/>
    <w:next w:val="TableGraphic"/>
    <w:rsid w:val="00296582"/>
    <w:pPr>
      <w:keepNext/>
      <w:spacing w:before="170" w:after="113"/>
    </w:pPr>
    <w:rPr>
      <w:b/>
      <w:sz w:val="22"/>
    </w:rPr>
  </w:style>
  <w:style w:type="paragraph" w:customStyle="1" w:styleId="TableMainHeadingContd">
    <w:name w:val="Table Main Heading Contd"/>
    <w:basedOn w:val="HeadingBase"/>
    <w:next w:val="TableGraphic"/>
    <w:rsid w:val="00296582"/>
    <w:pPr>
      <w:keepNext/>
      <w:spacing w:after="20"/>
    </w:pPr>
    <w:rPr>
      <w:b/>
      <w:sz w:val="22"/>
    </w:rPr>
  </w:style>
  <w:style w:type="paragraph" w:customStyle="1" w:styleId="TableSecondHeading">
    <w:name w:val="Table Second Heading"/>
    <w:basedOn w:val="HeadingBase"/>
    <w:next w:val="TableGraphic"/>
    <w:rsid w:val="00296582"/>
    <w:pPr>
      <w:keepNext/>
      <w:spacing w:after="20"/>
    </w:pPr>
  </w:style>
  <w:style w:type="paragraph" w:customStyle="1" w:styleId="TableTextCentered">
    <w:name w:val="Table Text Centered"/>
    <w:basedOn w:val="TableTextBase"/>
    <w:rsid w:val="00296582"/>
    <w:pPr>
      <w:jc w:val="center"/>
    </w:pPr>
  </w:style>
  <w:style w:type="paragraph" w:customStyle="1" w:styleId="TableTextIndented">
    <w:name w:val="Table Text Indented"/>
    <w:basedOn w:val="TableTextBase"/>
    <w:rsid w:val="00296582"/>
    <w:pPr>
      <w:ind w:left="284"/>
    </w:pPr>
  </w:style>
  <w:style w:type="paragraph" w:customStyle="1" w:styleId="TableTextLeft">
    <w:name w:val="Table Text Left"/>
    <w:basedOn w:val="TableTextBase"/>
    <w:rsid w:val="00296582"/>
  </w:style>
  <w:style w:type="paragraph" w:customStyle="1" w:styleId="TableTextRight">
    <w:name w:val="Table Text Right"/>
    <w:basedOn w:val="TableTextBase"/>
    <w:rsid w:val="00296582"/>
    <w:pPr>
      <w:jc w:val="right"/>
    </w:pPr>
  </w:style>
  <w:style w:type="paragraph" w:styleId="TOC1">
    <w:name w:val="toc 1"/>
    <w:basedOn w:val="HeadingBase"/>
    <w:next w:val="Normal"/>
    <w:uiPriority w:val="39"/>
    <w:rsid w:val="00296582"/>
    <w:pPr>
      <w:tabs>
        <w:tab w:val="right" w:leader="dot" w:pos="7700"/>
      </w:tabs>
      <w:spacing w:before="180"/>
      <w:ind w:right="851"/>
    </w:pPr>
    <w:rPr>
      <w:b/>
      <w:smallCaps/>
      <w:noProof/>
      <w:sz w:val="22"/>
      <w:szCs w:val="22"/>
    </w:rPr>
  </w:style>
  <w:style w:type="paragraph" w:styleId="TOC2">
    <w:name w:val="toc 2"/>
    <w:basedOn w:val="Normal"/>
    <w:next w:val="Normal"/>
    <w:rsid w:val="0010222E"/>
    <w:pPr>
      <w:tabs>
        <w:tab w:val="right" w:leader="dot" w:pos="7700"/>
      </w:tabs>
      <w:spacing w:after="0"/>
      <w:ind w:right="851"/>
      <w:jc w:val="left"/>
    </w:pPr>
    <w:rPr>
      <w:b/>
      <w:noProof/>
    </w:rPr>
  </w:style>
  <w:style w:type="paragraph" w:styleId="TOC3">
    <w:name w:val="toc 3"/>
    <w:basedOn w:val="Normal"/>
    <w:next w:val="Normal"/>
    <w:rsid w:val="00296582"/>
    <w:pPr>
      <w:tabs>
        <w:tab w:val="right" w:leader="dot" w:pos="7700"/>
      </w:tabs>
      <w:spacing w:after="0" w:line="240" w:lineRule="auto"/>
      <w:ind w:left="284" w:right="851"/>
      <w:jc w:val="left"/>
    </w:pPr>
    <w:rPr>
      <w:noProof/>
    </w:rPr>
  </w:style>
  <w:style w:type="paragraph" w:styleId="TOC4">
    <w:name w:val="toc 4"/>
    <w:basedOn w:val="Normal"/>
    <w:next w:val="Normal"/>
    <w:rsid w:val="00296582"/>
    <w:pPr>
      <w:tabs>
        <w:tab w:val="right" w:leader="dot" w:pos="7700"/>
      </w:tabs>
      <w:spacing w:after="0" w:line="240" w:lineRule="auto"/>
      <w:ind w:left="284" w:right="851" w:hanging="284"/>
      <w:jc w:val="left"/>
    </w:pPr>
    <w:rPr>
      <w:noProof/>
    </w:rPr>
  </w:style>
  <w:style w:type="character" w:customStyle="1" w:styleId="Italic">
    <w:name w:val="Italic"/>
    <w:basedOn w:val="DefaultParagraphFont"/>
    <w:rsid w:val="00296582"/>
    <w:rPr>
      <w:i/>
    </w:rPr>
  </w:style>
  <w:style w:type="paragraph" w:customStyle="1" w:styleId="OneLevelNumberedParagraph">
    <w:name w:val="One Level Numbered Paragraph"/>
    <w:basedOn w:val="Normal"/>
    <w:rsid w:val="00296582"/>
    <w:pPr>
      <w:numPr>
        <w:numId w:val="10"/>
      </w:numPr>
    </w:pPr>
  </w:style>
  <w:style w:type="paragraph" w:customStyle="1" w:styleId="BoxText">
    <w:name w:val="Box Text"/>
    <w:basedOn w:val="BoxTextBase"/>
    <w:rsid w:val="00296582"/>
  </w:style>
  <w:style w:type="paragraph" w:customStyle="1" w:styleId="BoxBullet">
    <w:name w:val="Box Bullet"/>
    <w:basedOn w:val="BoxTextBase"/>
    <w:rsid w:val="00296582"/>
    <w:pPr>
      <w:numPr>
        <w:numId w:val="9"/>
      </w:numPr>
    </w:pPr>
  </w:style>
  <w:style w:type="paragraph" w:customStyle="1" w:styleId="BoxDash">
    <w:name w:val="Box Dash"/>
    <w:basedOn w:val="Normal"/>
    <w:rsid w:val="00296582"/>
    <w:pPr>
      <w:numPr>
        <w:ilvl w:val="1"/>
        <w:numId w:val="9"/>
      </w:numPr>
    </w:pPr>
  </w:style>
  <w:style w:type="paragraph" w:customStyle="1" w:styleId="BoxDoubleDot">
    <w:name w:val="Box Double Dot"/>
    <w:basedOn w:val="BoxTextBase"/>
    <w:rsid w:val="00296582"/>
    <w:pPr>
      <w:numPr>
        <w:ilvl w:val="2"/>
        <w:numId w:val="9"/>
      </w:numPr>
    </w:pPr>
  </w:style>
  <w:style w:type="paragraph" w:customStyle="1" w:styleId="RecommendationBullet">
    <w:name w:val="Recommendation Bullet"/>
    <w:basedOn w:val="RecommendationBaseText"/>
    <w:rsid w:val="00296582"/>
    <w:pPr>
      <w:numPr>
        <w:numId w:val="11"/>
      </w:numPr>
    </w:pPr>
  </w:style>
  <w:style w:type="paragraph" w:customStyle="1" w:styleId="RecommendationDash">
    <w:name w:val="Recommendation Dash"/>
    <w:basedOn w:val="RecommendationBaseText"/>
    <w:rsid w:val="00296582"/>
    <w:pPr>
      <w:numPr>
        <w:ilvl w:val="1"/>
        <w:numId w:val="11"/>
      </w:numPr>
    </w:pPr>
  </w:style>
  <w:style w:type="paragraph" w:customStyle="1" w:styleId="RecommendationDoubleDot">
    <w:name w:val="Recommendation Double Dot"/>
    <w:basedOn w:val="RecommendationBaseText"/>
    <w:rsid w:val="00296582"/>
    <w:pPr>
      <w:numPr>
        <w:ilvl w:val="2"/>
        <w:numId w:val="11"/>
      </w:numPr>
    </w:pPr>
  </w:style>
  <w:style w:type="character" w:customStyle="1" w:styleId="Boldanditalic">
    <w:name w:val="Bold and italic"/>
    <w:basedOn w:val="DefaultParagraphFont"/>
    <w:rsid w:val="00296582"/>
    <w:rPr>
      <w:b/>
      <w:i/>
    </w:rPr>
  </w:style>
  <w:style w:type="paragraph" w:styleId="Caption">
    <w:name w:val="caption"/>
    <w:basedOn w:val="Normal"/>
    <w:next w:val="Normal"/>
    <w:qFormat/>
    <w:rsid w:val="00296582"/>
    <w:pPr>
      <w:spacing w:before="120" w:after="120"/>
    </w:pPr>
    <w:rPr>
      <w:b/>
      <w:bCs/>
    </w:rPr>
  </w:style>
  <w:style w:type="character" w:styleId="CommentReference">
    <w:name w:val="annotation reference"/>
    <w:basedOn w:val="DefaultParagraphFont"/>
    <w:rsid w:val="00296582"/>
    <w:rPr>
      <w:sz w:val="16"/>
      <w:szCs w:val="16"/>
    </w:rPr>
  </w:style>
  <w:style w:type="paragraph" w:styleId="CommentText">
    <w:name w:val="annotation text"/>
    <w:basedOn w:val="Normal"/>
    <w:rsid w:val="00296582"/>
  </w:style>
  <w:style w:type="paragraph" w:styleId="CommentSubject">
    <w:name w:val="annotation subject"/>
    <w:basedOn w:val="CommentText"/>
    <w:next w:val="CommentText"/>
    <w:rsid w:val="00296582"/>
    <w:rPr>
      <w:b/>
      <w:bCs/>
    </w:rPr>
  </w:style>
  <w:style w:type="paragraph" w:styleId="DocumentMap">
    <w:name w:val="Document Map"/>
    <w:basedOn w:val="Normal"/>
    <w:rsid w:val="00296582"/>
    <w:pPr>
      <w:shd w:val="clear" w:color="auto" w:fill="000080"/>
    </w:pPr>
    <w:rPr>
      <w:rFonts w:ascii="Tahoma" w:hAnsi="Tahoma" w:cs="Tahoma"/>
    </w:rPr>
  </w:style>
  <w:style w:type="character" w:styleId="EndnoteReference">
    <w:name w:val="endnote reference"/>
    <w:basedOn w:val="DefaultParagraphFont"/>
    <w:rsid w:val="00296582"/>
    <w:rPr>
      <w:vertAlign w:val="superscript"/>
    </w:rPr>
  </w:style>
  <w:style w:type="paragraph" w:styleId="EndnoteText">
    <w:name w:val="endnote text"/>
    <w:basedOn w:val="Normal"/>
    <w:rsid w:val="00296582"/>
  </w:style>
  <w:style w:type="paragraph" w:styleId="Index1">
    <w:name w:val="index 1"/>
    <w:basedOn w:val="Normal"/>
    <w:next w:val="Normal"/>
    <w:autoRedefine/>
    <w:rsid w:val="00296582"/>
    <w:pPr>
      <w:ind w:left="200" w:hanging="200"/>
    </w:pPr>
  </w:style>
  <w:style w:type="paragraph" w:styleId="Index2">
    <w:name w:val="index 2"/>
    <w:basedOn w:val="Normal"/>
    <w:next w:val="Normal"/>
    <w:autoRedefine/>
    <w:rsid w:val="00296582"/>
    <w:pPr>
      <w:ind w:left="400" w:hanging="200"/>
    </w:pPr>
  </w:style>
  <w:style w:type="paragraph" w:styleId="Index3">
    <w:name w:val="index 3"/>
    <w:basedOn w:val="Normal"/>
    <w:next w:val="Normal"/>
    <w:autoRedefine/>
    <w:rsid w:val="00296582"/>
    <w:pPr>
      <w:ind w:left="600" w:hanging="200"/>
    </w:pPr>
  </w:style>
  <w:style w:type="paragraph" w:styleId="Index4">
    <w:name w:val="index 4"/>
    <w:basedOn w:val="Normal"/>
    <w:next w:val="Normal"/>
    <w:autoRedefine/>
    <w:rsid w:val="00296582"/>
    <w:pPr>
      <w:ind w:left="800" w:hanging="200"/>
    </w:pPr>
  </w:style>
  <w:style w:type="paragraph" w:styleId="Index5">
    <w:name w:val="index 5"/>
    <w:basedOn w:val="Normal"/>
    <w:next w:val="Normal"/>
    <w:autoRedefine/>
    <w:rsid w:val="00296582"/>
    <w:pPr>
      <w:ind w:left="1000" w:hanging="200"/>
    </w:pPr>
  </w:style>
  <w:style w:type="paragraph" w:styleId="Index6">
    <w:name w:val="index 6"/>
    <w:basedOn w:val="Normal"/>
    <w:next w:val="Normal"/>
    <w:autoRedefine/>
    <w:rsid w:val="00296582"/>
    <w:pPr>
      <w:ind w:left="1200" w:hanging="200"/>
    </w:pPr>
  </w:style>
  <w:style w:type="paragraph" w:styleId="Index7">
    <w:name w:val="index 7"/>
    <w:basedOn w:val="Normal"/>
    <w:next w:val="Normal"/>
    <w:autoRedefine/>
    <w:rsid w:val="00296582"/>
    <w:pPr>
      <w:ind w:left="1400" w:hanging="200"/>
    </w:pPr>
  </w:style>
  <w:style w:type="paragraph" w:styleId="Index8">
    <w:name w:val="index 8"/>
    <w:basedOn w:val="Normal"/>
    <w:next w:val="Normal"/>
    <w:autoRedefine/>
    <w:rsid w:val="00296582"/>
    <w:pPr>
      <w:ind w:left="1600" w:hanging="200"/>
    </w:pPr>
  </w:style>
  <w:style w:type="paragraph" w:styleId="Index9">
    <w:name w:val="index 9"/>
    <w:basedOn w:val="Normal"/>
    <w:next w:val="Normal"/>
    <w:autoRedefine/>
    <w:rsid w:val="00296582"/>
    <w:pPr>
      <w:ind w:left="1800" w:hanging="200"/>
    </w:pPr>
  </w:style>
  <w:style w:type="paragraph" w:styleId="IndexHeading">
    <w:name w:val="index heading"/>
    <w:basedOn w:val="Normal"/>
    <w:next w:val="Index1"/>
    <w:rsid w:val="00EC13B4"/>
    <w:rPr>
      <w:rFonts w:ascii="Arial" w:hAnsi="Arial" w:cs="Arial"/>
      <w:b/>
      <w:bCs/>
      <w:color w:val="72B4E7"/>
    </w:rPr>
  </w:style>
  <w:style w:type="paragraph" w:styleId="MacroText">
    <w:name w:val="macro"/>
    <w:rsid w:val="00296582"/>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296582"/>
    <w:pPr>
      <w:ind w:left="200" w:hanging="200"/>
    </w:pPr>
  </w:style>
  <w:style w:type="paragraph" w:styleId="TableofFigures">
    <w:name w:val="table of figures"/>
    <w:basedOn w:val="Normal"/>
    <w:next w:val="Normal"/>
    <w:rsid w:val="00296582"/>
    <w:pPr>
      <w:ind w:left="400" w:hanging="400"/>
    </w:pPr>
  </w:style>
  <w:style w:type="paragraph" w:styleId="TOAHeading">
    <w:name w:val="toa heading"/>
    <w:basedOn w:val="Normal"/>
    <w:next w:val="Normal"/>
    <w:rsid w:val="00296582"/>
    <w:pPr>
      <w:spacing w:before="120"/>
    </w:pPr>
    <w:rPr>
      <w:rFonts w:ascii="Arial" w:hAnsi="Arial" w:cs="Arial"/>
      <w:b/>
      <w:bCs/>
      <w:sz w:val="24"/>
      <w:szCs w:val="24"/>
    </w:rPr>
  </w:style>
  <w:style w:type="paragraph" w:styleId="TOC5">
    <w:name w:val="toc 5"/>
    <w:basedOn w:val="TOC2"/>
    <w:next w:val="Normal"/>
    <w:autoRedefine/>
    <w:rsid w:val="00296582"/>
    <w:pPr>
      <w:ind w:left="1260" w:hanging="1260"/>
    </w:pPr>
  </w:style>
  <w:style w:type="paragraph" w:styleId="TOC6">
    <w:name w:val="toc 6"/>
    <w:basedOn w:val="TOC5"/>
    <w:next w:val="Normal"/>
    <w:uiPriority w:val="39"/>
    <w:rsid w:val="0010222E"/>
    <w:pPr>
      <w:tabs>
        <w:tab w:val="left" w:pos="1080"/>
        <w:tab w:val="left" w:pos="1134"/>
      </w:tabs>
      <w:ind w:left="1080" w:hanging="1080"/>
    </w:pPr>
    <w:rPr>
      <w:b w:val="0"/>
    </w:rPr>
  </w:style>
  <w:style w:type="paragraph" w:styleId="TOC7">
    <w:name w:val="toc 7"/>
    <w:basedOn w:val="Normal"/>
    <w:next w:val="Normal"/>
    <w:autoRedefine/>
    <w:rsid w:val="00296582"/>
    <w:pPr>
      <w:ind w:left="1200"/>
    </w:pPr>
  </w:style>
  <w:style w:type="paragraph" w:styleId="TOC8">
    <w:name w:val="toc 8"/>
    <w:basedOn w:val="Normal"/>
    <w:next w:val="Normal"/>
    <w:autoRedefine/>
    <w:rsid w:val="00296582"/>
    <w:pPr>
      <w:ind w:left="1400"/>
    </w:pPr>
  </w:style>
  <w:style w:type="paragraph" w:styleId="TOC9">
    <w:name w:val="toc 9"/>
    <w:basedOn w:val="Normal"/>
    <w:next w:val="Normal"/>
    <w:autoRedefine/>
    <w:rsid w:val="00296582"/>
    <w:pPr>
      <w:ind w:left="1600"/>
    </w:pPr>
  </w:style>
  <w:style w:type="paragraph" w:customStyle="1" w:styleId="AppendixAHeading3">
    <w:name w:val="AppendixAHeading3"/>
    <w:basedOn w:val="Heading3"/>
    <w:next w:val="AppendixAHeading4"/>
    <w:rsid w:val="00296582"/>
    <w:pPr>
      <w:numPr>
        <w:numId w:val="34"/>
      </w:numPr>
    </w:pPr>
    <w:rPr>
      <w:rFonts w:ascii="Arial Bold" w:hAnsi="Arial Bold"/>
      <w:i/>
    </w:rPr>
  </w:style>
  <w:style w:type="paragraph" w:customStyle="1" w:styleId="AppendixAHeading4">
    <w:name w:val="AppendixAHeading4"/>
    <w:basedOn w:val="Heading4"/>
    <w:next w:val="Bullet"/>
    <w:rsid w:val="00296582"/>
    <w:pPr>
      <w:numPr>
        <w:ilvl w:val="1"/>
        <w:numId w:val="35"/>
      </w:numPr>
    </w:pPr>
  </w:style>
  <w:style w:type="paragraph" w:customStyle="1" w:styleId="AppendixGHeading3">
    <w:name w:val="AppendixGHeading3"/>
    <w:basedOn w:val="Heading3"/>
    <w:rsid w:val="00296582"/>
    <w:pPr>
      <w:numPr>
        <w:numId w:val="30"/>
      </w:numPr>
    </w:pPr>
  </w:style>
  <w:style w:type="character" w:customStyle="1" w:styleId="Italics">
    <w:name w:val="Italics"/>
    <w:basedOn w:val="DefaultParagraphFont"/>
    <w:rsid w:val="00131735"/>
    <w:rPr>
      <w:i/>
    </w:rPr>
  </w:style>
  <w:style w:type="paragraph" w:customStyle="1" w:styleId="SinglePara">
    <w:name w:val="Single Para"/>
    <w:basedOn w:val="Normal"/>
    <w:rsid w:val="00131735"/>
    <w:pPr>
      <w:spacing w:after="0" w:line="240" w:lineRule="auto"/>
      <w:jc w:val="left"/>
    </w:pPr>
    <w:rPr>
      <w:rFonts w:ascii="Times New Roman" w:hAnsi="Times New Roman"/>
      <w:color w:val="auto"/>
      <w:sz w:val="24"/>
    </w:rPr>
  </w:style>
  <w:style w:type="paragraph" w:styleId="BodyText">
    <w:name w:val="Body Text"/>
    <w:basedOn w:val="Normal"/>
    <w:link w:val="BodyTextChar"/>
    <w:rsid w:val="00131735"/>
    <w:pPr>
      <w:tabs>
        <w:tab w:val="left" w:pos="5812"/>
      </w:tabs>
      <w:spacing w:line="300" w:lineRule="exact"/>
      <w:jc w:val="left"/>
    </w:pPr>
    <w:rPr>
      <w:rFonts w:ascii="Palatino" w:hAnsi="Palatino"/>
      <w:color w:val="auto"/>
      <w:sz w:val="22"/>
    </w:rPr>
  </w:style>
  <w:style w:type="paragraph" w:customStyle="1" w:styleId="NumberedParagraph">
    <w:name w:val="Numbered Paragraph"/>
    <w:basedOn w:val="Normal"/>
    <w:rsid w:val="00296582"/>
    <w:pPr>
      <w:numPr>
        <w:numId w:val="24"/>
      </w:numPr>
    </w:pPr>
  </w:style>
  <w:style w:type="character" w:customStyle="1" w:styleId="SingleParagraphChar">
    <w:name w:val="Single Paragraph Char"/>
    <w:basedOn w:val="DefaultParagraphFont"/>
    <w:link w:val="SingleParagraph"/>
    <w:rsid w:val="00A35153"/>
    <w:rPr>
      <w:rFonts w:ascii="Book Antiqua" w:hAnsi="Book Antiqua"/>
      <w:color w:val="000000"/>
    </w:rPr>
  </w:style>
  <w:style w:type="paragraph" w:customStyle="1" w:styleId="CharCharCharCharCharChar">
    <w:name w:val="Char Char Char Char Char Char"/>
    <w:basedOn w:val="Normal"/>
    <w:rsid w:val="001E4823"/>
    <w:pPr>
      <w:spacing w:after="160" w:line="240" w:lineRule="exact"/>
      <w:jc w:val="left"/>
    </w:pPr>
    <w:rPr>
      <w:rFonts w:ascii="Verdana" w:hAnsi="Verdana"/>
      <w:color w:val="auto"/>
      <w:szCs w:val="24"/>
      <w:lang w:val="en-US" w:eastAsia="en-US"/>
    </w:rPr>
  </w:style>
  <w:style w:type="paragraph" w:customStyle="1" w:styleId="Heading3noTOC">
    <w:name w:val="Heading 3 no TOC"/>
    <w:basedOn w:val="Heading3"/>
    <w:rsid w:val="00296582"/>
    <w:pPr>
      <w:outlineLvl w:val="9"/>
    </w:pPr>
  </w:style>
  <w:style w:type="character" w:styleId="FollowedHyperlink">
    <w:name w:val="FollowedHyperlink"/>
    <w:basedOn w:val="DefaultParagraphFont"/>
    <w:rsid w:val="00296582"/>
    <w:rPr>
      <w:color w:val="000000"/>
      <w:u w:val="none"/>
    </w:rPr>
  </w:style>
  <w:style w:type="paragraph" w:customStyle="1" w:styleId="Style1">
    <w:name w:val="Style1"/>
    <w:basedOn w:val="AppendixAHeading3"/>
    <w:next w:val="AppendixAHeading4"/>
    <w:rsid w:val="00296582"/>
    <w:pPr>
      <w:numPr>
        <w:numId w:val="0"/>
      </w:numPr>
    </w:pPr>
  </w:style>
  <w:style w:type="paragraph" w:customStyle="1" w:styleId="AppendixAHeading3NotItalic">
    <w:name w:val="AppendixAHeading3NotItalic"/>
    <w:basedOn w:val="HeadingBase"/>
    <w:next w:val="AppendixAHeading4"/>
    <w:rsid w:val="00296582"/>
    <w:pPr>
      <w:numPr>
        <w:numId w:val="35"/>
      </w:numPr>
      <w:spacing w:before="57" w:after="57" w:line="280" w:lineRule="exact"/>
    </w:pPr>
    <w:rPr>
      <w:rFonts w:ascii="Arial Bold" w:hAnsi="Arial Bold"/>
      <w:b/>
      <w:sz w:val="24"/>
    </w:rPr>
  </w:style>
  <w:style w:type="paragraph" w:customStyle="1" w:styleId="Heading1noTOC">
    <w:name w:val="Heading 1 no TOC"/>
    <w:basedOn w:val="Heading1"/>
    <w:next w:val="Normal"/>
    <w:rsid w:val="00296582"/>
  </w:style>
  <w:style w:type="paragraph" w:styleId="Title">
    <w:name w:val="Title"/>
    <w:basedOn w:val="Normal"/>
    <w:qFormat/>
    <w:rsid w:val="00C054D3"/>
    <w:pPr>
      <w:spacing w:before="240" w:after="60"/>
      <w:jc w:val="center"/>
      <w:outlineLvl w:val="0"/>
    </w:pPr>
    <w:rPr>
      <w:rFonts w:ascii="Arial" w:hAnsi="Arial" w:cs="Arial"/>
      <w:b/>
      <w:bCs/>
      <w:kern w:val="28"/>
      <w:sz w:val="32"/>
      <w:szCs w:val="32"/>
    </w:rPr>
  </w:style>
  <w:style w:type="paragraph" w:customStyle="1" w:styleId="Heading2noTOC">
    <w:name w:val="Heading 2 no TOC"/>
    <w:basedOn w:val="Heading2"/>
    <w:next w:val="Normal"/>
    <w:rsid w:val="00296582"/>
    <w:pPr>
      <w:outlineLvl w:val="9"/>
    </w:pPr>
    <w:rPr>
      <w:rFonts w:ascii="Arial" w:hAnsi="Arial"/>
    </w:rPr>
  </w:style>
  <w:style w:type="paragraph" w:customStyle="1" w:styleId="Heading9noTOC">
    <w:name w:val="Heading 9 no TOC"/>
    <w:basedOn w:val="Heading9"/>
    <w:rsid w:val="00296582"/>
    <w:pPr>
      <w:outlineLvl w:val="9"/>
    </w:pPr>
  </w:style>
  <w:style w:type="paragraph" w:styleId="EnvelopeAddress">
    <w:name w:val="envelope address"/>
    <w:basedOn w:val="Normal"/>
    <w:rsid w:val="00F73BC2"/>
    <w:pPr>
      <w:framePr w:w="7920" w:h="1980" w:hRule="exact" w:hSpace="180" w:wrap="auto" w:hAnchor="page" w:xAlign="center" w:yAlign="bottom"/>
      <w:ind w:left="2880"/>
      <w:jc w:val="left"/>
    </w:pPr>
    <w:rPr>
      <w:rFonts w:ascii="Arial" w:hAnsi="Arial" w:cs="Arial"/>
      <w:sz w:val="24"/>
      <w:szCs w:val="24"/>
    </w:rPr>
  </w:style>
  <w:style w:type="paragraph" w:styleId="EnvelopeReturn">
    <w:name w:val="envelope return"/>
    <w:basedOn w:val="Normal"/>
    <w:rsid w:val="00F73BC2"/>
    <w:pPr>
      <w:spacing w:after="0" w:line="240" w:lineRule="auto"/>
      <w:jc w:val="left"/>
    </w:pPr>
    <w:rPr>
      <w:rFonts w:ascii="Arial" w:hAnsi="Arial" w:cs="Arial"/>
    </w:rPr>
  </w:style>
  <w:style w:type="character" w:customStyle="1" w:styleId="BodyTextChar">
    <w:name w:val="Body Text Char"/>
    <w:basedOn w:val="DefaultParagraphFont"/>
    <w:link w:val="BodyText"/>
    <w:rsid w:val="001300F9"/>
    <w:rPr>
      <w:rFonts w:ascii="Palatino" w:hAnsi="Palatino"/>
      <w:sz w:val="22"/>
    </w:rPr>
  </w:style>
  <w:style w:type="character" w:styleId="IntenseEmphasis">
    <w:name w:val="Intense Emphasis"/>
    <w:basedOn w:val="DefaultParagraphFont"/>
    <w:uiPriority w:val="21"/>
    <w:qFormat/>
    <w:rsid w:val="00296582"/>
    <w:rPr>
      <w:b/>
      <w:bCs/>
      <w:i/>
      <w:iCs/>
      <w:color w:val="005ABB"/>
    </w:rPr>
  </w:style>
  <w:style w:type="paragraph" w:styleId="IntenseQuote">
    <w:name w:val="Intense Quote"/>
    <w:basedOn w:val="Normal"/>
    <w:next w:val="Normal"/>
    <w:link w:val="IntenseQuoteChar"/>
    <w:uiPriority w:val="30"/>
    <w:qFormat/>
    <w:rsid w:val="00296582"/>
    <w:pPr>
      <w:pBdr>
        <w:bottom w:val="single" w:sz="4" w:space="4" w:color="4F81BD" w:themeColor="accent1"/>
      </w:pBdr>
      <w:spacing w:before="200" w:after="280"/>
      <w:ind w:left="936" w:right="936"/>
    </w:pPr>
    <w:rPr>
      <w:b/>
      <w:bCs/>
      <w:i/>
      <w:iCs/>
      <w:color w:val="005ABB"/>
    </w:rPr>
  </w:style>
  <w:style w:type="character" w:customStyle="1" w:styleId="IntenseQuoteChar">
    <w:name w:val="Intense Quote Char"/>
    <w:basedOn w:val="DefaultParagraphFont"/>
    <w:link w:val="IntenseQuote"/>
    <w:uiPriority w:val="30"/>
    <w:rsid w:val="00296582"/>
    <w:rPr>
      <w:rFonts w:ascii="Book Antiqua" w:hAnsi="Book Antiqua"/>
      <w:b/>
      <w:bCs/>
      <w:i/>
      <w:iCs/>
      <w:color w:val="005ABB"/>
    </w:rPr>
  </w:style>
  <w:style w:type="paragraph" w:styleId="TOCHeading">
    <w:name w:val="TOC Heading"/>
    <w:basedOn w:val="Heading1"/>
    <w:next w:val="Normal"/>
    <w:uiPriority w:val="39"/>
    <w:semiHidden/>
    <w:unhideWhenUsed/>
    <w:qFormat/>
    <w:rsid w:val="00296582"/>
    <w:pPr>
      <w:keepLines/>
      <w:spacing w:before="480" w:after="0" w:line="260" w:lineRule="exact"/>
      <w:jc w:val="both"/>
      <w:outlineLvl w:val="9"/>
    </w:pPr>
    <w:rPr>
      <w:rFonts w:asciiTheme="majorHAnsi" w:eastAsiaTheme="majorEastAsia" w:hAnsiTheme="majorHAnsi" w:cstheme="majorBidi"/>
      <w:kern w:val="0"/>
      <w:sz w:val="28"/>
      <w:szCs w:val="28"/>
    </w:rPr>
  </w:style>
  <w:style w:type="paragraph" w:styleId="Subtitle">
    <w:name w:val="Subtitle"/>
    <w:basedOn w:val="Normal"/>
    <w:next w:val="Normal"/>
    <w:link w:val="SubtitleChar"/>
    <w:qFormat/>
    <w:rsid w:val="00296582"/>
    <w:pPr>
      <w:numPr>
        <w:ilvl w:val="1"/>
      </w:numPr>
    </w:pPr>
    <w:rPr>
      <w:rFonts w:asciiTheme="majorHAnsi" w:eastAsiaTheme="majorEastAsia" w:hAnsiTheme="majorHAnsi" w:cstheme="majorBidi"/>
      <w:i/>
      <w:iCs/>
      <w:color w:val="005ABB"/>
      <w:spacing w:val="15"/>
      <w:sz w:val="24"/>
      <w:szCs w:val="24"/>
    </w:rPr>
  </w:style>
  <w:style w:type="character" w:customStyle="1" w:styleId="SubtitleChar">
    <w:name w:val="Subtitle Char"/>
    <w:basedOn w:val="DefaultParagraphFont"/>
    <w:link w:val="Subtitle"/>
    <w:rsid w:val="00296582"/>
    <w:rPr>
      <w:rFonts w:asciiTheme="majorHAnsi" w:eastAsiaTheme="majorEastAsia" w:hAnsiTheme="majorHAnsi" w:cstheme="majorBidi"/>
      <w:i/>
      <w:iCs/>
      <w:color w:val="005ABB"/>
      <w:spacing w:val="15"/>
      <w:sz w:val="24"/>
      <w:szCs w:val="24"/>
    </w:rPr>
  </w:style>
  <w:style w:type="paragraph" w:customStyle="1" w:styleId="ChairmanLetter">
    <w:name w:val="Chairman Letter"/>
    <w:basedOn w:val="Normal"/>
    <w:qFormat/>
    <w:rsid w:val="00DA0BF2"/>
    <w:pPr>
      <w:jc w:val="left"/>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0178">
      <w:bodyDiv w:val="1"/>
      <w:marLeft w:val="0"/>
      <w:marRight w:val="0"/>
      <w:marTop w:val="0"/>
      <w:marBottom w:val="0"/>
      <w:divBdr>
        <w:top w:val="none" w:sz="0" w:space="0" w:color="auto"/>
        <w:left w:val="none" w:sz="0" w:space="0" w:color="auto"/>
        <w:bottom w:val="none" w:sz="0" w:space="0" w:color="auto"/>
        <w:right w:val="none" w:sz="0" w:space="0" w:color="auto"/>
      </w:divBdr>
    </w:div>
    <w:div w:id="471682070">
      <w:bodyDiv w:val="1"/>
      <w:marLeft w:val="0"/>
      <w:marRight w:val="0"/>
      <w:marTop w:val="0"/>
      <w:marBottom w:val="0"/>
      <w:divBdr>
        <w:top w:val="none" w:sz="0" w:space="0" w:color="auto"/>
        <w:left w:val="none" w:sz="0" w:space="0" w:color="auto"/>
        <w:bottom w:val="none" w:sz="0" w:space="0" w:color="auto"/>
        <w:right w:val="none" w:sz="0" w:space="0" w:color="auto"/>
      </w:divBdr>
    </w:div>
    <w:div w:id="969283765">
      <w:bodyDiv w:val="1"/>
      <w:marLeft w:val="0"/>
      <w:marRight w:val="0"/>
      <w:marTop w:val="0"/>
      <w:marBottom w:val="0"/>
      <w:divBdr>
        <w:top w:val="none" w:sz="0" w:space="0" w:color="auto"/>
        <w:left w:val="none" w:sz="0" w:space="0" w:color="auto"/>
        <w:bottom w:val="none" w:sz="0" w:space="0" w:color="auto"/>
        <w:right w:val="none" w:sz="0" w:space="0" w:color="auto"/>
      </w:divBdr>
    </w:div>
    <w:div w:id="204166431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itsanhonour.gov.au/coat-arms/index.cfm"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reativecommons.org/licenses/by/3.0/au" TargetMode="External"/><Relationship Id="rId22" Type="http://schemas.openxmlformats.org/officeDocument/2006/relationships/header" Target="header6.xml"/><Relationship Id="rId27"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FIRB%20Annual%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68C7-2BA8-4B18-8CE1-505EBAA1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Annual Report.dotm</Template>
  <TotalTime>0</TotalTime>
  <Pages>4</Pages>
  <Words>1349</Words>
  <Characters>7558</Characters>
  <Application>Microsoft Office Word</Application>
  <DocSecurity>0</DocSecurity>
  <Lines>196</Lines>
  <Paragraphs>100</Paragraphs>
  <ScaleCrop>false</ScaleCrop>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Investment Review Board - 2009-2010 Annual Report</dc:title>
  <dc:creator/>
  <cp:lastModifiedBy/>
  <cp:revision>1</cp:revision>
  <dcterms:created xsi:type="dcterms:W3CDTF">2016-01-18T00:14:00Z</dcterms:created>
  <dcterms:modified xsi:type="dcterms:W3CDTF">2016-01-18T00:14:00Z</dcterms:modified>
  <dc:language>English</dc:language>
</cp:coreProperties>
</file>