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F313B" w14:textId="77777777" w:rsidR="0052463D" w:rsidRPr="00E37CCB" w:rsidRDefault="005E5CBF" w:rsidP="00775B9B">
      <w:pPr>
        <w:pStyle w:val="CoverTitleMain"/>
        <w:rPr>
          <w:sz w:val="46"/>
        </w:rPr>
      </w:pPr>
      <w:bookmarkStart w:id="0" w:name="_GoBack"/>
      <w:bookmarkEnd w:id="0"/>
      <w:r w:rsidRPr="00E37CCB">
        <w:rPr>
          <w:sz w:val="46"/>
        </w:rPr>
        <w:t>REGULATOR PERFORMANCE FRAMEWORK</w:t>
      </w:r>
    </w:p>
    <w:p w14:paraId="02C076DC" w14:textId="77777777" w:rsidR="005E5CBF" w:rsidRPr="00612F81" w:rsidRDefault="00B9704A" w:rsidP="00775B9B">
      <w:pPr>
        <w:pStyle w:val="CoverTitleSub"/>
        <w:rPr>
          <w:sz w:val="66"/>
        </w:rPr>
      </w:pPr>
      <w:r w:rsidRPr="00612F81">
        <w:rPr>
          <w:sz w:val="66"/>
        </w:rPr>
        <w:t>Administration of Australia’s</w:t>
      </w:r>
      <w:r w:rsidR="00775B9B" w:rsidRPr="00612F81">
        <w:rPr>
          <w:sz w:val="66"/>
        </w:rPr>
        <w:br/>
      </w:r>
      <w:r w:rsidR="00744C8A" w:rsidRPr="00612F81">
        <w:rPr>
          <w:sz w:val="66"/>
        </w:rPr>
        <w:t>Foreign Investment Framework</w:t>
      </w:r>
    </w:p>
    <w:p w14:paraId="2C9C81E8" w14:textId="77777777" w:rsidR="00775B9B" w:rsidRPr="005E5CBF" w:rsidRDefault="00BC5F58" w:rsidP="00775B9B">
      <w:pPr>
        <w:pStyle w:val="CoverTitleSubDate"/>
      </w:pPr>
      <w:r w:rsidRPr="005E5CBF">
        <w:t>Report</w:t>
      </w:r>
      <w:r w:rsidR="0052463D" w:rsidRPr="005E5CBF">
        <w:t xml:space="preserve"> </w:t>
      </w:r>
      <w:r w:rsidRPr="005E5CBF">
        <w:t>201</w:t>
      </w:r>
      <w:r w:rsidR="00035013">
        <w:t>6</w:t>
      </w:r>
      <w:r w:rsidR="007F1F73">
        <w:t>–</w:t>
      </w:r>
      <w:r w:rsidRPr="005E5CBF">
        <w:t>1</w:t>
      </w:r>
      <w:r w:rsidR="00035013">
        <w:t>7</w:t>
      </w:r>
    </w:p>
    <w:p w14:paraId="0B306CAA" w14:textId="77777777" w:rsidR="00BC5F58" w:rsidRPr="005E5CBF" w:rsidRDefault="00BC5F58" w:rsidP="00775B9B">
      <w:pPr>
        <w:pStyle w:val="CoverTitleSubDate"/>
        <w:sectPr w:rsidR="00BC5F58" w:rsidRPr="005E5CBF" w:rsidSect="00F6105D">
          <w:headerReference w:type="even" r:id="rId14"/>
          <w:headerReference w:type="default" r:id="rId15"/>
          <w:footerReference w:type="even" r:id="rId16"/>
          <w:footerReference w:type="default" r:id="rId17"/>
          <w:headerReference w:type="first" r:id="rId18"/>
          <w:pgSz w:w="11906" w:h="16838" w:code="277"/>
          <w:pgMar w:top="1440" w:right="1440" w:bottom="1440" w:left="1440" w:header="851" w:footer="851" w:gutter="0"/>
          <w:cols w:space="708"/>
          <w:vAlign w:val="center"/>
          <w:titlePg/>
          <w:docGrid w:linePitch="360"/>
        </w:sectPr>
      </w:pPr>
    </w:p>
    <w:p w14:paraId="5BC575E5" w14:textId="77777777" w:rsidR="007B4AF0" w:rsidRDefault="007B4AF0" w:rsidP="007B4AF0">
      <w:pPr>
        <w:spacing w:before="240"/>
      </w:pPr>
      <w:bookmarkStart w:id="1" w:name="_Toc341070502"/>
      <w:bookmarkStart w:id="2" w:name="_Toc341498333"/>
      <w:bookmarkStart w:id="3" w:name="_Toc341498509"/>
      <w:bookmarkStart w:id="4" w:name="_Toc342795680"/>
      <w:bookmarkStart w:id="5" w:name="_Toc344015210"/>
      <w:bookmarkStart w:id="6" w:name="_Toc368474012"/>
      <w:bookmarkStart w:id="7" w:name="_Toc371135350"/>
      <w:bookmarkStart w:id="8" w:name="_Toc410717772"/>
      <w:bookmarkStart w:id="9" w:name="_Toc440182425"/>
      <w:bookmarkStart w:id="10" w:name="_Toc440182485"/>
      <w:bookmarkStart w:id="11" w:name="_Toc440182796"/>
      <w:bookmarkStart w:id="12" w:name="_Toc440187218"/>
      <w:bookmarkStart w:id="13" w:name="_Toc440187269"/>
      <w:bookmarkStart w:id="14" w:name="_Toc440187369"/>
      <w:bookmarkStart w:id="15" w:name="_Toc440187395"/>
      <w:bookmarkStart w:id="16" w:name="_Toc440187402"/>
      <w:r w:rsidRPr="00661BF0">
        <w:lastRenderedPageBreak/>
        <w:t xml:space="preserve">© Commonwealth of Australia </w:t>
      </w:r>
      <w:r w:rsidR="00775B9B">
        <w:t>2017</w:t>
      </w:r>
    </w:p>
    <w:p w14:paraId="4148BE9D" w14:textId="77777777" w:rsidR="007B4AF0" w:rsidRPr="00086F82" w:rsidRDefault="007B4AF0" w:rsidP="007B4AF0">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and where otherwise stated. </w:t>
      </w:r>
      <w:r w:rsidRPr="002F1BC2">
        <w:t>The full licence terms are available from</w:t>
      </w:r>
      <w:r w:rsidRPr="00476F09">
        <w:rPr>
          <w:rFonts w:cstheme="minorHAnsi"/>
          <w:sz w:val="24"/>
          <w:szCs w:val="24"/>
        </w:rPr>
        <w:t xml:space="preserve"> </w:t>
      </w:r>
      <w:hyperlink r:id="rId20" w:history="1">
        <w:r w:rsidRPr="001F1B27">
          <w:rPr>
            <w:rStyle w:val="Hyperlink"/>
          </w:rPr>
          <w:t>http://creativecommons.org/licenses/by/3.0/au/legalcode</w:t>
        </w:r>
      </w:hyperlink>
      <w:r w:rsidRPr="006627B4">
        <w:rPr>
          <w:rStyle w:val="Hyperlink"/>
        </w:rPr>
        <w:t>.</w:t>
      </w:r>
    </w:p>
    <w:p w14:paraId="1EC56082" w14:textId="77777777" w:rsidR="007B4AF0" w:rsidRDefault="007B4AF0" w:rsidP="007B4AF0">
      <w:pPr>
        <w:pStyle w:val="ChartGraphic"/>
        <w:jc w:val="left"/>
      </w:pPr>
      <w:r w:rsidRPr="00E56DFB">
        <w:rPr>
          <w:noProof/>
        </w:rPr>
        <w:drawing>
          <wp:inline distT="0" distB="0" distL="0" distR="0" wp14:anchorId="3D02507B" wp14:editId="1CD665F0">
            <wp:extent cx="809625" cy="285750"/>
            <wp:effectExtent l="0" t="0" r="9525" b="0"/>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5141C0B" w14:textId="77777777" w:rsidR="007B4AF0" w:rsidRPr="006627B4" w:rsidRDefault="007B4AF0" w:rsidP="007B4AF0">
      <w:pPr>
        <w:tabs>
          <w:tab w:val="left" w:pos="1650"/>
        </w:tabs>
        <w:spacing w:before="240"/>
      </w:pPr>
      <w:r w:rsidRPr="006627B4">
        <w:t>Use of Treasury material under a</w:t>
      </w:r>
      <w:r w:rsidRPr="00476F09">
        <w:rPr>
          <w:rFonts w:cstheme="minorHAnsi"/>
          <w:sz w:val="24"/>
          <w:szCs w:val="24"/>
        </w:rPr>
        <w:t xml:space="preserve"> </w:t>
      </w:r>
      <w:hyperlink r:id="rId2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F848A0B" w14:textId="77777777" w:rsidR="007B4AF0" w:rsidRPr="002F1BC2" w:rsidRDefault="007B4AF0" w:rsidP="007B4AF0">
      <w:pPr>
        <w:ind w:left="709"/>
        <w:rPr>
          <w:i/>
        </w:rPr>
      </w:pPr>
      <w:r w:rsidRPr="002F1BC2">
        <w:rPr>
          <w:i/>
        </w:rPr>
        <w:t xml:space="preserve">Treasury material used </w:t>
      </w:r>
      <w:r>
        <w:rPr>
          <w:i/>
        </w:rPr>
        <w:t>‘</w:t>
      </w:r>
      <w:r w:rsidRPr="002F1BC2">
        <w:rPr>
          <w:i/>
        </w:rPr>
        <w:t>as supplied</w:t>
      </w:r>
      <w:r>
        <w:rPr>
          <w:i/>
        </w:rPr>
        <w:t>’.</w:t>
      </w:r>
    </w:p>
    <w:p w14:paraId="5AB09CBD" w14:textId="77777777" w:rsidR="007B4AF0" w:rsidRPr="00476F09" w:rsidRDefault="007B4AF0" w:rsidP="007B4AF0">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479E935" w14:textId="77777777" w:rsidR="007B4AF0" w:rsidRPr="00A13A11" w:rsidRDefault="007B4AF0" w:rsidP="007B4AF0">
      <w:pPr>
        <w:ind w:firstLine="720"/>
      </w:pPr>
      <w:r w:rsidRPr="002F1BC2">
        <w:rPr>
          <w:i/>
        </w:rPr>
        <w:t xml:space="preserve">Source: The </w:t>
      </w:r>
      <w:r w:rsidRPr="002F1BC2">
        <w:rPr>
          <w:i/>
          <w:iCs/>
        </w:rPr>
        <w:t>Aus</w:t>
      </w:r>
      <w:r>
        <w:rPr>
          <w:i/>
          <w:iCs/>
        </w:rPr>
        <w:t>tralian Government the Treasury.</w:t>
      </w:r>
    </w:p>
    <w:p w14:paraId="13F47B56" w14:textId="77777777" w:rsidR="007B4AF0" w:rsidRPr="006627B4" w:rsidRDefault="007B4AF0" w:rsidP="007B4AF0">
      <w:pPr>
        <w:spacing w:before="240"/>
      </w:pPr>
      <w:r w:rsidRPr="00CC63CC">
        <w:rPr>
          <w:b/>
        </w:rPr>
        <w:t>Derivative</w:t>
      </w:r>
      <w:r w:rsidRPr="006627B4">
        <w:t xml:space="preserve"> </w:t>
      </w:r>
      <w:r w:rsidRPr="00CC63CC">
        <w:rPr>
          <w:b/>
        </w:rPr>
        <w:t>material</w:t>
      </w:r>
    </w:p>
    <w:p w14:paraId="252C46FE" w14:textId="77777777" w:rsidR="007B4AF0" w:rsidRPr="006627B4" w:rsidRDefault="007B4AF0" w:rsidP="007B4AF0">
      <w:r w:rsidRPr="006627B4">
        <w:t>If you have modified or transformed Treasury material, or derived new material from those of the Treasury in any way, then Treasury pre</w:t>
      </w:r>
      <w:r w:rsidR="006909A2">
        <w:t>fers the following attribution:</w:t>
      </w:r>
    </w:p>
    <w:p w14:paraId="2EAC5352" w14:textId="77777777" w:rsidR="007B4AF0" w:rsidRPr="006627B4" w:rsidRDefault="007B4AF0" w:rsidP="007B4AF0">
      <w:pPr>
        <w:ind w:firstLine="720"/>
      </w:pPr>
      <w:r w:rsidRPr="002F1BC2">
        <w:rPr>
          <w:i/>
        </w:rPr>
        <w:t>Based on The Australian Government the Treasury data</w:t>
      </w:r>
      <w:r>
        <w:t>.</w:t>
      </w:r>
    </w:p>
    <w:p w14:paraId="24052A7C" w14:textId="77777777" w:rsidR="007B4AF0" w:rsidRPr="006627B4" w:rsidRDefault="007B4AF0" w:rsidP="007B4AF0">
      <w:pPr>
        <w:spacing w:before="240"/>
        <w:rPr>
          <w:b/>
        </w:rPr>
      </w:pPr>
      <w:r w:rsidRPr="006627B4">
        <w:rPr>
          <w:b/>
        </w:rPr>
        <w:t>Use of the Coat of Arms</w:t>
      </w:r>
    </w:p>
    <w:p w14:paraId="753BABA3" w14:textId="77777777" w:rsidR="007B4AF0" w:rsidRPr="006627B4" w:rsidRDefault="007B4AF0" w:rsidP="007B4AF0">
      <w:r w:rsidRPr="006627B4">
        <w:t>The terms under which the Coat of Arms can be used are set out on the It’s an Honour website (see</w:t>
      </w:r>
      <w:r w:rsidR="00775B9B">
        <w:t> </w:t>
      </w:r>
      <w:hyperlink r:id="rId23" w:history="1">
        <w:r w:rsidRPr="004A0F11">
          <w:rPr>
            <w:rStyle w:val="Hyperlink"/>
          </w:rPr>
          <w:t>www.itsanhonour.gov.au</w:t>
        </w:r>
      </w:hyperlink>
      <w:r w:rsidRPr="006627B4">
        <w:t>)</w:t>
      </w:r>
      <w:r>
        <w:t>.</w:t>
      </w:r>
    </w:p>
    <w:p w14:paraId="0D348F31" w14:textId="77777777" w:rsidR="007B4AF0" w:rsidRPr="006627B4" w:rsidRDefault="007B4AF0" w:rsidP="007B4AF0">
      <w:pPr>
        <w:spacing w:before="240"/>
        <w:rPr>
          <w:b/>
        </w:rPr>
      </w:pPr>
      <w:r>
        <w:rPr>
          <w:b/>
        </w:rPr>
        <w:t>Other u</w:t>
      </w:r>
      <w:r w:rsidRPr="006627B4">
        <w:rPr>
          <w:b/>
        </w:rPr>
        <w:t>ses</w:t>
      </w:r>
    </w:p>
    <w:p w14:paraId="346611C2" w14:textId="77777777" w:rsidR="007B4AF0" w:rsidRPr="006627B4" w:rsidRDefault="007B4AF0" w:rsidP="007B4AF0">
      <w:r>
        <w:t>E</w:t>
      </w:r>
      <w:r w:rsidRPr="006627B4">
        <w:t>nquiries regarding this licence and any other use of this document are welcome at:</w:t>
      </w:r>
    </w:p>
    <w:p w14:paraId="4AC419D7" w14:textId="77777777" w:rsidR="007B4AF0" w:rsidRPr="002F1BC2" w:rsidRDefault="007B4AF0" w:rsidP="00775B9B">
      <w:pPr>
        <w:ind w:left="720"/>
        <w:jc w:val="left"/>
        <w:rPr>
          <w:rStyle w:val="Hyperlink"/>
        </w:rPr>
      </w:pPr>
      <w:r w:rsidRPr="006627B4">
        <w:t>Manager</w:t>
      </w:r>
      <w:r>
        <w:br/>
        <w:t>Editorial, Media and Speeches Unit</w:t>
      </w:r>
      <w:r w:rsidR="00775B9B">
        <w:br/>
      </w:r>
      <w:r w:rsidRPr="006627B4">
        <w:t>The Treasury</w:t>
      </w:r>
      <w:r>
        <w:br/>
      </w:r>
      <w:r w:rsidRPr="006627B4">
        <w:t xml:space="preserve">Langton Crescent </w:t>
      </w:r>
      <w:r>
        <w:br/>
      </w:r>
      <w:r w:rsidRPr="006627B4">
        <w:t>Parkes</w:t>
      </w:r>
      <w:r w:rsidR="00DA5D39">
        <w:t xml:space="preserve"> </w:t>
      </w:r>
      <w:r w:rsidRPr="006627B4">
        <w:t>ACT</w:t>
      </w:r>
      <w:r w:rsidR="00DA5D39">
        <w:t xml:space="preserve"> </w:t>
      </w:r>
      <w:r w:rsidRPr="006627B4">
        <w:t>2600</w:t>
      </w:r>
      <w:r>
        <w:br/>
      </w:r>
      <w:r w:rsidRPr="006627B4">
        <w:t xml:space="preserve">Email: </w:t>
      </w:r>
      <w:hyperlink r:id="rId24" w:history="1">
        <w:r w:rsidRPr="00B31CFB">
          <w:rPr>
            <w:rStyle w:val="Hyperlink"/>
          </w:rPr>
          <w:t>medialiaison@treasury.gov.au</w:t>
        </w:r>
      </w:hyperlink>
    </w:p>
    <w:p w14:paraId="60202931" w14:textId="77777777" w:rsidR="005E5CBF" w:rsidRPr="005E5CBF" w:rsidRDefault="005E5CBF" w:rsidP="005E5CBF"/>
    <w:p w14:paraId="4CD91FB5" w14:textId="77777777" w:rsidR="005E5CBF" w:rsidRDefault="005E5CBF" w:rsidP="005E5CBF"/>
    <w:p w14:paraId="1F520A44" w14:textId="77777777" w:rsidR="00F6105D" w:rsidRPr="005E5CBF" w:rsidRDefault="00F6105D" w:rsidP="005E5CBF">
      <w:pPr>
        <w:sectPr w:rsidR="00F6105D" w:rsidRPr="005E5CBF" w:rsidSect="00F6105D">
          <w:headerReference w:type="even" r:id="rId25"/>
          <w:headerReference w:type="default" r:id="rId26"/>
          <w:headerReference w:type="first" r:id="rId27"/>
          <w:footerReference w:type="first" r:id="rId28"/>
          <w:pgSz w:w="11906" w:h="16838" w:code="277"/>
          <w:pgMar w:top="1440" w:right="1440" w:bottom="1440" w:left="1440" w:header="851" w:footer="851" w:gutter="0"/>
          <w:cols w:space="708"/>
          <w:titlePg/>
          <w:docGrid w:linePitch="360"/>
        </w:sectPr>
      </w:pPr>
    </w:p>
    <w:p w14:paraId="44D663CE" w14:textId="28084E6B" w:rsidR="00F6105D" w:rsidRDefault="00F6105D" w:rsidP="00F6105D">
      <w:pPr>
        <w:pStyle w:val="Heading1noTOC"/>
      </w:pPr>
      <w:r>
        <w:lastRenderedPageBreak/>
        <w:t>Contents</w:t>
      </w:r>
    </w:p>
    <w:sdt>
      <w:sdtPr>
        <w:rPr>
          <w:b w:val="0"/>
          <w:caps w:val="0"/>
          <w:color w:val="auto"/>
          <w:sz w:val="22"/>
          <w:szCs w:val="20"/>
        </w:rPr>
        <w:id w:val="-671182034"/>
        <w:docPartObj>
          <w:docPartGallery w:val="Table of Contents"/>
          <w:docPartUnique/>
        </w:docPartObj>
      </w:sdtPr>
      <w:sdtEndPr>
        <w:rPr>
          <w:bCs/>
          <w:noProof/>
        </w:rPr>
      </w:sdtEndPr>
      <w:sdtContent>
        <w:p w14:paraId="7B5CC779" w14:textId="77777777" w:rsidR="00EC1DA6" w:rsidRDefault="00F6105D">
          <w:pPr>
            <w:pStyle w:val="TOC1"/>
            <w:rPr>
              <w:rFonts w:asciiTheme="minorHAnsi" w:eastAsiaTheme="minorEastAsia" w:hAnsiTheme="minorHAnsi" w:cstheme="minorBidi"/>
              <w:b w:val="0"/>
              <w:caps w:val="0"/>
              <w:noProof/>
              <w:color w:val="auto"/>
              <w:sz w:val="22"/>
            </w:rPr>
          </w:pPr>
          <w:r>
            <w:fldChar w:fldCharType="begin"/>
          </w:r>
          <w:r>
            <w:instrText xml:space="preserve"> TOC \o "1-3" \h \z \u </w:instrText>
          </w:r>
          <w:r>
            <w:fldChar w:fldCharType="separate"/>
          </w:r>
          <w:hyperlink w:anchor="_Toc501444822" w:history="1">
            <w:r w:rsidR="00EC1DA6" w:rsidRPr="00904560">
              <w:rPr>
                <w:rStyle w:val="Hyperlink"/>
                <w:noProof/>
              </w:rPr>
              <w:t>Introduction</w:t>
            </w:r>
            <w:r w:rsidR="00EC1DA6">
              <w:rPr>
                <w:noProof/>
                <w:webHidden/>
              </w:rPr>
              <w:tab/>
            </w:r>
            <w:r w:rsidR="00EC1DA6">
              <w:rPr>
                <w:noProof/>
                <w:webHidden/>
              </w:rPr>
              <w:fldChar w:fldCharType="begin"/>
            </w:r>
            <w:r w:rsidR="00EC1DA6">
              <w:rPr>
                <w:noProof/>
                <w:webHidden/>
              </w:rPr>
              <w:instrText xml:space="preserve"> PAGEREF _Toc501444822 \h </w:instrText>
            </w:r>
            <w:r w:rsidR="00EC1DA6">
              <w:rPr>
                <w:noProof/>
                <w:webHidden/>
              </w:rPr>
            </w:r>
            <w:r w:rsidR="00EC1DA6">
              <w:rPr>
                <w:noProof/>
                <w:webHidden/>
              </w:rPr>
              <w:fldChar w:fldCharType="separate"/>
            </w:r>
            <w:r w:rsidR="00EC1DA6">
              <w:rPr>
                <w:noProof/>
                <w:webHidden/>
              </w:rPr>
              <w:t>1</w:t>
            </w:r>
            <w:r w:rsidR="00EC1DA6">
              <w:rPr>
                <w:noProof/>
                <w:webHidden/>
              </w:rPr>
              <w:fldChar w:fldCharType="end"/>
            </w:r>
          </w:hyperlink>
        </w:p>
        <w:p w14:paraId="315D6EA9" w14:textId="77777777" w:rsidR="00EC1DA6" w:rsidRDefault="002973EC">
          <w:pPr>
            <w:pStyle w:val="TOC2"/>
            <w:rPr>
              <w:rFonts w:asciiTheme="minorHAnsi" w:eastAsiaTheme="minorEastAsia" w:hAnsiTheme="minorHAnsi" w:cstheme="minorBidi"/>
              <w:szCs w:val="22"/>
            </w:rPr>
          </w:pPr>
          <w:hyperlink w:anchor="_Toc501444823" w:history="1">
            <w:r w:rsidR="00EC1DA6" w:rsidRPr="00904560">
              <w:rPr>
                <w:rStyle w:val="Hyperlink"/>
              </w:rPr>
              <w:t>Methodology</w:t>
            </w:r>
            <w:r w:rsidR="00EC1DA6">
              <w:rPr>
                <w:webHidden/>
              </w:rPr>
              <w:tab/>
            </w:r>
            <w:r w:rsidR="00EC1DA6">
              <w:rPr>
                <w:webHidden/>
              </w:rPr>
              <w:fldChar w:fldCharType="begin"/>
            </w:r>
            <w:r w:rsidR="00EC1DA6">
              <w:rPr>
                <w:webHidden/>
              </w:rPr>
              <w:instrText xml:space="preserve"> PAGEREF _Toc501444823 \h </w:instrText>
            </w:r>
            <w:r w:rsidR="00EC1DA6">
              <w:rPr>
                <w:webHidden/>
              </w:rPr>
            </w:r>
            <w:r w:rsidR="00EC1DA6">
              <w:rPr>
                <w:webHidden/>
              </w:rPr>
              <w:fldChar w:fldCharType="separate"/>
            </w:r>
            <w:r w:rsidR="00EC1DA6">
              <w:rPr>
                <w:webHidden/>
              </w:rPr>
              <w:t>1</w:t>
            </w:r>
            <w:r w:rsidR="00EC1DA6">
              <w:rPr>
                <w:webHidden/>
              </w:rPr>
              <w:fldChar w:fldCharType="end"/>
            </w:r>
          </w:hyperlink>
        </w:p>
        <w:p w14:paraId="686B0D0D" w14:textId="77777777" w:rsidR="00EC1DA6" w:rsidRDefault="002973EC">
          <w:pPr>
            <w:pStyle w:val="TOC2"/>
            <w:rPr>
              <w:rFonts w:asciiTheme="minorHAnsi" w:eastAsiaTheme="minorEastAsia" w:hAnsiTheme="minorHAnsi" w:cstheme="minorBidi"/>
              <w:szCs w:val="22"/>
            </w:rPr>
          </w:pPr>
          <w:hyperlink w:anchor="_Toc501444824" w:history="1">
            <w:r w:rsidR="00EC1DA6" w:rsidRPr="00904560">
              <w:rPr>
                <w:rStyle w:val="Hyperlink"/>
              </w:rPr>
              <w:t>Overview of 2016–17</w:t>
            </w:r>
            <w:r w:rsidR="00EC1DA6">
              <w:rPr>
                <w:webHidden/>
              </w:rPr>
              <w:tab/>
            </w:r>
            <w:r w:rsidR="00EC1DA6">
              <w:rPr>
                <w:webHidden/>
              </w:rPr>
              <w:fldChar w:fldCharType="begin"/>
            </w:r>
            <w:r w:rsidR="00EC1DA6">
              <w:rPr>
                <w:webHidden/>
              </w:rPr>
              <w:instrText xml:space="preserve"> PAGEREF _Toc501444824 \h </w:instrText>
            </w:r>
            <w:r w:rsidR="00EC1DA6">
              <w:rPr>
                <w:webHidden/>
              </w:rPr>
            </w:r>
            <w:r w:rsidR="00EC1DA6">
              <w:rPr>
                <w:webHidden/>
              </w:rPr>
              <w:fldChar w:fldCharType="separate"/>
            </w:r>
            <w:r w:rsidR="00EC1DA6">
              <w:rPr>
                <w:webHidden/>
              </w:rPr>
              <w:t>2</w:t>
            </w:r>
            <w:r w:rsidR="00EC1DA6">
              <w:rPr>
                <w:webHidden/>
              </w:rPr>
              <w:fldChar w:fldCharType="end"/>
            </w:r>
          </w:hyperlink>
        </w:p>
        <w:p w14:paraId="6DE0ACBF" w14:textId="77777777" w:rsidR="00EC1DA6" w:rsidRDefault="002973EC">
          <w:pPr>
            <w:pStyle w:val="TOC1"/>
            <w:rPr>
              <w:rFonts w:asciiTheme="minorHAnsi" w:eastAsiaTheme="minorEastAsia" w:hAnsiTheme="minorHAnsi" w:cstheme="minorBidi"/>
              <w:b w:val="0"/>
              <w:caps w:val="0"/>
              <w:noProof/>
              <w:color w:val="auto"/>
              <w:sz w:val="22"/>
            </w:rPr>
          </w:pPr>
          <w:hyperlink w:anchor="_Toc501444825" w:history="1">
            <w:r w:rsidR="00EC1DA6" w:rsidRPr="00904560">
              <w:rPr>
                <w:rStyle w:val="Hyperlink"/>
                <w:noProof/>
              </w:rPr>
              <w:t>Assessment against Key Performance Indicators</w:t>
            </w:r>
            <w:r w:rsidR="00EC1DA6">
              <w:rPr>
                <w:noProof/>
                <w:webHidden/>
              </w:rPr>
              <w:tab/>
            </w:r>
            <w:r w:rsidR="00EC1DA6">
              <w:rPr>
                <w:noProof/>
                <w:webHidden/>
              </w:rPr>
              <w:fldChar w:fldCharType="begin"/>
            </w:r>
            <w:r w:rsidR="00EC1DA6">
              <w:rPr>
                <w:noProof/>
                <w:webHidden/>
              </w:rPr>
              <w:instrText xml:space="preserve"> PAGEREF _Toc501444825 \h </w:instrText>
            </w:r>
            <w:r w:rsidR="00EC1DA6">
              <w:rPr>
                <w:noProof/>
                <w:webHidden/>
              </w:rPr>
            </w:r>
            <w:r w:rsidR="00EC1DA6">
              <w:rPr>
                <w:noProof/>
                <w:webHidden/>
              </w:rPr>
              <w:fldChar w:fldCharType="separate"/>
            </w:r>
            <w:r w:rsidR="00EC1DA6">
              <w:rPr>
                <w:noProof/>
                <w:webHidden/>
              </w:rPr>
              <w:t>3</w:t>
            </w:r>
            <w:r w:rsidR="00EC1DA6">
              <w:rPr>
                <w:noProof/>
                <w:webHidden/>
              </w:rPr>
              <w:fldChar w:fldCharType="end"/>
            </w:r>
          </w:hyperlink>
        </w:p>
        <w:p w14:paraId="5F501358" w14:textId="77777777" w:rsidR="00EC1DA6" w:rsidRDefault="002973EC">
          <w:pPr>
            <w:pStyle w:val="TOC2"/>
            <w:rPr>
              <w:rFonts w:asciiTheme="minorHAnsi" w:eastAsiaTheme="minorEastAsia" w:hAnsiTheme="minorHAnsi" w:cstheme="minorBidi"/>
              <w:szCs w:val="22"/>
            </w:rPr>
          </w:pPr>
          <w:hyperlink w:anchor="_Toc501444826" w:history="1">
            <w:r w:rsidR="00EC1DA6" w:rsidRPr="00904560">
              <w:rPr>
                <w:rStyle w:val="Hyperlink"/>
              </w:rPr>
              <w:t>KPI 1 – Regulators do not unnecessarily impede the efficient operation of foreign investors</w:t>
            </w:r>
            <w:r w:rsidR="00EC1DA6">
              <w:rPr>
                <w:webHidden/>
              </w:rPr>
              <w:tab/>
            </w:r>
            <w:r w:rsidR="00EC1DA6">
              <w:rPr>
                <w:webHidden/>
              </w:rPr>
              <w:fldChar w:fldCharType="begin"/>
            </w:r>
            <w:r w:rsidR="00EC1DA6">
              <w:rPr>
                <w:webHidden/>
              </w:rPr>
              <w:instrText xml:space="preserve"> PAGEREF _Toc501444826 \h </w:instrText>
            </w:r>
            <w:r w:rsidR="00EC1DA6">
              <w:rPr>
                <w:webHidden/>
              </w:rPr>
            </w:r>
            <w:r w:rsidR="00EC1DA6">
              <w:rPr>
                <w:webHidden/>
              </w:rPr>
              <w:fldChar w:fldCharType="separate"/>
            </w:r>
            <w:r w:rsidR="00EC1DA6">
              <w:rPr>
                <w:webHidden/>
              </w:rPr>
              <w:t>3</w:t>
            </w:r>
            <w:r w:rsidR="00EC1DA6">
              <w:rPr>
                <w:webHidden/>
              </w:rPr>
              <w:fldChar w:fldCharType="end"/>
            </w:r>
          </w:hyperlink>
        </w:p>
        <w:p w14:paraId="1E030FD5" w14:textId="77777777" w:rsidR="00EC1DA6" w:rsidRDefault="002973EC">
          <w:pPr>
            <w:pStyle w:val="TOC2"/>
            <w:rPr>
              <w:rFonts w:asciiTheme="minorHAnsi" w:eastAsiaTheme="minorEastAsia" w:hAnsiTheme="minorHAnsi" w:cstheme="minorBidi"/>
              <w:szCs w:val="22"/>
            </w:rPr>
          </w:pPr>
          <w:hyperlink w:anchor="_Toc501444827" w:history="1">
            <w:r w:rsidR="00EC1DA6" w:rsidRPr="00904560">
              <w:rPr>
                <w:rStyle w:val="Hyperlink"/>
              </w:rPr>
              <w:t>KPI 2 – Communication with foreign investors is clear, targeted and effective</w:t>
            </w:r>
            <w:r w:rsidR="00EC1DA6">
              <w:rPr>
                <w:webHidden/>
              </w:rPr>
              <w:tab/>
            </w:r>
            <w:r w:rsidR="00EC1DA6">
              <w:rPr>
                <w:webHidden/>
              </w:rPr>
              <w:fldChar w:fldCharType="begin"/>
            </w:r>
            <w:r w:rsidR="00EC1DA6">
              <w:rPr>
                <w:webHidden/>
              </w:rPr>
              <w:instrText xml:space="preserve"> PAGEREF _Toc501444827 \h </w:instrText>
            </w:r>
            <w:r w:rsidR="00EC1DA6">
              <w:rPr>
                <w:webHidden/>
              </w:rPr>
            </w:r>
            <w:r w:rsidR="00EC1DA6">
              <w:rPr>
                <w:webHidden/>
              </w:rPr>
              <w:fldChar w:fldCharType="separate"/>
            </w:r>
            <w:r w:rsidR="00EC1DA6">
              <w:rPr>
                <w:webHidden/>
              </w:rPr>
              <w:t>3</w:t>
            </w:r>
            <w:r w:rsidR="00EC1DA6">
              <w:rPr>
                <w:webHidden/>
              </w:rPr>
              <w:fldChar w:fldCharType="end"/>
            </w:r>
          </w:hyperlink>
        </w:p>
        <w:p w14:paraId="76831154" w14:textId="77777777" w:rsidR="00EC1DA6" w:rsidRDefault="002973EC">
          <w:pPr>
            <w:pStyle w:val="TOC2"/>
            <w:rPr>
              <w:rFonts w:asciiTheme="minorHAnsi" w:eastAsiaTheme="minorEastAsia" w:hAnsiTheme="minorHAnsi" w:cstheme="minorBidi"/>
              <w:szCs w:val="22"/>
            </w:rPr>
          </w:pPr>
          <w:hyperlink w:anchor="_Toc501444828" w:history="1">
            <w:r w:rsidR="00EC1DA6" w:rsidRPr="00904560">
              <w:rPr>
                <w:rStyle w:val="Hyperlink"/>
              </w:rPr>
              <w:t>KPI 3 – Actions undertaken by regulators are proportionate to the regulatory risk being managed</w:t>
            </w:r>
            <w:r w:rsidR="00EC1DA6">
              <w:rPr>
                <w:webHidden/>
              </w:rPr>
              <w:tab/>
            </w:r>
            <w:r w:rsidR="00EC1DA6">
              <w:rPr>
                <w:webHidden/>
              </w:rPr>
              <w:fldChar w:fldCharType="begin"/>
            </w:r>
            <w:r w:rsidR="00EC1DA6">
              <w:rPr>
                <w:webHidden/>
              </w:rPr>
              <w:instrText xml:space="preserve"> PAGEREF _Toc501444828 \h </w:instrText>
            </w:r>
            <w:r w:rsidR="00EC1DA6">
              <w:rPr>
                <w:webHidden/>
              </w:rPr>
            </w:r>
            <w:r w:rsidR="00EC1DA6">
              <w:rPr>
                <w:webHidden/>
              </w:rPr>
              <w:fldChar w:fldCharType="separate"/>
            </w:r>
            <w:r w:rsidR="00EC1DA6">
              <w:rPr>
                <w:webHidden/>
              </w:rPr>
              <w:t>3</w:t>
            </w:r>
            <w:r w:rsidR="00EC1DA6">
              <w:rPr>
                <w:webHidden/>
              </w:rPr>
              <w:fldChar w:fldCharType="end"/>
            </w:r>
          </w:hyperlink>
        </w:p>
        <w:p w14:paraId="1D3CB123" w14:textId="77777777" w:rsidR="00EC1DA6" w:rsidRDefault="002973EC">
          <w:pPr>
            <w:pStyle w:val="TOC2"/>
            <w:rPr>
              <w:rFonts w:asciiTheme="minorHAnsi" w:eastAsiaTheme="minorEastAsia" w:hAnsiTheme="minorHAnsi" w:cstheme="minorBidi"/>
              <w:szCs w:val="22"/>
            </w:rPr>
          </w:pPr>
          <w:hyperlink w:anchor="_Toc501444829" w:history="1">
            <w:r w:rsidR="00EC1DA6" w:rsidRPr="00904560">
              <w:rPr>
                <w:rStyle w:val="Hyperlink"/>
              </w:rPr>
              <w:t>KPI 4 – Compliance and monitoring approaches are streamlined and coordinated</w:t>
            </w:r>
            <w:r w:rsidR="00EC1DA6">
              <w:rPr>
                <w:webHidden/>
              </w:rPr>
              <w:tab/>
            </w:r>
            <w:r w:rsidR="00EC1DA6">
              <w:rPr>
                <w:webHidden/>
              </w:rPr>
              <w:fldChar w:fldCharType="begin"/>
            </w:r>
            <w:r w:rsidR="00EC1DA6">
              <w:rPr>
                <w:webHidden/>
              </w:rPr>
              <w:instrText xml:space="preserve"> PAGEREF _Toc501444829 \h </w:instrText>
            </w:r>
            <w:r w:rsidR="00EC1DA6">
              <w:rPr>
                <w:webHidden/>
              </w:rPr>
            </w:r>
            <w:r w:rsidR="00EC1DA6">
              <w:rPr>
                <w:webHidden/>
              </w:rPr>
              <w:fldChar w:fldCharType="separate"/>
            </w:r>
            <w:r w:rsidR="00EC1DA6">
              <w:rPr>
                <w:webHidden/>
              </w:rPr>
              <w:t>3</w:t>
            </w:r>
            <w:r w:rsidR="00EC1DA6">
              <w:rPr>
                <w:webHidden/>
              </w:rPr>
              <w:fldChar w:fldCharType="end"/>
            </w:r>
          </w:hyperlink>
        </w:p>
        <w:p w14:paraId="3C645BAA" w14:textId="77777777" w:rsidR="00EC1DA6" w:rsidRDefault="002973EC">
          <w:pPr>
            <w:pStyle w:val="TOC2"/>
            <w:rPr>
              <w:rFonts w:asciiTheme="minorHAnsi" w:eastAsiaTheme="minorEastAsia" w:hAnsiTheme="minorHAnsi" w:cstheme="minorBidi"/>
              <w:szCs w:val="22"/>
            </w:rPr>
          </w:pPr>
          <w:hyperlink w:anchor="_Toc501444830" w:history="1">
            <w:r w:rsidR="00EC1DA6" w:rsidRPr="00904560">
              <w:rPr>
                <w:rStyle w:val="Hyperlink"/>
              </w:rPr>
              <w:t>KPI 5 – Regulators are open and transparent in their dealings with foreign investors</w:t>
            </w:r>
            <w:r w:rsidR="00EC1DA6">
              <w:rPr>
                <w:webHidden/>
              </w:rPr>
              <w:tab/>
            </w:r>
            <w:r w:rsidR="00EC1DA6">
              <w:rPr>
                <w:webHidden/>
              </w:rPr>
              <w:fldChar w:fldCharType="begin"/>
            </w:r>
            <w:r w:rsidR="00EC1DA6">
              <w:rPr>
                <w:webHidden/>
              </w:rPr>
              <w:instrText xml:space="preserve"> PAGEREF _Toc501444830 \h </w:instrText>
            </w:r>
            <w:r w:rsidR="00EC1DA6">
              <w:rPr>
                <w:webHidden/>
              </w:rPr>
            </w:r>
            <w:r w:rsidR="00EC1DA6">
              <w:rPr>
                <w:webHidden/>
              </w:rPr>
              <w:fldChar w:fldCharType="separate"/>
            </w:r>
            <w:r w:rsidR="00EC1DA6">
              <w:rPr>
                <w:webHidden/>
              </w:rPr>
              <w:t>3</w:t>
            </w:r>
            <w:r w:rsidR="00EC1DA6">
              <w:rPr>
                <w:webHidden/>
              </w:rPr>
              <w:fldChar w:fldCharType="end"/>
            </w:r>
          </w:hyperlink>
        </w:p>
        <w:p w14:paraId="711D5B53" w14:textId="77777777" w:rsidR="00EC1DA6" w:rsidRDefault="002973EC">
          <w:pPr>
            <w:pStyle w:val="TOC2"/>
            <w:rPr>
              <w:rFonts w:asciiTheme="minorHAnsi" w:eastAsiaTheme="minorEastAsia" w:hAnsiTheme="minorHAnsi" w:cstheme="minorBidi"/>
              <w:szCs w:val="22"/>
            </w:rPr>
          </w:pPr>
          <w:hyperlink w:anchor="_Toc501444831" w:history="1">
            <w:r w:rsidR="00EC1DA6" w:rsidRPr="00904560">
              <w:rPr>
                <w:rStyle w:val="Hyperlink"/>
              </w:rPr>
              <w:t>KPI 6 – Regulators actively contribute to the continuous improvement of regulatory frameworks</w:t>
            </w:r>
            <w:r w:rsidR="00EC1DA6">
              <w:rPr>
                <w:webHidden/>
              </w:rPr>
              <w:tab/>
            </w:r>
            <w:r w:rsidR="00EC1DA6">
              <w:rPr>
                <w:webHidden/>
              </w:rPr>
              <w:fldChar w:fldCharType="begin"/>
            </w:r>
            <w:r w:rsidR="00EC1DA6">
              <w:rPr>
                <w:webHidden/>
              </w:rPr>
              <w:instrText xml:space="preserve"> PAGEREF _Toc501444831 \h </w:instrText>
            </w:r>
            <w:r w:rsidR="00EC1DA6">
              <w:rPr>
                <w:webHidden/>
              </w:rPr>
            </w:r>
            <w:r w:rsidR="00EC1DA6">
              <w:rPr>
                <w:webHidden/>
              </w:rPr>
              <w:fldChar w:fldCharType="separate"/>
            </w:r>
            <w:r w:rsidR="00EC1DA6">
              <w:rPr>
                <w:webHidden/>
              </w:rPr>
              <w:t>3</w:t>
            </w:r>
            <w:r w:rsidR="00EC1DA6">
              <w:rPr>
                <w:webHidden/>
              </w:rPr>
              <w:fldChar w:fldCharType="end"/>
            </w:r>
          </w:hyperlink>
        </w:p>
        <w:p w14:paraId="0E4585CD" w14:textId="77777777" w:rsidR="00EC1DA6" w:rsidRDefault="002973EC">
          <w:pPr>
            <w:pStyle w:val="TOC2"/>
            <w:rPr>
              <w:rFonts w:asciiTheme="minorHAnsi" w:eastAsiaTheme="minorEastAsia" w:hAnsiTheme="minorHAnsi" w:cstheme="minorBidi"/>
              <w:szCs w:val="22"/>
            </w:rPr>
          </w:pPr>
          <w:hyperlink w:anchor="_Toc501444832" w:history="1">
            <w:r w:rsidR="00EC1DA6" w:rsidRPr="00904560">
              <w:rPr>
                <w:rStyle w:val="Hyperlink"/>
              </w:rPr>
              <w:t>Previous Focus Areas</w:t>
            </w:r>
            <w:r w:rsidR="00EC1DA6">
              <w:rPr>
                <w:webHidden/>
              </w:rPr>
              <w:tab/>
            </w:r>
            <w:r w:rsidR="00EC1DA6">
              <w:rPr>
                <w:webHidden/>
              </w:rPr>
              <w:fldChar w:fldCharType="begin"/>
            </w:r>
            <w:r w:rsidR="00EC1DA6">
              <w:rPr>
                <w:webHidden/>
              </w:rPr>
              <w:instrText xml:space="preserve"> PAGEREF _Toc501444832 \h </w:instrText>
            </w:r>
            <w:r w:rsidR="00EC1DA6">
              <w:rPr>
                <w:webHidden/>
              </w:rPr>
            </w:r>
            <w:r w:rsidR="00EC1DA6">
              <w:rPr>
                <w:webHidden/>
              </w:rPr>
              <w:fldChar w:fldCharType="separate"/>
            </w:r>
            <w:r w:rsidR="00EC1DA6">
              <w:rPr>
                <w:webHidden/>
              </w:rPr>
              <w:t>3</w:t>
            </w:r>
            <w:r w:rsidR="00EC1DA6">
              <w:rPr>
                <w:webHidden/>
              </w:rPr>
              <w:fldChar w:fldCharType="end"/>
            </w:r>
          </w:hyperlink>
        </w:p>
        <w:p w14:paraId="1C2ACCB0" w14:textId="77777777" w:rsidR="00EC1DA6" w:rsidRDefault="002973EC">
          <w:pPr>
            <w:pStyle w:val="TOC2"/>
            <w:rPr>
              <w:rFonts w:asciiTheme="minorHAnsi" w:eastAsiaTheme="minorEastAsia" w:hAnsiTheme="minorHAnsi" w:cstheme="minorBidi"/>
              <w:szCs w:val="22"/>
            </w:rPr>
          </w:pPr>
          <w:hyperlink w:anchor="_Toc501444833" w:history="1">
            <w:r w:rsidR="00EC1DA6" w:rsidRPr="00904560">
              <w:rPr>
                <w:rStyle w:val="Hyperlink"/>
              </w:rPr>
              <w:t>Future Focus Areas</w:t>
            </w:r>
            <w:r w:rsidR="00EC1DA6">
              <w:rPr>
                <w:webHidden/>
              </w:rPr>
              <w:tab/>
            </w:r>
            <w:r w:rsidR="00EC1DA6">
              <w:rPr>
                <w:webHidden/>
              </w:rPr>
              <w:fldChar w:fldCharType="begin"/>
            </w:r>
            <w:r w:rsidR="00EC1DA6">
              <w:rPr>
                <w:webHidden/>
              </w:rPr>
              <w:instrText xml:space="preserve"> PAGEREF _Toc501444833 \h </w:instrText>
            </w:r>
            <w:r w:rsidR="00EC1DA6">
              <w:rPr>
                <w:webHidden/>
              </w:rPr>
            </w:r>
            <w:r w:rsidR="00EC1DA6">
              <w:rPr>
                <w:webHidden/>
              </w:rPr>
              <w:fldChar w:fldCharType="separate"/>
            </w:r>
            <w:r w:rsidR="00EC1DA6">
              <w:rPr>
                <w:webHidden/>
              </w:rPr>
              <w:t>3</w:t>
            </w:r>
            <w:r w:rsidR="00EC1DA6">
              <w:rPr>
                <w:webHidden/>
              </w:rPr>
              <w:fldChar w:fldCharType="end"/>
            </w:r>
          </w:hyperlink>
        </w:p>
        <w:p w14:paraId="30FB2CCB" w14:textId="77777777" w:rsidR="00EC1DA6" w:rsidRDefault="002973EC">
          <w:pPr>
            <w:pStyle w:val="TOC1"/>
            <w:rPr>
              <w:rFonts w:asciiTheme="minorHAnsi" w:eastAsiaTheme="minorEastAsia" w:hAnsiTheme="minorHAnsi" w:cstheme="minorBidi"/>
              <w:b w:val="0"/>
              <w:caps w:val="0"/>
              <w:noProof/>
              <w:color w:val="auto"/>
              <w:sz w:val="22"/>
            </w:rPr>
          </w:pPr>
          <w:hyperlink w:anchor="_Toc501444834" w:history="1">
            <w:r w:rsidR="00EC1DA6" w:rsidRPr="00904560">
              <w:rPr>
                <w:rStyle w:val="Hyperlink"/>
                <w:noProof/>
              </w:rPr>
              <w:t>Appendix A – Quantitative data</w:t>
            </w:r>
            <w:r w:rsidR="00EC1DA6">
              <w:rPr>
                <w:noProof/>
                <w:webHidden/>
              </w:rPr>
              <w:tab/>
            </w:r>
            <w:r w:rsidR="00EC1DA6">
              <w:rPr>
                <w:noProof/>
                <w:webHidden/>
              </w:rPr>
              <w:fldChar w:fldCharType="begin"/>
            </w:r>
            <w:r w:rsidR="00EC1DA6">
              <w:rPr>
                <w:noProof/>
                <w:webHidden/>
              </w:rPr>
              <w:instrText xml:space="preserve"> PAGEREF _Toc501444834 \h </w:instrText>
            </w:r>
            <w:r w:rsidR="00EC1DA6">
              <w:rPr>
                <w:noProof/>
                <w:webHidden/>
              </w:rPr>
            </w:r>
            <w:r w:rsidR="00EC1DA6">
              <w:rPr>
                <w:noProof/>
                <w:webHidden/>
              </w:rPr>
              <w:fldChar w:fldCharType="separate"/>
            </w:r>
            <w:r w:rsidR="00EC1DA6">
              <w:rPr>
                <w:noProof/>
                <w:webHidden/>
              </w:rPr>
              <w:t>10</w:t>
            </w:r>
            <w:r w:rsidR="00EC1DA6">
              <w:rPr>
                <w:noProof/>
                <w:webHidden/>
              </w:rPr>
              <w:fldChar w:fldCharType="end"/>
            </w:r>
          </w:hyperlink>
        </w:p>
        <w:p w14:paraId="2EF22BB5" w14:textId="77777777" w:rsidR="00EC1DA6" w:rsidRDefault="002973EC">
          <w:pPr>
            <w:pStyle w:val="TOC1"/>
            <w:rPr>
              <w:rFonts w:asciiTheme="minorHAnsi" w:eastAsiaTheme="minorEastAsia" w:hAnsiTheme="minorHAnsi" w:cstheme="minorBidi"/>
              <w:b w:val="0"/>
              <w:caps w:val="0"/>
              <w:noProof/>
              <w:color w:val="auto"/>
              <w:sz w:val="22"/>
            </w:rPr>
          </w:pPr>
          <w:hyperlink w:anchor="_Toc501444835" w:history="1">
            <w:r w:rsidR="00EC1DA6" w:rsidRPr="00904560">
              <w:rPr>
                <w:rStyle w:val="Hyperlink"/>
                <w:noProof/>
              </w:rPr>
              <w:t>Appendix B – External validation of the FIRB’S self-assessment</w:t>
            </w:r>
            <w:r w:rsidR="00EC1DA6">
              <w:rPr>
                <w:noProof/>
                <w:webHidden/>
              </w:rPr>
              <w:tab/>
            </w:r>
            <w:r w:rsidR="00EC1DA6">
              <w:rPr>
                <w:noProof/>
                <w:webHidden/>
              </w:rPr>
              <w:fldChar w:fldCharType="begin"/>
            </w:r>
            <w:r w:rsidR="00EC1DA6">
              <w:rPr>
                <w:noProof/>
                <w:webHidden/>
              </w:rPr>
              <w:instrText xml:space="preserve"> PAGEREF _Toc501444835 \h </w:instrText>
            </w:r>
            <w:r w:rsidR="00EC1DA6">
              <w:rPr>
                <w:noProof/>
                <w:webHidden/>
              </w:rPr>
            </w:r>
            <w:r w:rsidR="00EC1DA6">
              <w:rPr>
                <w:noProof/>
                <w:webHidden/>
              </w:rPr>
              <w:fldChar w:fldCharType="separate"/>
            </w:r>
            <w:r w:rsidR="00EC1DA6">
              <w:rPr>
                <w:noProof/>
                <w:webHidden/>
              </w:rPr>
              <w:t>11</w:t>
            </w:r>
            <w:r w:rsidR="00EC1DA6">
              <w:rPr>
                <w:noProof/>
                <w:webHidden/>
              </w:rPr>
              <w:fldChar w:fldCharType="end"/>
            </w:r>
          </w:hyperlink>
        </w:p>
        <w:p w14:paraId="05B25485" w14:textId="45C269F2" w:rsidR="00F6105D" w:rsidRDefault="00F6105D" w:rsidP="00F6105D">
          <w:r>
            <w:rPr>
              <w:b/>
              <w:bCs/>
              <w:noProof/>
            </w:rPr>
            <w:fldChar w:fldCharType="end"/>
          </w:r>
        </w:p>
      </w:sdtContent>
    </w:sdt>
    <w:p w14:paraId="7E68B419" w14:textId="77777777" w:rsidR="000C630D" w:rsidRPr="000C630D" w:rsidRDefault="000C630D" w:rsidP="000C630D"/>
    <w:p w14:paraId="11D22DED" w14:textId="77777777" w:rsidR="000C630D" w:rsidRPr="000C630D" w:rsidRDefault="000C630D" w:rsidP="000C630D"/>
    <w:p w14:paraId="3DDABDE2" w14:textId="77777777" w:rsidR="000C630D" w:rsidRDefault="000C630D">
      <w:pPr>
        <w:spacing w:after="200" w:line="276" w:lineRule="auto"/>
        <w:jc w:val="left"/>
      </w:pPr>
    </w:p>
    <w:p w14:paraId="45ECBFD5" w14:textId="77777777" w:rsidR="00F3163E" w:rsidRDefault="00F3163E">
      <w:pPr>
        <w:spacing w:after="200" w:line="276" w:lineRule="auto"/>
        <w:jc w:val="left"/>
        <w:sectPr w:rsidR="00F3163E" w:rsidSect="00F3163E">
          <w:headerReference w:type="even" r:id="rId29"/>
          <w:headerReference w:type="default" r:id="rId30"/>
          <w:footerReference w:type="even" r:id="rId31"/>
          <w:footerReference w:type="default" r:id="rId32"/>
          <w:headerReference w:type="first" r:id="rId33"/>
          <w:footerReference w:type="first" r:id="rId34"/>
          <w:pgSz w:w="11906" w:h="16838" w:code="277"/>
          <w:pgMar w:top="1440" w:right="1440" w:bottom="1440" w:left="1440" w:header="851" w:footer="851" w:gutter="0"/>
          <w:pgNumType w:start="1"/>
          <w:cols w:space="708"/>
          <w:titlePg/>
          <w:docGrid w:linePitch="360"/>
        </w:sectPr>
      </w:pPr>
    </w:p>
    <w:p w14:paraId="382EE09A" w14:textId="3A080551" w:rsidR="00F6105D" w:rsidRDefault="00F3163E" w:rsidP="00F6105D">
      <w:pPr>
        <w:pStyle w:val="Heading1"/>
      </w:pPr>
      <w:bookmarkStart w:id="17" w:name="_Toc501444822"/>
      <w:r>
        <w:t>I</w:t>
      </w:r>
      <w:r w:rsidR="00F6105D">
        <w:t>ntroduction</w:t>
      </w:r>
      <w:bookmarkEnd w:id="17"/>
    </w:p>
    <w:p w14:paraId="6991B644" w14:textId="5312E623" w:rsidR="00B96517" w:rsidRDefault="00B96517" w:rsidP="00D42CDA">
      <w:r w:rsidRPr="00237196">
        <w:t>The Government</w:t>
      </w:r>
      <w:r w:rsidR="00744C8A">
        <w:t>’s</w:t>
      </w:r>
      <w:r w:rsidR="00B060FC">
        <w:t xml:space="preserve"> </w:t>
      </w:r>
      <w:r w:rsidRPr="00237196">
        <w:t xml:space="preserve">Regulator Performance Framework </w:t>
      </w:r>
      <w:r w:rsidR="001D3302">
        <w:t xml:space="preserve">(the Framework) </w:t>
      </w:r>
      <w:r>
        <w:t xml:space="preserve">is a key part of </w:t>
      </w:r>
      <w:r w:rsidR="00744C8A">
        <w:t>its</w:t>
      </w:r>
      <w:r w:rsidR="00B060FC">
        <w:t xml:space="preserve"> </w:t>
      </w:r>
      <w:r w:rsidR="00A534E5">
        <w:t>Regulatory Reform Agenda</w:t>
      </w:r>
      <w:r>
        <w:t>.</w:t>
      </w:r>
    </w:p>
    <w:p w14:paraId="160A4C49" w14:textId="77777777" w:rsidR="006B64CF" w:rsidRDefault="00744C8A" w:rsidP="00D42CDA">
      <w:r>
        <w:t>Treasury’s Foreign Investment Division (FID) and the Australian Taxation Office (ATO) are responsible for implementing Australia’s foreign investment legislation.</w:t>
      </w:r>
      <w:r w:rsidR="0082572E">
        <w:t xml:space="preserve"> </w:t>
      </w:r>
      <w:r w:rsidR="00774850" w:rsidRPr="00437595">
        <w:t>The</w:t>
      </w:r>
      <w:r w:rsidR="00AE76BF" w:rsidRPr="00437595">
        <w:t xml:space="preserve"> Foreign Investment Review Board (</w:t>
      </w:r>
      <w:r w:rsidR="008227C6" w:rsidRPr="00437595">
        <w:t xml:space="preserve">the </w:t>
      </w:r>
      <w:r w:rsidR="00763303">
        <w:t>FIRB</w:t>
      </w:r>
      <w:r w:rsidR="00AE76BF" w:rsidRPr="00437595">
        <w:t>)</w:t>
      </w:r>
      <w:r w:rsidR="001D3302" w:rsidRPr="00437595">
        <w:t xml:space="preserve"> is </w:t>
      </w:r>
      <w:r w:rsidR="008227C6" w:rsidRPr="00437595">
        <w:t>a non-statutory body established to advise the Treasurer and the Government on foreign investment matters</w:t>
      </w:r>
      <w:r>
        <w:t>, including the application of the foreign investment legislation</w:t>
      </w:r>
      <w:r w:rsidR="008F1818">
        <w:t xml:space="preserve"> </w:t>
      </w:r>
      <w:r>
        <w:t>to particular investment proposals</w:t>
      </w:r>
      <w:r w:rsidR="008227C6">
        <w:t xml:space="preserve">. </w:t>
      </w:r>
      <w:r w:rsidR="00074967">
        <w:t>For simplicity, the foreign investment framework is often re</w:t>
      </w:r>
      <w:r w:rsidR="008F1818">
        <w:t>ferred to as the ‘FIRB process</w:t>
      </w:r>
      <w:r w:rsidR="00074967">
        <w:t xml:space="preserve">’ and the Treasury and ATO referred to as </w:t>
      </w:r>
      <w:r w:rsidR="008F1818">
        <w:t>‘</w:t>
      </w:r>
      <w:r w:rsidR="00074967">
        <w:t>FIRB agencies</w:t>
      </w:r>
      <w:r w:rsidR="008F1818">
        <w:t>’</w:t>
      </w:r>
      <w:r w:rsidR="00B060FC">
        <w:t>.</w:t>
      </w:r>
    </w:p>
    <w:p w14:paraId="241D507B" w14:textId="77777777" w:rsidR="00437595" w:rsidRDefault="00437595" w:rsidP="00D42CDA">
      <w:r>
        <w:t xml:space="preserve">The Framework establishes </w:t>
      </w:r>
      <w:r w:rsidR="000B28DE">
        <w:t xml:space="preserve">a </w:t>
      </w:r>
      <w:r>
        <w:t xml:space="preserve">set of six key performance indicators (KPIs) </w:t>
      </w:r>
      <w:r w:rsidR="000B28DE">
        <w:t>as follows:</w:t>
      </w:r>
    </w:p>
    <w:p w14:paraId="13A54EDC" w14:textId="77777777" w:rsidR="00437595" w:rsidRPr="00D42CDA" w:rsidRDefault="00437595" w:rsidP="00D42CDA">
      <w:pPr>
        <w:pStyle w:val="OutlineNumbered1"/>
      </w:pPr>
      <w:r w:rsidRPr="00D42CDA">
        <w:t>Regulators do not unnecessarily impede the efficient operation of regulated entities;</w:t>
      </w:r>
    </w:p>
    <w:p w14:paraId="47CF0F09" w14:textId="77777777" w:rsidR="00437595" w:rsidRPr="00D42CDA" w:rsidRDefault="00437595" w:rsidP="00D42CDA">
      <w:pPr>
        <w:pStyle w:val="OutlineNumbered1"/>
      </w:pPr>
      <w:r w:rsidRPr="00D42CDA">
        <w:t>Communication with regulated entities is clear, targeted and effective;</w:t>
      </w:r>
    </w:p>
    <w:p w14:paraId="6D80A030" w14:textId="77777777" w:rsidR="00437595" w:rsidRPr="00D42CDA" w:rsidRDefault="00437595" w:rsidP="00D42CDA">
      <w:pPr>
        <w:pStyle w:val="OutlineNumbered1"/>
      </w:pPr>
      <w:r w:rsidRPr="00D42CDA">
        <w:t>Actions undertaken by regulators are proportionate to the regulatory risk being managed;</w:t>
      </w:r>
    </w:p>
    <w:p w14:paraId="7A8E3C0F" w14:textId="77777777" w:rsidR="00437595" w:rsidRPr="00D42CDA" w:rsidRDefault="00437595" w:rsidP="00D42CDA">
      <w:pPr>
        <w:pStyle w:val="OutlineNumbered1"/>
      </w:pPr>
      <w:r w:rsidRPr="00D42CDA">
        <w:t>Compliance and monitoring approaches are streamlined and coordinated;</w:t>
      </w:r>
    </w:p>
    <w:p w14:paraId="3DA2F792" w14:textId="77777777" w:rsidR="00437595" w:rsidRPr="00D42CDA" w:rsidRDefault="00437595" w:rsidP="00D42CDA">
      <w:pPr>
        <w:pStyle w:val="OutlineNumbered1"/>
      </w:pPr>
      <w:r w:rsidRPr="00D42CDA">
        <w:t>Regulators are open and transparent in their dealings with regulated entities; and</w:t>
      </w:r>
    </w:p>
    <w:p w14:paraId="30007A13" w14:textId="77777777" w:rsidR="00437595" w:rsidRPr="00D42CDA" w:rsidRDefault="00437595" w:rsidP="00D42CDA">
      <w:pPr>
        <w:pStyle w:val="OutlineNumbered1"/>
      </w:pPr>
      <w:r w:rsidRPr="00D42CDA">
        <w:t>Regulators actively contribute to the continuous improvement of regulatory frameworks.</w:t>
      </w:r>
    </w:p>
    <w:p w14:paraId="1D58032C" w14:textId="77777777" w:rsidR="00ED6F9E" w:rsidRDefault="0000321F" w:rsidP="00D42CDA">
      <w:r w:rsidRPr="0000321F">
        <w:t>T</w:t>
      </w:r>
      <w:r w:rsidR="00ED6F9E" w:rsidRPr="0000321F">
        <w:t xml:space="preserve">he performance </w:t>
      </w:r>
      <w:r w:rsidR="00074967">
        <w:t xml:space="preserve">of </w:t>
      </w:r>
      <w:r w:rsidR="00DA3946">
        <w:t xml:space="preserve">FIRB agencies </w:t>
      </w:r>
      <w:r w:rsidRPr="0000321F">
        <w:t>is</w:t>
      </w:r>
      <w:r w:rsidR="00ED6F9E" w:rsidRPr="0000321F">
        <w:t xml:space="preserve"> assessed annually through externally validated</w:t>
      </w:r>
      <w:r w:rsidR="00775B9B">
        <w:br/>
      </w:r>
      <w:r w:rsidR="00ED6F9E" w:rsidRPr="0000321F">
        <w:t>self-as</w:t>
      </w:r>
      <w:r w:rsidRPr="0000321F">
        <w:t>sessments</w:t>
      </w:r>
      <w:r w:rsidR="00420226">
        <w:t>.</w:t>
      </w:r>
      <w:r w:rsidR="008227C6">
        <w:t xml:space="preserve"> T</w:t>
      </w:r>
      <w:r w:rsidRPr="0000321F">
        <w:t xml:space="preserve">he </w:t>
      </w:r>
      <w:r w:rsidR="008227C6">
        <w:t xml:space="preserve">inaugural </w:t>
      </w:r>
      <w:r w:rsidRPr="0000321F">
        <w:t>report</w:t>
      </w:r>
      <w:r w:rsidR="00C91C54">
        <w:t xml:space="preserve"> </w:t>
      </w:r>
      <w:r w:rsidRPr="0000321F">
        <w:t xml:space="preserve">covering </w:t>
      </w:r>
      <w:r w:rsidR="008227C6">
        <w:t>financial year 2015-16 is</w:t>
      </w:r>
      <w:r>
        <w:t xml:space="preserve"> available on the </w:t>
      </w:r>
      <w:r w:rsidR="00907D81">
        <w:t>FIRB</w:t>
      </w:r>
      <w:r>
        <w:t xml:space="preserve"> website</w:t>
      </w:r>
      <w:r w:rsidRPr="0000321F">
        <w:t>.</w:t>
      </w:r>
    </w:p>
    <w:p w14:paraId="547E6169" w14:textId="77777777" w:rsidR="00A37C50" w:rsidRPr="00AE76BF" w:rsidRDefault="00A37C50" w:rsidP="00D42CDA">
      <w:pPr>
        <w:rPr>
          <w:rFonts w:ascii="Arial" w:hAnsi="Arial" w:cs="Arial"/>
        </w:rPr>
      </w:pPr>
      <w:r w:rsidRPr="0000321F">
        <w:t xml:space="preserve">The Framework encourages regulators to minimise the regulatory burden created through their administration of regulation. </w:t>
      </w:r>
      <w:r w:rsidR="00ED6F9E" w:rsidRPr="0000321F">
        <w:t>It is focussed on the administration, monitoring and enforcement of regulation, not the setting of policy.</w:t>
      </w:r>
      <w:r w:rsidR="007F72CC">
        <w:t xml:space="preserve"> </w:t>
      </w:r>
      <w:r w:rsidR="00EE123D">
        <w:t>FID and the</w:t>
      </w:r>
      <w:r w:rsidR="009B6311">
        <w:t xml:space="preserve"> </w:t>
      </w:r>
      <w:r w:rsidR="007F72CC">
        <w:t>FIRB do</w:t>
      </w:r>
      <w:r w:rsidR="009B6311">
        <w:t xml:space="preserve"> </w:t>
      </w:r>
      <w:r w:rsidR="007F72CC">
        <w:t>however provide input on policy development and on the broader issues associated with the foreign investment regime.</w:t>
      </w:r>
    </w:p>
    <w:p w14:paraId="0F6BDC5A" w14:textId="77777777" w:rsidR="003B11B2" w:rsidRDefault="000B28DE" w:rsidP="00D42CDA">
      <w:r>
        <w:t>T</w:t>
      </w:r>
      <w:r w:rsidR="00A37C50" w:rsidRPr="0000321F">
        <w:t xml:space="preserve">he established </w:t>
      </w:r>
      <w:r w:rsidR="00ED6F9E" w:rsidRPr="0000321F">
        <w:t>Treasurer-approved metrics f</w:t>
      </w:r>
      <w:r w:rsidR="006855A8" w:rsidRPr="0000321F">
        <w:t>o</w:t>
      </w:r>
      <w:r w:rsidR="00ED6F9E" w:rsidRPr="0000321F">
        <w:t xml:space="preserve">r each KPI </w:t>
      </w:r>
      <w:r>
        <w:t>is</w:t>
      </w:r>
      <w:r w:rsidR="00A37C50" w:rsidRPr="0000321F">
        <w:t xml:space="preserve"> a base from which the annual assessment of </w:t>
      </w:r>
      <w:r w:rsidR="008B6750" w:rsidRPr="0000321F">
        <w:t xml:space="preserve">performance </w:t>
      </w:r>
      <w:r>
        <w:t>is determined</w:t>
      </w:r>
      <w:r w:rsidR="008B6750" w:rsidRPr="0000321F">
        <w:t>.</w:t>
      </w:r>
      <w:r>
        <w:t xml:space="preserve"> </w:t>
      </w:r>
      <w:r w:rsidR="0091756E" w:rsidRPr="0000321F">
        <w:t xml:space="preserve">Many of the metrics appear in </w:t>
      </w:r>
      <w:r w:rsidR="008D115C">
        <w:t xml:space="preserve">several </w:t>
      </w:r>
      <w:r w:rsidR="0091756E" w:rsidRPr="0000321F">
        <w:t>measure</w:t>
      </w:r>
      <w:r w:rsidR="008D115C">
        <w:t>s</w:t>
      </w:r>
      <w:r w:rsidR="0091756E" w:rsidRPr="0000321F">
        <w:t xml:space="preserve"> and KPI</w:t>
      </w:r>
      <w:r w:rsidR="008D115C">
        <w:t>s</w:t>
      </w:r>
      <w:r w:rsidR="0091756E" w:rsidRPr="0000321F">
        <w:t>. To avoid repetition</w:t>
      </w:r>
      <w:r w:rsidR="008D115C">
        <w:t>,</w:t>
      </w:r>
      <w:r w:rsidR="0091756E" w:rsidRPr="0000321F">
        <w:t xml:space="preserve"> metrics that </w:t>
      </w:r>
      <w:r w:rsidR="008D115C">
        <w:t>appear multiple times</w:t>
      </w:r>
      <w:r w:rsidR="0091756E" w:rsidRPr="0000321F">
        <w:t xml:space="preserve"> are not addressed </w:t>
      </w:r>
      <w:r w:rsidR="008D115C">
        <w:t>against</w:t>
      </w:r>
      <w:r w:rsidR="008D115C" w:rsidRPr="0000321F">
        <w:t xml:space="preserve"> </w:t>
      </w:r>
      <w:r w:rsidR="0091756E" w:rsidRPr="0000321F">
        <w:t>every KPI.</w:t>
      </w:r>
    </w:p>
    <w:p w14:paraId="37F12F0E" w14:textId="77777777" w:rsidR="00C63B92" w:rsidRDefault="00C63B92" w:rsidP="00775B9B">
      <w:pPr>
        <w:pStyle w:val="Heading2"/>
      </w:pPr>
      <w:bookmarkStart w:id="18" w:name="_Toc501444823"/>
      <w:r w:rsidRPr="00D42CDA">
        <w:t>Methodology</w:t>
      </w:r>
      <w:bookmarkEnd w:id="18"/>
    </w:p>
    <w:p w14:paraId="3AA6F511" w14:textId="77777777" w:rsidR="00106DFA" w:rsidRDefault="00106DFA" w:rsidP="00D42CDA">
      <w:r w:rsidRPr="0000321F">
        <w:t xml:space="preserve">Members of the </w:t>
      </w:r>
      <w:r w:rsidR="00B5752E">
        <w:t xml:space="preserve">Foreign Investment </w:t>
      </w:r>
      <w:r w:rsidRPr="0000321F">
        <w:t>Committee</w:t>
      </w:r>
      <w:r w:rsidR="00B5752E">
        <w:t xml:space="preserve"> of the Law Council of Australia (the Committee)</w:t>
      </w:r>
      <w:r w:rsidRPr="0000321F">
        <w:t xml:space="preserve">, along with other organisations that interact with the </w:t>
      </w:r>
      <w:r w:rsidR="00DA3946">
        <w:t>foreign investment framework</w:t>
      </w:r>
      <w:r w:rsidR="00DA3946" w:rsidRPr="0000321F">
        <w:t xml:space="preserve"> </w:t>
      </w:r>
      <w:r w:rsidRPr="0000321F">
        <w:t xml:space="preserve">on a regular basis, were </w:t>
      </w:r>
      <w:r>
        <w:t>consulted</w:t>
      </w:r>
      <w:r w:rsidRPr="0000321F">
        <w:t xml:space="preserve"> </w:t>
      </w:r>
      <w:r>
        <w:t xml:space="preserve">on </w:t>
      </w:r>
      <w:r w:rsidR="00B5752E">
        <w:t xml:space="preserve">the </w:t>
      </w:r>
      <w:r w:rsidRPr="0000321F">
        <w:t xml:space="preserve">performance </w:t>
      </w:r>
      <w:r w:rsidR="00B5752E">
        <w:t xml:space="preserve">of FIRB agencies </w:t>
      </w:r>
      <w:r w:rsidRPr="0000321F">
        <w:t xml:space="preserve">as </w:t>
      </w:r>
      <w:r w:rsidR="00B5752E">
        <w:t>r</w:t>
      </w:r>
      <w:r w:rsidRPr="0000321F">
        <w:t>egulator</w:t>
      </w:r>
      <w:r w:rsidR="00B5752E">
        <w:t>s</w:t>
      </w:r>
      <w:r w:rsidRPr="0000321F">
        <w:t xml:space="preserve"> to inform this assessment and to determine areas of focus for the coming year.</w:t>
      </w:r>
    </w:p>
    <w:p w14:paraId="321463DE" w14:textId="77777777" w:rsidR="00775B9B" w:rsidRDefault="00775B9B">
      <w:pPr>
        <w:spacing w:after="200" w:line="276" w:lineRule="auto"/>
        <w:jc w:val="left"/>
      </w:pPr>
      <w:r>
        <w:br w:type="page"/>
      </w:r>
    </w:p>
    <w:p w14:paraId="53481B8E" w14:textId="77777777" w:rsidR="00C63B92" w:rsidRDefault="00C63B92" w:rsidP="00D42CDA">
      <w:r>
        <w:t>Th</w:t>
      </w:r>
      <w:r w:rsidR="00B5752E">
        <w:t>is</w:t>
      </w:r>
      <w:r>
        <w:t xml:space="preserve"> </w:t>
      </w:r>
      <w:r w:rsidRPr="00C63B92">
        <w:t xml:space="preserve">self-assessment </w:t>
      </w:r>
      <w:r>
        <w:t>draws on a range of</w:t>
      </w:r>
      <w:r w:rsidRPr="00C63B92">
        <w:t xml:space="preserve"> quantified </w:t>
      </w:r>
      <w:r>
        <w:t>statistical analysis</w:t>
      </w:r>
      <w:r w:rsidR="003B75C3">
        <w:t xml:space="preserve"> and annual survey feedback</w:t>
      </w:r>
      <w:r w:rsidR="003B75C3" w:rsidRPr="00C63B92">
        <w:t xml:space="preserve"> </w:t>
      </w:r>
      <w:r w:rsidR="003B75C3">
        <w:t>from</w:t>
      </w:r>
      <w:r w:rsidRPr="00C63B92">
        <w:t xml:space="preserve"> </w:t>
      </w:r>
      <w:r w:rsidR="003B75C3">
        <w:t xml:space="preserve">key stakeholders; </w:t>
      </w:r>
      <w:r w:rsidRPr="00C63B92">
        <w:t xml:space="preserve">complemented </w:t>
      </w:r>
      <w:r w:rsidR="00EE123D">
        <w:t>by</w:t>
      </w:r>
      <w:r w:rsidR="00F15AA1">
        <w:t xml:space="preserve"> </w:t>
      </w:r>
      <w:r w:rsidRPr="00C63B92">
        <w:t>qualitative information</w:t>
      </w:r>
      <w:r>
        <w:t xml:space="preserve"> to support evidence of</w:t>
      </w:r>
      <w:r w:rsidRPr="00C63B92">
        <w:t xml:space="preserve"> actions taken during the reporting period.</w:t>
      </w:r>
      <w:r w:rsidR="00E77559">
        <w:t xml:space="preserve"> In addition to ongoing stakeholder engagement and outreach activities, FIRB agencies invited feedback from the Committee and a range of key industry stakeholders through an annual survey</w:t>
      </w:r>
      <w:r w:rsidR="00B5752E">
        <w:t xml:space="preserve">. This was followed </w:t>
      </w:r>
      <w:r w:rsidR="00E77559">
        <w:t xml:space="preserve">by targeted </w:t>
      </w:r>
      <w:r w:rsidR="00B5752E">
        <w:t>discussions</w:t>
      </w:r>
      <w:r w:rsidR="00E77559">
        <w:t xml:space="preserve"> with respondents to info</w:t>
      </w:r>
      <w:r w:rsidR="00F15AA1">
        <w:t>rm the findings of this report.</w:t>
      </w:r>
    </w:p>
    <w:p w14:paraId="1056039C" w14:textId="77777777" w:rsidR="00EE123D" w:rsidRDefault="00C63B92" w:rsidP="00D42CDA">
      <w:r w:rsidRPr="00CB17AC">
        <w:t xml:space="preserve">It is important to note that the results </w:t>
      </w:r>
      <w:r>
        <w:t>detailed</w:t>
      </w:r>
      <w:r w:rsidRPr="00CB17AC">
        <w:t xml:space="preserve"> in </w:t>
      </w:r>
      <w:r w:rsidR="00EE123D">
        <w:t>this</w:t>
      </w:r>
      <w:r w:rsidRPr="00CB17AC">
        <w:t xml:space="preserve"> </w:t>
      </w:r>
      <w:r w:rsidR="00C31B32">
        <w:t>self-</w:t>
      </w:r>
      <w:r w:rsidRPr="00CB17AC">
        <w:t>assessment are not the sum total of achievements, but are used to illustrate performance claims.</w:t>
      </w:r>
    </w:p>
    <w:p w14:paraId="4ED53629" w14:textId="77777777" w:rsidR="00627C6D" w:rsidRPr="00D42CDA" w:rsidRDefault="00627C6D" w:rsidP="00775B9B">
      <w:pPr>
        <w:pStyle w:val="Heading2"/>
      </w:pPr>
      <w:bookmarkStart w:id="19" w:name="_Toc501444824"/>
      <w:r w:rsidRPr="00D42CDA">
        <w:t>Overview of 201</w:t>
      </w:r>
      <w:r w:rsidR="00035013" w:rsidRPr="00D42CDA">
        <w:t>6</w:t>
      </w:r>
      <w:r w:rsidR="007F1F73">
        <w:t>–</w:t>
      </w:r>
      <w:r w:rsidRPr="00D42CDA">
        <w:t>1</w:t>
      </w:r>
      <w:r w:rsidR="00035013" w:rsidRPr="00D42CDA">
        <w:t>7</w:t>
      </w:r>
      <w:bookmarkEnd w:id="19"/>
    </w:p>
    <w:p w14:paraId="648BAF77" w14:textId="77777777" w:rsidR="000F6D3D" w:rsidRPr="002351E3" w:rsidRDefault="000F6D3D" w:rsidP="00D42CDA">
      <w:r w:rsidRPr="002351E3">
        <w:t xml:space="preserve">During the reporting year the Government introduced </w:t>
      </w:r>
      <w:r w:rsidR="00B379FE">
        <w:t xml:space="preserve">regulatory </w:t>
      </w:r>
      <w:r w:rsidRPr="002351E3">
        <w:t xml:space="preserve">changes </w:t>
      </w:r>
      <w:r w:rsidR="00A016FF" w:rsidRPr="002351E3">
        <w:t xml:space="preserve">to </w:t>
      </w:r>
      <w:r w:rsidR="00206A5A">
        <w:t xml:space="preserve">clarify, simplify and </w:t>
      </w:r>
      <w:r w:rsidR="00A016FF" w:rsidRPr="002351E3">
        <w:t xml:space="preserve">further </w:t>
      </w:r>
      <w:r w:rsidRPr="002351E3">
        <w:t>strengthen Australia</w:t>
      </w:r>
      <w:r w:rsidR="002222CC">
        <w:t>’s foreign investment framework.</w:t>
      </w:r>
    </w:p>
    <w:p w14:paraId="5DD749A3" w14:textId="77777777" w:rsidR="00F16F65" w:rsidRPr="004534BB" w:rsidRDefault="004D41B6" w:rsidP="00D42CDA">
      <w:r w:rsidRPr="004534BB">
        <w:t>The</w:t>
      </w:r>
      <w:r w:rsidR="00B379FE">
        <w:t xml:space="preserve"> changes were announced in the 2017-18 Budget </w:t>
      </w:r>
      <w:r w:rsidR="00DE7347">
        <w:t xml:space="preserve">and </w:t>
      </w:r>
      <w:r w:rsidRPr="004534BB">
        <w:t>will make foreign investor obligations clearer and allow for more efficient allocation of screening resources</w:t>
      </w:r>
      <w:r w:rsidR="00944F44">
        <w:t>. In addition, the changes were designed to facilitate</w:t>
      </w:r>
      <w:r w:rsidRPr="004534BB">
        <w:t xml:space="preserve"> business investment and reduc</w:t>
      </w:r>
      <w:r w:rsidR="00944F44">
        <w:t>e</w:t>
      </w:r>
      <w:r w:rsidRPr="004534BB">
        <w:t xml:space="preserve"> unnecessary red tape. </w:t>
      </w:r>
      <w:r w:rsidR="00164301" w:rsidRPr="004534BB">
        <w:t>The changes include</w:t>
      </w:r>
      <w:r w:rsidRPr="004534BB">
        <w:t xml:space="preserve"> (but </w:t>
      </w:r>
      <w:r w:rsidR="002222CC">
        <w:t xml:space="preserve">are </w:t>
      </w:r>
      <w:r w:rsidRPr="004534BB">
        <w:t>not limited to)</w:t>
      </w:r>
      <w:r w:rsidR="002222CC">
        <w:t>:</w:t>
      </w:r>
    </w:p>
    <w:p w14:paraId="2730D127" w14:textId="77777777" w:rsidR="006D4DC1" w:rsidRPr="00D42CDA" w:rsidRDefault="006E0F46" w:rsidP="00D42CDA">
      <w:pPr>
        <w:pStyle w:val="Bullet"/>
      </w:pPr>
      <w:r>
        <w:t>i</w:t>
      </w:r>
      <w:r w:rsidR="006D4DC1" w:rsidRPr="00D42CDA">
        <w:t>mproving the treatment of residential applications by allowing failed off-the-plan purc</w:t>
      </w:r>
      <w:r w:rsidR="00A309A5" w:rsidRPr="00D42CDA">
        <w:t>hases to be considered as ‘new’;</w:t>
      </w:r>
    </w:p>
    <w:p w14:paraId="16D47DF7" w14:textId="77777777" w:rsidR="00206A5A" w:rsidRPr="00D42CDA" w:rsidRDefault="006E0F46" w:rsidP="00D42CDA">
      <w:pPr>
        <w:pStyle w:val="Bullet"/>
      </w:pPr>
      <w:r>
        <w:t>s</w:t>
      </w:r>
      <w:r w:rsidR="00206A5A" w:rsidRPr="00D42CDA">
        <w:t>treamlining and simplifying foreign investment business application fees, including legislating e</w:t>
      </w:r>
      <w:r w:rsidR="00A309A5" w:rsidRPr="00D42CDA">
        <w:t>xisting fee waiver arrangements; and</w:t>
      </w:r>
    </w:p>
    <w:p w14:paraId="70F13A6E" w14:textId="77777777" w:rsidR="004D41B6" w:rsidRPr="00D42CDA" w:rsidRDefault="006E0F46" w:rsidP="00D42CDA">
      <w:pPr>
        <w:pStyle w:val="Bullet"/>
      </w:pPr>
      <w:r>
        <w:t>i</w:t>
      </w:r>
      <w:r w:rsidR="00A309A5" w:rsidRPr="00D42CDA">
        <w:t>ntroducin</w:t>
      </w:r>
      <w:r w:rsidR="00135764" w:rsidRPr="00D42CDA">
        <w:t>g</w:t>
      </w:r>
      <w:r w:rsidR="00A309A5" w:rsidRPr="00D42CDA">
        <w:t xml:space="preserve"> new exemption certificates to streamline the processing of multiple transactions</w:t>
      </w:r>
      <w:r w:rsidR="004D41B6" w:rsidRPr="00D42CDA">
        <w:t>.</w:t>
      </w:r>
    </w:p>
    <w:p w14:paraId="715B75A9" w14:textId="77777777" w:rsidR="009747B9" w:rsidRDefault="008F1B9B" w:rsidP="00D42CDA">
      <w:r>
        <w:t xml:space="preserve">From </w:t>
      </w:r>
      <w:r>
        <w:rPr>
          <w:lang w:val="en-US"/>
        </w:rPr>
        <w:t>1 </w:t>
      </w:r>
      <w:r w:rsidRPr="008F1B9B">
        <w:rPr>
          <w:lang w:val="en-US"/>
        </w:rPr>
        <w:t>April 2017</w:t>
      </w:r>
      <w:r w:rsidR="00A365DA" w:rsidRPr="008F1B9B">
        <w:t xml:space="preserve">, </w:t>
      </w:r>
      <w:r w:rsidR="00080AC6">
        <w:t>Treasury</w:t>
      </w:r>
      <w:r w:rsidR="004D0F8A">
        <w:t>’s</w:t>
      </w:r>
      <w:r>
        <w:t xml:space="preserve"> </w:t>
      </w:r>
      <w:r w:rsidR="00A365DA" w:rsidRPr="008F1B9B">
        <w:t xml:space="preserve">responsibility for </w:t>
      </w:r>
      <w:r w:rsidRPr="008F1B9B">
        <w:t>screening</w:t>
      </w:r>
      <w:r w:rsidR="00A365DA" w:rsidRPr="008F1B9B">
        <w:t xml:space="preserve"> </w:t>
      </w:r>
      <w:r>
        <w:rPr>
          <w:lang w:val="en-US"/>
        </w:rPr>
        <w:t>certain</w:t>
      </w:r>
      <w:r w:rsidRPr="008F1B9B">
        <w:rPr>
          <w:lang w:val="en-US"/>
        </w:rPr>
        <w:t xml:space="preserve"> commercial real estate and internal reorganisation (restructure) applications </w:t>
      </w:r>
      <w:r w:rsidR="00C3027D">
        <w:rPr>
          <w:lang w:val="en-US"/>
        </w:rPr>
        <w:t xml:space="preserve">has been </w:t>
      </w:r>
      <w:r>
        <w:rPr>
          <w:lang w:val="en-US"/>
        </w:rPr>
        <w:t>undertaken by the ATO</w:t>
      </w:r>
      <w:r w:rsidR="00A365DA" w:rsidRPr="008F1B9B">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CBDBD38" w14:textId="77777777" w:rsidR="00DE7347" w:rsidRDefault="00DE7347" w:rsidP="00D42CDA">
      <w:r>
        <w:t>In January 2017, the Treasurer and Attorney-General</w:t>
      </w:r>
      <w:r w:rsidR="00FC430D">
        <w:t xml:space="preserve"> jointly</w:t>
      </w:r>
      <w:r>
        <w:t xml:space="preserve"> announced the establishment of the Critical Infrastructure Centre </w:t>
      </w:r>
      <w:r w:rsidR="00944F44">
        <w:t xml:space="preserve">(CIC) </w:t>
      </w:r>
      <w:r>
        <w:t>within the Attorney-General’s Department</w:t>
      </w:r>
      <w:r w:rsidR="00FC430D">
        <w:t xml:space="preserve">. The </w:t>
      </w:r>
      <w:r w:rsidR="00944F44">
        <w:t>CIC</w:t>
      </w:r>
      <w:r w:rsidR="00FC430D">
        <w:t xml:space="preserve"> complement</w:t>
      </w:r>
      <w:r w:rsidR="00944F44">
        <w:t>s</w:t>
      </w:r>
      <w:r w:rsidR="00FC430D">
        <w:t xml:space="preserve"> the foreign investment framework by delivering coordinated national security advice to support foreign investment decision making for sales of critical infrastructure assets</w:t>
      </w:r>
      <w:r w:rsidR="00944F44">
        <w:t>.</w:t>
      </w:r>
      <w:r w:rsidR="00FC430D">
        <w:t xml:space="preserve"> The </w:t>
      </w:r>
      <w:r w:rsidR="00944F44">
        <w:t>CIC</w:t>
      </w:r>
      <w:r w:rsidR="00FC430D">
        <w:t xml:space="preserve"> also support</w:t>
      </w:r>
      <w:r w:rsidR="00944F44">
        <w:t xml:space="preserve">s a </w:t>
      </w:r>
      <w:r w:rsidR="00FC430D">
        <w:t>proactive approach to assessing national security risks to critical infrastructure assets outside any sale process</w:t>
      </w:r>
      <w:r w:rsidR="00944F44">
        <w:t>. O</w:t>
      </w:r>
      <w:r w:rsidR="00FC430D">
        <w:t>ver</w:t>
      </w:r>
      <w:r w:rsidR="00080AC6">
        <w:t xml:space="preserve"> </w:t>
      </w:r>
      <w:r w:rsidR="00FC430D">
        <w:t>time</w:t>
      </w:r>
      <w:r w:rsidR="00944F44">
        <w:t>, this</w:t>
      </w:r>
      <w:r w:rsidR="00FC430D">
        <w:t xml:space="preserve"> will reduce the time required to assess national security risks through </w:t>
      </w:r>
      <w:r w:rsidR="00080AC6">
        <w:t xml:space="preserve">foreign investment screening </w:t>
      </w:r>
      <w:r w:rsidR="00FC430D">
        <w:t>processes.</w:t>
      </w:r>
    </w:p>
    <w:p w14:paraId="7610EBAD" w14:textId="77777777" w:rsidR="009747B9" w:rsidRDefault="00C3027D" w:rsidP="009747B9">
      <w:r>
        <w:t xml:space="preserve">In 2016-17, approximately 1500 residential and 1300 non-residential proposals were assessed under Australia’s foreign investment framework. Final figures will be published in the 2016-17 FIRB </w:t>
      </w:r>
      <w:r w:rsidR="0082572E">
        <w:t>A</w:t>
      </w:r>
      <w:r>
        <w:t xml:space="preserve">nnual </w:t>
      </w:r>
      <w:r w:rsidR="0082572E">
        <w:t>R</w:t>
      </w:r>
      <w:r>
        <w:t>eport. Foreign investment approvals data is based on investor intentions and doe</w:t>
      </w:r>
      <w:r w:rsidR="00F15AA1">
        <w:t>s not reflect actual purchases.</w:t>
      </w:r>
    </w:p>
    <w:p w14:paraId="43599537" w14:textId="77777777" w:rsidR="002C432E" w:rsidRDefault="002C432E" w:rsidP="002C432E"/>
    <w:p w14:paraId="5EBE43AF" w14:textId="77777777" w:rsidR="002C432E" w:rsidRPr="002C432E" w:rsidRDefault="002C432E" w:rsidP="002C432E">
      <w:pPr>
        <w:sectPr w:rsidR="002C432E" w:rsidRPr="002C432E" w:rsidSect="00F3163E">
          <w:footerReference w:type="first" r:id="rId35"/>
          <w:pgSz w:w="11906" w:h="16838" w:code="277"/>
          <w:pgMar w:top="1440" w:right="1440" w:bottom="1440" w:left="1440" w:header="851" w:footer="851" w:gutter="0"/>
          <w:pgNumType w:start="1"/>
          <w:cols w:space="708"/>
          <w:titlePg/>
          <w:docGrid w:linePitch="360"/>
        </w:sectPr>
      </w:pPr>
    </w:p>
    <w:p w14:paraId="44378636" w14:textId="77777777" w:rsidR="00230E5B" w:rsidRPr="00BA3D7B" w:rsidRDefault="00D07833" w:rsidP="00775B9B">
      <w:pPr>
        <w:pStyle w:val="Heading1"/>
      </w:pPr>
      <w:bookmarkStart w:id="20" w:name="_Toc501444825"/>
      <w:r w:rsidRPr="00BA3D7B">
        <w:t xml:space="preserve">Assessment </w:t>
      </w:r>
      <w:r w:rsidR="001D68F8" w:rsidRPr="00BA3D7B">
        <w:t>a</w:t>
      </w:r>
      <w:r w:rsidRPr="00BA3D7B">
        <w:t xml:space="preserve">gainst </w:t>
      </w:r>
      <w:r w:rsidR="00A104B5" w:rsidRPr="00BA3D7B">
        <w:t>K</w:t>
      </w:r>
      <w:r w:rsidRPr="00BA3D7B">
        <w:t>ey Performance Indicators</w:t>
      </w:r>
      <w:bookmarkEnd w:id="20"/>
    </w:p>
    <w:p w14:paraId="2124A634" w14:textId="77777777" w:rsidR="00AA6DA9" w:rsidRPr="00BA3D7B" w:rsidRDefault="00AA6DA9" w:rsidP="002C432E">
      <w:pPr>
        <w:pStyle w:val="Heading2"/>
      </w:pPr>
      <w:bookmarkStart w:id="21" w:name="_Toc501444826"/>
      <w:r w:rsidRPr="00BA3D7B">
        <w:t>KPI 1 – Regulators do not unnecessarily impede the efficient operation of foreign investors</w:t>
      </w:r>
      <w:bookmarkEnd w:id="21"/>
    </w:p>
    <w:tbl>
      <w:tblPr>
        <w:tblW w:w="9021" w:type="dxa"/>
        <w:tblInd w:w="108" w:type="dxa"/>
        <w:tblLook w:val="04A0" w:firstRow="1" w:lastRow="0" w:firstColumn="1" w:lastColumn="0" w:noHBand="0" w:noVBand="1"/>
      </w:tblPr>
      <w:tblGrid>
        <w:gridCol w:w="3782"/>
        <w:gridCol w:w="5239"/>
      </w:tblGrid>
      <w:tr w:rsidR="00EC04DD" w14:paraId="2ABAF323" w14:textId="77777777" w:rsidTr="00BA3D7B">
        <w:tc>
          <w:tcPr>
            <w:tcW w:w="3804" w:type="dxa"/>
            <w:tcBorders>
              <w:top w:val="single" w:sz="2" w:space="0" w:color="1F497D" w:themeColor="text2"/>
              <w:bottom w:val="single" w:sz="2" w:space="0" w:color="1F497D" w:themeColor="text2"/>
            </w:tcBorders>
            <w:shd w:val="clear" w:color="auto" w:fill="DBE5F1" w:themeFill="accent1" w:themeFillTint="33"/>
          </w:tcPr>
          <w:p w14:paraId="1608D18A" w14:textId="77777777" w:rsidR="00067902" w:rsidRDefault="00067902" w:rsidP="002C432E">
            <w:pPr>
              <w:pStyle w:val="TableColumnHeadingLeft"/>
            </w:pPr>
            <w:r w:rsidRPr="006A2A84">
              <w:t>Measures of good regulatory performance</w:t>
            </w:r>
          </w:p>
        </w:tc>
        <w:tc>
          <w:tcPr>
            <w:tcW w:w="5272" w:type="dxa"/>
            <w:tcBorders>
              <w:top w:val="single" w:sz="2" w:space="0" w:color="1F497D" w:themeColor="text2"/>
              <w:bottom w:val="single" w:sz="2" w:space="0" w:color="1F497D" w:themeColor="text2"/>
            </w:tcBorders>
            <w:shd w:val="clear" w:color="auto" w:fill="DBE5F1" w:themeFill="accent1" w:themeFillTint="33"/>
          </w:tcPr>
          <w:p w14:paraId="6B5B5AE5" w14:textId="77777777" w:rsidR="00067902" w:rsidRDefault="00067902" w:rsidP="002C432E">
            <w:pPr>
              <w:pStyle w:val="TableColumnHeadingLeft"/>
            </w:pPr>
            <w:r w:rsidRPr="006A2A84">
              <w:t>Activity-based evidence and metrics</w:t>
            </w:r>
          </w:p>
        </w:tc>
      </w:tr>
      <w:tr w:rsidR="00067902" w:rsidRPr="002C19BD" w14:paraId="1FF5289F" w14:textId="77777777" w:rsidTr="00BA3D7B">
        <w:tc>
          <w:tcPr>
            <w:tcW w:w="3804" w:type="dxa"/>
            <w:tcBorders>
              <w:top w:val="single" w:sz="2" w:space="0" w:color="1F497D" w:themeColor="text2"/>
            </w:tcBorders>
            <w:shd w:val="clear" w:color="auto" w:fill="F2F2F2" w:themeFill="background1" w:themeFillShade="F2"/>
          </w:tcPr>
          <w:p w14:paraId="610E476D" w14:textId="77777777" w:rsidR="00067902" w:rsidRPr="00D42CDA" w:rsidRDefault="00067902" w:rsidP="00D42CDA">
            <w:pPr>
              <w:pStyle w:val="TableTextLeft"/>
            </w:pPr>
            <w:r w:rsidRPr="00D42CDA">
              <w:t>Demonstrate an understanding of the operating environment of the industry or organisation, or the circumstances of individuals and the current and emerging issues that affect the sector.</w:t>
            </w:r>
          </w:p>
        </w:tc>
        <w:tc>
          <w:tcPr>
            <w:tcW w:w="5272" w:type="dxa"/>
            <w:tcBorders>
              <w:top w:val="single" w:sz="2" w:space="0" w:color="1F497D" w:themeColor="text2"/>
            </w:tcBorders>
            <w:shd w:val="clear" w:color="auto" w:fill="F2F2F2" w:themeFill="background1" w:themeFillShade="F2"/>
          </w:tcPr>
          <w:p w14:paraId="7BD705E6" w14:textId="77777777" w:rsidR="002C19BD" w:rsidRPr="00D42CDA" w:rsidRDefault="002C19BD" w:rsidP="00D42CDA">
            <w:pPr>
              <w:pStyle w:val="TableTextBullet"/>
            </w:pPr>
            <w:r w:rsidRPr="00D42CDA">
              <w:t>Regular, ongoing consultations or engagement with stakeholders on policies and processes to be undertaken, including industry associations:</w:t>
            </w:r>
          </w:p>
          <w:p w14:paraId="030A3894" w14:textId="77777777" w:rsidR="002C19BD" w:rsidRPr="00D42CDA" w:rsidRDefault="002C19BD" w:rsidP="00D42CDA">
            <w:pPr>
              <w:pStyle w:val="TableTextDash"/>
            </w:pPr>
            <w:r w:rsidRPr="00D42CDA">
              <w:t>Number of FIRB information sessions.</w:t>
            </w:r>
          </w:p>
          <w:p w14:paraId="3A292829" w14:textId="77777777" w:rsidR="002C19BD" w:rsidRPr="002C19BD" w:rsidRDefault="002C19BD" w:rsidP="002C19BD">
            <w:pPr>
              <w:pStyle w:val="TableTextDash"/>
            </w:pPr>
            <w:r w:rsidRPr="002C19BD">
              <w:t>Number of meetings with industry associations.</w:t>
            </w:r>
          </w:p>
          <w:p w14:paraId="57F66EAF" w14:textId="77777777" w:rsidR="002C19BD" w:rsidRPr="002C19BD" w:rsidRDefault="002C19BD" w:rsidP="002C19BD">
            <w:pPr>
              <w:pStyle w:val="TableTextDash"/>
            </w:pPr>
            <w:r w:rsidRPr="002C19BD">
              <w:t>Number of meetings with government agencies.</w:t>
            </w:r>
          </w:p>
          <w:p w14:paraId="24010C7D" w14:textId="77777777" w:rsidR="002C19BD" w:rsidRPr="002C19BD" w:rsidRDefault="002C19BD" w:rsidP="002C19BD">
            <w:pPr>
              <w:pStyle w:val="TableTextBullet"/>
            </w:pPr>
            <w:r w:rsidRPr="002C19BD">
              <w:t>Reporting will include a qualitative assessment of stakeholder satisfaction with these consultations.</w:t>
            </w:r>
          </w:p>
          <w:p w14:paraId="5748D3E0" w14:textId="77777777" w:rsidR="00067902" w:rsidRPr="002C19BD" w:rsidRDefault="002C19BD" w:rsidP="002C19BD">
            <w:pPr>
              <w:pStyle w:val="TableTextBullet"/>
            </w:pPr>
            <w:r w:rsidRPr="002C19BD">
              <w:t>Have in place processes and regularly monitor to ensure the confidentiality of information provided by applicants.</w:t>
            </w:r>
          </w:p>
        </w:tc>
      </w:tr>
      <w:tr w:rsidR="00067902" w:rsidRPr="002C19BD" w14:paraId="19F7D9EF" w14:textId="77777777" w:rsidTr="00BA3D7B">
        <w:tc>
          <w:tcPr>
            <w:tcW w:w="3804" w:type="dxa"/>
          </w:tcPr>
          <w:p w14:paraId="1B2412FD" w14:textId="77777777" w:rsidR="00067902" w:rsidRPr="002C19BD" w:rsidRDefault="002C19BD" w:rsidP="002C19BD">
            <w:pPr>
              <w:pStyle w:val="TableTextLeft"/>
            </w:pPr>
            <w:r w:rsidRPr="002C19BD">
              <w:t>Minimise the potential for unintended negative impacts of regulatory activities on foreign investors.</w:t>
            </w:r>
          </w:p>
        </w:tc>
        <w:tc>
          <w:tcPr>
            <w:tcW w:w="5272" w:type="dxa"/>
          </w:tcPr>
          <w:p w14:paraId="51F9225D" w14:textId="77777777" w:rsidR="002C19BD" w:rsidRPr="002C19BD" w:rsidRDefault="002C19BD" w:rsidP="002C19BD">
            <w:pPr>
              <w:pStyle w:val="TableTextBullet"/>
            </w:pPr>
            <w:r w:rsidRPr="002C19BD">
              <w:t>Incorporate feedback from stakeholders into our processes.</w:t>
            </w:r>
          </w:p>
          <w:p w14:paraId="5DA83B4D" w14:textId="77777777" w:rsidR="00067902" w:rsidRPr="002C19BD" w:rsidRDefault="002C19BD" w:rsidP="002C19BD">
            <w:pPr>
              <w:pStyle w:val="TableTextBullet"/>
            </w:pPr>
            <w:r w:rsidRPr="002C19BD">
              <w:t>Seek feedback on processes from other Government agencies and how this impacts on the FIRB processes.</w:t>
            </w:r>
          </w:p>
        </w:tc>
      </w:tr>
      <w:tr w:rsidR="00067902" w:rsidRPr="002C19BD" w14:paraId="5DF0938C" w14:textId="77777777" w:rsidTr="00BA3D7B">
        <w:tc>
          <w:tcPr>
            <w:tcW w:w="3804" w:type="dxa"/>
            <w:tcBorders>
              <w:bottom w:val="single" w:sz="2" w:space="0" w:color="1F497D" w:themeColor="text2"/>
            </w:tcBorders>
            <w:shd w:val="clear" w:color="auto" w:fill="F2F2F2" w:themeFill="background1" w:themeFillShade="F2"/>
          </w:tcPr>
          <w:p w14:paraId="54705AF3" w14:textId="77777777" w:rsidR="00067902" w:rsidRPr="002C19BD" w:rsidRDefault="002C19BD" w:rsidP="002C19BD">
            <w:pPr>
              <w:pStyle w:val="TableTextLeft"/>
            </w:pPr>
            <w:r w:rsidRPr="002C19BD">
              <w:t>Implement continuous improvement strategies to reduce the costs of compliance for foreign investors.</w:t>
            </w:r>
          </w:p>
        </w:tc>
        <w:tc>
          <w:tcPr>
            <w:tcW w:w="5272" w:type="dxa"/>
            <w:tcBorders>
              <w:bottom w:val="single" w:sz="2" w:space="0" w:color="1F497D" w:themeColor="text2"/>
            </w:tcBorders>
            <w:shd w:val="clear" w:color="auto" w:fill="F2F2F2" w:themeFill="background1" w:themeFillShade="F2"/>
          </w:tcPr>
          <w:p w14:paraId="755DEDCC" w14:textId="77777777" w:rsidR="002C19BD" w:rsidRPr="002C19BD" w:rsidRDefault="002C19BD" w:rsidP="002C19BD">
            <w:pPr>
              <w:pStyle w:val="TableTextBullet"/>
            </w:pPr>
            <w:r w:rsidRPr="002C19BD">
              <w:t>A qualitative assessment on processes will be undertaken and appropriate changes made to processes.</w:t>
            </w:r>
          </w:p>
          <w:p w14:paraId="2F789CED" w14:textId="77777777" w:rsidR="002C19BD" w:rsidRPr="002C19BD" w:rsidRDefault="002C19BD" w:rsidP="002C19BD">
            <w:pPr>
              <w:pStyle w:val="TableTextBullet"/>
            </w:pPr>
            <w:r w:rsidRPr="002C19BD">
              <w:t>Ensure a consistent and commercially neutral approach to reviewing applications</w:t>
            </w:r>
            <w:r w:rsidR="00422472">
              <w:t>:</w:t>
            </w:r>
          </w:p>
          <w:p w14:paraId="412906A4" w14:textId="77777777" w:rsidR="00067902" w:rsidRPr="002C19BD" w:rsidRDefault="002C19BD" w:rsidP="002C19BD">
            <w:pPr>
              <w:pStyle w:val="TableTextDash"/>
            </w:pPr>
            <w:r w:rsidRPr="002C19BD">
              <w:t>An internal manual is available to staff which provides guidance on reviewing applications consistently and on a commercially neutral basis.</w:t>
            </w:r>
          </w:p>
        </w:tc>
      </w:tr>
    </w:tbl>
    <w:p w14:paraId="7159571F" w14:textId="77777777" w:rsidR="00853B2B" w:rsidRDefault="005D1E70" w:rsidP="00F15AA1">
      <w:pPr>
        <w:spacing w:before="240"/>
      </w:pPr>
      <w:r>
        <w:t xml:space="preserve">The </w:t>
      </w:r>
      <w:r w:rsidR="004A69BF">
        <w:t>FIRB</w:t>
      </w:r>
      <w:r w:rsidR="00080AC6">
        <w:t xml:space="preserve"> agencies </w:t>
      </w:r>
      <w:r w:rsidR="00853B2B" w:rsidRPr="006F5528">
        <w:t>hold regular sessions with stakeholders ranging from individuals to peak bodies, industry advisors and government agencies. These sessions allow the FIRB</w:t>
      </w:r>
      <w:r w:rsidR="00080AC6">
        <w:t xml:space="preserve"> agencies</w:t>
      </w:r>
      <w:r w:rsidR="00853B2B" w:rsidRPr="006F5528">
        <w:t xml:space="preserve"> to provide advice on the foreign investment framework</w:t>
      </w:r>
      <w:r w:rsidR="00BE5370">
        <w:t>, seek input on proposed legislative and policy changes</w:t>
      </w:r>
      <w:r w:rsidR="00853B2B" w:rsidRPr="006F5528">
        <w:t xml:space="preserve"> </w:t>
      </w:r>
      <w:r w:rsidR="00BE5370">
        <w:t>and</w:t>
      </w:r>
      <w:r w:rsidR="00853B2B" w:rsidRPr="006F5528">
        <w:t xml:space="preserve"> receive feedback on its role as a regulator</w:t>
      </w:r>
      <w:r w:rsidR="00FF4864">
        <w:t>. N</w:t>
      </w:r>
      <w:r w:rsidR="00FF4864" w:rsidRPr="00814622">
        <w:t xml:space="preserve">umber of sessions </w:t>
      </w:r>
      <w:r w:rsidR="00FF4864" w:rsidRPr="006F5528">
        <w:t>held</w:t>
      </w:r>
      <w:r w:rsidR="00422472" w:rsidRPr="00814622">
        <w:t> </w:t>
      </w:r>
      <w:r w:rsidR="00FF4864">
        <w:t>(Appendix A)</w:t>
      </w:r>
      <w:r w:rsidR="00853B2B" w:rsidRPr="006F5528">
        <w:t>.</w:t>
      </w:r>
    </w:p>
    <w:p w14:paraId="0B70245F" w14:textId="77777777" w:rsidR="00313CA5" w:rsidRPr="0073679B" w:rsidRDefault="00313CA5" w:rsidP="00313CA5">
      <w:r w:rsidRPr="0073679B">
        <w:t xml:space="preserve">The amount of consultation </w:t>
      </w:r>
      <w:r w:rsidR="002222CC">
        <w:t>increased</w:t>
      </w:r>
      <w:r w:rsidRPr="0073679B">
        <w:t xml:space="preserve"> during the reporting period</w:t>
      </w:r>
      <w:r w:rsidR="00643522" w:rsidRPr="0073679B">
        <w:t>.</w:t>
      </w:r>
      <w:r w:rsidRPr="0073679B">
        <w:t xml:space="preserve"> </w:t>
      </w:r>
      <w:r w:rsidR="00F070FD" w:rsidRPr="0073679B">
        <w:t>The m</w:t>
      </w:r>
      <w:r w:rsidRPr="0073679B">
        <w:t>ajority of survey respondents report</w:t>
      </w:r>
      <w:r w:rsidR="00643522" w:rsidRPr="0073679B">
        <w:t>ed</w:t>
      </w:r>
      <w:r w:rsidR="00CE194D" w:rsidRPr="0073679B">
        <w:t xml:space="preserve"> </w:t>
      </w:r>
      <w:r w:rsidRPr="0073679B">
        <w:t>that there was enough consultation while more than half rated the quality of consultation as high or very high with the remainder rating it as acceptable.</w:t>
      </w:r>
    </w:p>
    <w:p w14:paraId="57BC3852" w14:textId="77777777" w:rsidR="00EC1DA6" w:rsidRDefault="00EC1DA6" w:rsidP="007E78AA">
      <w:pPr>
        <w:pStyle w:val="Bullet"/>
        <w:numPr>
          <w:ilvl w:val="0"/>
          <w:numId w:val="0"/>
        </w:numPr>
        <w:rPr>
          <w:b/>
          <w:bCs/>
        </w:rPr>
      </w:pPr>
    </w:p>
    <w:p w14:paraId="242B9EAC" w14:textId="77777777" w:rsidR="00EC1DA6" w:rsidRDefault="00EC1DA6" w:rsidP="007E78AA">
      <w:pPr>
        <w:pStyle w:val="Bullet"/>
        <w:numPr>
          <w:ilvl w:val="0"/>
          <w:numId w:val="0"/>
        </w:numPr>
        <w:rPr>
          <w:b/>
          <w:bCs/>
        </w:rPr>
        <w:sectPr w:rsidR="00EC1DA6" w:rsidSect="00F3163E">
          <w:headerReference w:type="even" r:id="rId36"/>
          <w:headerReference w:type="default" r:id="rId37"/>
          <w:footerReference w:type="even" r:id="rId38"/>
          <w:footerReference w:type="default" r:id="rId39"/>
          <w:headerReference w:type="first" r:id="rId40"/>
          <w:footerReference w:type="first" r:id="rId41"/>
          <w:pgSz w:w="11906" w:h="16838" w:code="277"/>
          <w:pgMar w:top="1440" w:right="1440" w:bottom="1440" w:left="1440" w:header="851" w:footer="851" w:gutter="0"/>
          <w:cols w:space="708"/>
          <w:docGrid w:linePitch="360"/>
        </w:sectPr>
      </w:pPr>
    </w:p>
    <w:p w14:paraId="1332E850" w14:textId="77777777" w:rsidR="00AF78FC" w:rsidRPr="00B630B7" w:rsidRDefault="00AA6DA9" w:rsidP="002C432E">
      <w:pPr>
        <w:pStyle w:val="Heading2"/>
      </w:pPr>
      <w:bookmarkStart w:id="22" w:name="_Toc501444827"/>
      <w:r w:rsidRPr="006C4E40">
        <w:t>KPI 2 – Communication with foreign investors is clear, targeted and effective</w:t>
      </w:r>
      <w:bookmarkEnd w:id="22"/>
    </w:p>
    <w:tbl>
      <w:tblPr>
        <w:tblW w:w="9021" w:type="dxa"/>
        <w:tblInd w:w="108" w:type="dxa"/>
        <w:tblLook w:val="04A0" w:firstRow="1" w:lastRow="0" w:firstColumn="1" w:lastColumn="0" w:noHBand="0" w:noVBand="1"/>
      </w:tblPr>
      <w:tblGrid>
        <w:gridCol w:w="3782"/>
        <w:gridCol w:w="5239"/>
      </w:tblGrid>
      <w:tr w:rsidR="00B630B7" w14:paraId="5DB50541" w14:textId="77777777" w:rsidTr="00BA3D7B">
        <w:tc>
          <w:tcPr>
            <w:tcW w:w="3804" w:type="dxa"/>
            <w:tcBorders>
              <w:top w:val="single" w:sz="2" w:space="0" w:color="1F497D" w:themeColor="text2"/>
              <w:bottom w:val="single" w:sz="2" w:space="0" w:color="1F497D" w:themeColor="text2"/>
            </w:tcBorders>
            <w:shd w:val="clear" w:color="auto" w:fill="DBE5F1" w:themeFill="accent1" w:themeFillTint="33"/>
          </w:tcPr>
          <w:p w14:paraId="2306F9E4" w14:textId="77777777" w:rsidR="00B630B7" w:rsidRDefault="00B630B7" w:rsidP="002C432E">
            <w:pPr>
              <w:pStyle w:val="TableColumnHeadingLeft"/>
            </w:pPr>
            <w:r w:rsidRPr="006A2A84">
              <w:t>Measures of good regulatory performance</w:t>
            </w:r>
          </w:p>
        </w:tc>
        <w:tc>
          <w:tcPr>
            <w:tcW w:w="5272" w:type="dxa"/>
            <w:tcBorders>
              <w:top w:val="single" w:sz="2" w:space="0" w:color="1F497D" w:themeColor="text2"/>
              <w:bottom w:val="single" w:sz="2" w:space="0" w:color="1F497D" w:themeColor="text2"/>
            </w:tcBorders>
            <w:shd w:val="clear" w:color="auto" w:fill="DBE5F1" w:themeFill="accent1" w:themeFillTint="33"/>
          </w:tcPr>
          <w:p w14:paraId="5DAD557A" w14:textId="77777777" w:rsidR="00B630B7" w:rsidRDefault="00B630B7" w:rsidP="002C432E">
            <w:pPr>
              <w:pStyle w:val="TableColumnHeadingLeft"/>
            </w:pPr>
            <w:r w:rsidRPr="006A2A84">
              <w:t>Activity-based evidence and metrics</w:t>
            </w:r>
          </w:p>
        </w:tc>
      </w:tr>
      <w:tr w:rsidR="00B630B7" w14:paraId="064F4F6C" w14:textId="77777777" w:rsidTr="00BA3D7B">
        <w:tc>
          <w:tcPr>
            <w:tcW w:w="3804" w:type="dxa"/>
            <w:shd w:val="clear" w:color="auto" w:fill="F2F2F2" w:themeFill="background1" w:themeFillShade="F2"/>
          </w:tcPr>
          <w:p w14:paraId="049789F3" w14:textId="77777777" w:rsidR="00B630B7" w:rsidRPr="006A2A84" w:rsidRDefault="00B630B7" w:rsidP="00B630B7">
            <w:pPr>
              <w:pStyle w:val="TableTextLeft"/>
            </w:pPr>
            <w:r w:rsidRPr="006A2A84">
              <w:t>Provide guidance and information that is up to date, clear, accessible and concise through media appropriate to the target audience.</w:t>
            </w:r>
          </w:p>
        </w:tc>
        <w:tc>
          <w:tcPr>
            <w:tcW w:w="5272" w:type="dxa"/>
            <w:shd w:val="clear" w:color="auto" w:fill="F2F2F2" w:themeFill="background1" w:themeFillShade="F2"/>
          </w:tcPr>
          <w:p w14:paraId="4493E201" w14:textId="77777777" w:rsidR="00B630B7" w:rsidRPr="006A2A84" w:rsidRDefault="00B630B7" w:rsidP="00B630B7">
            <w:pPr>
              <w:pStyle w:val="TableTextLeft"/>
            </w:pPr>
            <w:r w:rsidRPr="006A2A84">
              <w:t>Information on the website is clear, accessible and up to date.</w:t>
            </w:r>
          </w:p>
          <w:p w14:paraId="78521913" w14:textId="77777777" w:rsidR="00B630B7" w:rsidRPr="006A2A84" w:rsidRDefault="00B630B7" w:rsidP="00B630B7">
            <w:pPr>
              <w:pStyle w:val="TableTextBullet"/>
            </w:pPr>
            <w:r w:rsidRPr="006A2A84">
              <w:t>Where possible, the FIRB website conforms to the Government’s accessibility guidelines and web content is aligned across ATO, FIRB and other relevant government agencies.</w:t>
            </w:r>
          </w:p>
          <w:p w14:paraId="0098F082" w14:textId="77777777" w:rsidR="00B630B7" w:rsidRPr="006A2A84" w:rsidRDefault="00B630B7" w:rsidP="00B630B7">
            <w:pPr>
              <w:pStyle w:val="TableTextBullet"/>
            </w:pPr>
            <w:r w:rsidRPr="006A2A84">
              <w:t>A qualitative assessment will be made on the clarity and timing of the website publication.</w:t>
            </w:r>
          </w:p>
        </w:tc>
      </w:tr>
      <w:tr w:rsidR="00B630B7" w14:paraId="5AA304F1" w14:textId="77777777" w:rsidTr="00BA3D7B">
        <w:tc>
          <w:tcPr>
            <w:tcW w:w="3804" w:type="dxa"/>
          </w:tcPr>
          <w:p w14:paraId="2BA68B73" w14:textId="77777777" w:rsidR="00B630B7" w:rsidRPr="006A2A84" w:rsidRDefault="00B630B7" w:rsidP="00B630B7">
            <w:pPr>
              <w:pStyle w:val="TableTextLeft"/>
            </w:pPr>
            <w:r w:rsidRPr="003B11B2">
              <w:t>Consider the impact on foreign investors and engage with industry groups and representatives of the affected stakeholders before changing policies, practices or service standards.</w:t>
            </w:r>
          </w:p>
        </w:tc>
        <w:tc>
          <w:tcPr>
            <w:tcW w:w="5272" w:type="dxa"/>
          </w:tcPr>
          <w:p w14:paraId="2F407602" w14:textId="77777777" w:rsidR="00B630B7" w:rsidRPr="00FA314F" w:rsidRDefault="00B630B7" w:rsidP="00B630B7">
            <w:pPr>
              <w:pStyle w:val="TableTextBullet"/>
            </w:pPr>
            <w:r w:rsidRPr="00FA314F">
              <w:t>In consultation with stakeholders, FIRB considers the possible impacts of potential policy changes when making recommendations to Government.</w:t>
            </w:r>
          </w:p>
          <w:p w14:paraId="56FC07E6" w14:textId="77777777" w:rsidR="00B630B7" w:rsidRPr="006A2A84" w:rsidRDefault="00B630B7" w:rsidP="00B630B7">
            <w:pPr>
              <w:pStyle w:val="TableTextDash"/>
            </w:pPr>
            <w:r w:rsidRPr="006A2A84">
              <w:t>Number of F</w:t>
            </w:r>
            <w:r>
              <w:t>IRB information sessions.</w:t>
            </w:r>
          </w:p>
          <w:p w14:paraId="1DC7EA98" w14:textId="77777777" w:rsidR="00B630B7" w:rsidRPr="006A2A84" w:rsidRDefault="00B630B7" w:rsidP="00B630B7">
            <w:pPr>
              <w:pStyle w:val="TableTextDash"/>
            </w:pPr>
            <w:r w:rsidRPr="006A2A84">
              <w:t>Number of meetings with industry associations.</w:t>
            </w:r>
          </w:p>
          <w:p w14:paraId="197F97E5" w14:textId="77777777" w:rsidR="00B630B7" w:rsidRPr="006A2A84" w:rsidRDefault="00B630B7" w:rsidP="00B630B7">
            <w:pPr>
              <w:pStyle w:val="TableTextDash"/>
            </w:pPr>
            <w:r w:rsidRPr="006A2A84">
              <w:t>Number of meetings with government agencies.</w:t>
            </w:r>
          </w:p>
          <w:p w14:paraId="4EF2FB64" w14:textId="77777777" w:rsidR="00B630B7" w:rsidRPr="006A2A84" w:rsidRDefault="00B630B7" w:rsidP="00B630B7">
            <w:pPr>
              <w:pStyle w:val="TableTextBullet"/>
            </w:pPr>
            <w:r w:rsidRPr="006A2A84">
              <w:t>A qualitative assessment of stakeholder satisfaction with the consultation process will be undertaken.</w:t>
            </w:r>
          </w:p>
        </w:tc>
      </w:tr>
      <w:tr w:rsidR="00B630B7" w14:paraId="131A8919" w14:textId="77777777" w:rsidTr="00BA3D7B">
        <w:tc>
          <w:tcPr>
            <w:tcW w:w="3804" w:type="dxa"/>
            <w:tcBorders>
              <w:bottom w:val="single" w:sz="2" w:space="0" w:color="1F497D" w:themeColor="text2"/>
            </w:tcBorders>
            <w:shd w:val="clear" w:color="auto" w:fill="F2F2F2" w:themeFill="background1" w:themeFillShade="F2"/>
          </w:tcPr>
          <w:p w14:paraId="3B0174AE" w14:textId="77777777" w:rsidR="00B630B7" w:rsidRPr="006A2A84" w:rsidRDefault="00B630B7" w:rsidP="00B630B7">
            <w:pPr>
              <w:pStyle w:val="TableTextLeft"/>
            </w:pPr>
            <w:r w:rsidRPr="006A2A84">
              <w:t>Provide decisions and advice in a timely manner, clearly articulating expectations.</w:t>
            </w:r>
          </w:p>
        </w:tc>
        <w:tc>
          <w:tcPr>
            <w:tcW w:w="5272" w:type="dxa"/>
            <w:tcBorders>
              <w:bottom w:val="single" w:sz="2" w:space="0" w:color="1F497D" w:themeColor="text2"/>
            </w:tcBorders>
            <w:shd w:val="clear" w:color="auto" w:fill="F2F2F2" w:themeFill="background1" w:themeFillShade="F2"/>
          </w:tcPr>
          <w:p w14:paraId="41E61CF7" w14:textId="77777777" w:rsidR="00B630B7" w:rsidRPr="006A2A84" w:rsidRDefault="00B630B7" w:rsidP="00B630B7">
            <w:pPr>
              <w:pStyle w:val="TableTextLeft"/>
            </w:pPr>
            <w:r w:rsidRPr="006A2A84">
              <w:t>A qualitative assessment of stakeholder satisfaction with the timeliness of general advice will be undertaken.</w:t>
            </w:r>
            <w:r>
              <w:t xml:space="preserve"> </w:t>
            </w:r>
            <w:r w:rsidRPr="006A2A84">
              <w:t>Awareness of commercial deadlines under which applicants are operating.</w:t>
            </w:r>
          </w:p>
          <w:p w14:paraId="33F1FCD5" w14:textId="77777777" w:rsidR="00B630B7" w:rsidRPr="00EB1052" w:rsidRDefault="00B630B7" w:rsidP="00B630B7">
            <w:pPr>
              <w:pStyle w:val="TableTextBullet"/>
            </w:pPr>
            <w:r w:rsidRPr="00EB1052">
              <w:t>Notification on the decisions taken is provided as soon as possible after that decision has been reached.</w:t>
            </w:r>
          </w:p>
          <w:p w14:paraId="657D4DB2" w14:textId="77777777" w:rsidR="00B630B7" w:rsidRPr="006A2A84" w:rsidRDefault="00B630B7" w:rsidP="00B630B7">
            <w:pPr>
              <w:pStyle w:val="TableTextBullet"/>
            </w:pPr>
            <w:r w:rsidRPr="006A2A84">
              <w:t>Proportion of applications completed within the statutory period of 30 days.</w:t>
            </w:r>
          </w:p>
        </w:tc>
      </w:tr>
    </w:tbl>
    <w:p w14:paraId="7C0A38FA" w14:textId="77777777" w:rsidR="00AF78FC" w:rsidRPr="006F5528" w:rsidRDefault="00AF78FC" w:rsidP="00BA7DE1">
      <w:pPr>
        <w:spacing w:before="240"/>
      </w:pPr>
      <w:r w:rsidRPr="006F5528">
        <w:t>The FIRB</w:t>
      </w:r>
      <w:r w:rsidR="00611444">
        <w:t xml:space="preserve"> agencies</w:t>
      </w:r>
      <w:r w:rsidRPr="006F5528">
        <w:t xml:space="preserve"> communicate with foreign investors in a number of ways including through the FIRB website</w:t>
      </w:r>
      <w:r w:rsidR="00F15AA1">
        <w:t>,</w:t>
      </w:r>
      <w:r w:rsidR="0002619B" w:rsidRPr="006F5528">
        <w:t xml:space="preserve"> </w:t>
      </w:r>
      <w:r w:rsidR="00BE5370">
        <w:t>the publication of an annual report,</w:t>
      </w:r>
      <w:r w:rsidRPr="006F5528">
        <w:t xml:space="preserve"> regular meetings with stakeholders</w:t>
      </w:r>
      <w:r w:rsidR="00193333">
        <w:t>, national roadshows</w:t>
      </w:r>
      <w:r w:rsidRPr="006F5528">
        <w:t xml:space="preserve"> and consultation on specific issues such as proposed changes to the </w:t>
      </w:r>
      <w:r w:rsidR="00944F44">
        <w:t xml:space="preserve">foreign investment </w:t>
      </w:r>
      <w:r w:rsidRPr="006F5528">
        <w:t xml:space="preserve">framework. The FIRB </w:t>
      </w:r>
      <w:r w:rsidR="00080AC6">
        <w:t xml:space="preserve">agencies </w:t>
      </w:r>
      <w:r w:rsidRPr="006F5528">
        <w:t>ha</w:t>
      </w:r>
      <w:r w:rsidR="00080AC6">
        <w:t>ve</w:t>
      </w:r>
      <w:r w:rsidRPr="006F5528">
        <w:t xml:space="preserve"> </w:t>
      </w:r>
      <w:r w:rsidR="00430BCC">
        <w:t>telephone, email and formal correspondence avenues, with</w:t>
      </w:r>
      <w:r w:rsidRPr="006F5528">
        <w:t xml:space="preserve"> all applications allocated </w:t>
      </w:r>
      <w:r w:rsidR="00430BCC">
        <w:t xml:space="preserve">to </w:t>
      </w:r>
      <w:r w:rsidRPr="006F5528">
        <w:t>a</w:t>
      </w:r>
      <w:r w:rsidR="00430BCC">
        <w:t>n individual</w:t>
      </w:r>
      <w:r w:rsidRPr="006F5528">
        <w:t xml:space="preserve"> case officer</w:t>
      </w:r>
      <w:r w:rsidR="00430BCC">
        <w:t>.</w:t>
      </w:r>
    </w:p>
    <w:p w14:paraId="2F38D82A" w14:textId="77777777" w:rsidR="00772F1A" w:rsidRPr="00F4010C" w:rsidRDefault="00AF78FC" w:rsidP="00BA7DE1">
      <w:r w:rsidRPr="00F4010C">
        <w:t>Three</w:t>
      </w:r>
      <w:r w:rsidR="00BE5370">
        <w:t>-</w:t>
      </w:r>
      <w:r w:rsidRPr="00F4010C">
        <w:t xml:space="preserve">quarters of survey respondents rated the quality of information </w:t>
      </w:r>
      <w:r w:rsidR="00B1315F">
        <w:t>and timeliness of updates on the F</w:t>
      </w:r>
      <w:r w:rsidRPr="00F4010C">
        <w:t>IRB website as high or very high. No respondents felt that the quality o</w:t>
      </w:r>
      <w:r w:rsidR="001B07FB">
        <w:t>f the website was unacceptable.</w:t>
      </w:r>
    </w:p>
    <w:p w14:paraId="32C99B26" w14:textId="77777777" w:rsidR="00135764" w:rsidRDefault="007E78AA" w:rsidP="00BA7DE1">
      <w:r w:rsidRPr="00F4010C">
        <w:t xml:space="preserve">A number of survey respondents commented that while they appreciate the dedication of </w:t>
      </w:r>
      <w:r w:rsidR="00430BCC">
        <w:t xml:space="preserve">the </w:t>
      </w:r>
      <w:r w:rsidRPr="00F4010C">
        <w:t xml:space="preserve">FIRB </w:t>
      </w:r>
      <w:r w:rsidR="00080AC6">
        <w:t xml:space="preserve">agencies </w:t>
      </w:r>
      <w:r w:rsidRPr="00F4010C">
        <w:t xml:space="preserve">in assisting applicants meet commercial </w:t>
      </w:r>
      <w:r w:rsidR="00B860CC" w:rsidRPr="00F4010C">
        <w:t>deadlines;</w:t>
      </w:r>
      <w:r w:rsidRPr="00F4010C">
        <w:t xml:space="preserve"> most applications requir</w:t>
      </w:r>
      <w:r w:rsidR="00430BCC">
        <w:t>e</w:t>
      </w:r>
      <w:r w:rsidR="00FE5A6B" w:rsidRPr="00F4010C">
        <w:t xml:space="preserve"> an extension beyond</w:t>
      </w:r>
      <w:r w:rsidR="00BE5370">
        <w:t xml:space="preserve"> the statutory time period of</w:t>
      </w:r>
      <w:r w:rsidR="00FE5A6B" w:rsidRPr="00F4010C">
        <w:t xml:space="preserve"> 30 days</w:t>
      </w:r>
      <w:r w:rsidR="00135764">
        <w:t>.</w:t>
      </w:r>
    </w:p>
    <w:p w14:paraId="7B51DD1D" w14:textId="77777777" w:rsidR="002222CC" w:rsidRDefault="00080AC6" w:rsidP="00BA7DE1">
      <w:r>
        <w:t>FIRB agencies will</w:t>
      </w:r>
      <w:r w:rsidR="0082572E">
        <w:t xml:space="preserve"> </w:t>
      </w:r>
      <w:r w:rsidR="000B31CE" w:rsidRPr="00193333">
        <w:t xml:space="preserve">continue </w:t>
      </w:r>
      <w:r w:rsidR="002222CC">
        <w:t xml:space="preserve">to </w:t>
      </w:r>
      <w:r w:rsidR="007A700E" w:rsidRPr="00193333">
        <w:t>work with stakeholders</w:t>
      </w:r>
      <w:r w:rsidR="002222CC">
        <w:t xml:space="preserve"> and consultation partners to improve the efficiency of our processes.</w:t>
      </w:r>
      <w:r w:rsidR="00FC430D">
        <w:t xml:space="preserve"> The establishment of the </w:t>
      </w:r>
      <w:r w:rsidR="00235316">
        <w:t>CIC</w:t>
      </w:r>
      <w:r w:rsidR="00FC430D">
        <w:t>, over</w:t>
      </w:r>
      <w:r w:rsidR="003E338E">
        <w:t xml:space="preserve"> </w:t>
      </w:r>
      <w:r w:rsidR="00FC430D">
        <w:t>time, will support more efficient assessment of national security considerations for the sale of critical infrastructure.</w:t>
      </w:r>
    </w:p>
    <w:p w14:paraId="2F7E930F" w14:textId="77777777" w:rsidR="00EC1DA6" w:rsidRDefault="00EC1DA6" w:rsidP="000B31CE">
      <w:pPr>
        <w:pStyle w:val="Bullet"/>
        <w:numPr>
          <w:ilvl w:val="0"/>
          <w:numId w:val="0"/>
        </w:numPr>
        <w:ind w:right="-228"/>
        <w:rPr>
          <w:rFonts w:ascii="Book Antiqua" w:hAnsi="Book Antiqua"/>
          <w:sz w:val="20"/>
        </w:rPr>
      </w:pPr>
    </w:p>
    <w:p w14:paraId="25DC73C7" w14:textId="77777777" w:rsidR="00EC1DA6" w:rsidRDefault="00EC1DA6" w:rsidP="000B31CE">
      <w:pPr>
        <w:pStyle w:val="Bullet"/>
        <w:numPr>
          <w:ilvl w:val="0"/>
          <w:numId w:val="0"/>
        </w:numPr>
        <w:ind w:right="-228"/>
        <w:rPr>
          <w:rFonts w:ascii="Book Antiqua" w:hAnsi="Book Antiqua"/>
          <w:sz w:val="20"/>
        </w:rPr>
        <w:sectPr w:rsidR="00EC1DA6" w:rsidSect="00F3163E">
          <w:headerReference w:type="default" r:id="rId42"/>
          <w:footerReference w:type="default" r:id="rId43"/>
          <w:pgSz w:w="11906" w:h="16838" w:code="277"/>
          <w:pgMar w:top="1440" w:right="1440" w:bottom="1440" w:left="1440" w:header="851" w:footer="851" w:gutter="0"/>
          <w:cols w:space="708"/>
          <w:docGrid w:linePitch="360"/>
        </w:sectPr>
      </w:pPr>
    </w:p>
    <w:p w14:paraId="28B3AFE5" w14:textId="77777777" w:rsidR="006C4763" w:rsidRPr="00BA7DE1" w:rsidRDefault="006C4763" w:rsidP="002C432E">
      <w:pPr>
        <w:pStyle w:val="Heading2"/>
      </w:pPr>
      <w:bookmarkStart w:id="23" w:name="_Toc501444828"/>
      <w:r w:rsidRPr="00BA7DE1">
        <w:t>KPI 3 – Actions undertaken by regulators are proportionate to the regulatory risk being managed</w:t>
      </w:r>
      <w:bookmarkEnd w:id="23"/>
    </w:p>
    <w:tbl>
      <w:tblPr>
        <w:tblW w:w="9021" w:type="dxa"/>
        <w:tblInd w:w="108" w:type="dxa"/>
        <w:tblLook w:val="04A0" w:firstRow="1" w:lastRow="0" w:firstColumn="1" w:lastColumn="0" w:noHBand="0" w:noVBand="1"/>
      </w:tblPr>
      <w:tblGrid>
        <w:gridCol w:w="3781"/>
        <w:gridCol w:w="5240"/>
      </w:tblGrid>
      <w:tr w:rsidR="00B630B7" w14:paraId="7E557BDF" w14:textId="77777777" w:rsidTr="00BA3D7B">
        <w:tc>
          <w:tcPr>
            <w:tcW w:w="3804" w:type="dxa"/>
            <w:tcBorders>
              <w:top w:val="single" w:sz="2" w:space="0" w:color="1F497D" w:themeColor="text2"/>
              <w:bottom w:val="single" w:sz="2" w:space="0" w:color="1F497D" w:themeColor="text2"/>
            </w:tcBorders>
            <w:shd w:val="clear" w:color="auto" w:fill="DBE5F1" w:themeFill="accent1" w:themeFillTint="33"/>
          </w:tcPr>
          <w:p w14:paraId="106F9F63" w14:textId="77777777" w:rsidR="00B630B7" w:rsidRDefault="00B630B7" w:rsidP="002C432E">
            <w:pPr>
              <w:pStyle w:val="TableColumnHeadingLeft"/>
            </w:pPr>
            <w:r w:rsidRPr="006A2A84">
              <w:t>Measures of good regulatory performance</w:t>
            </w:r>
          </w:p>
        </w:tc>
        <w:tc>
          <w:tcPr>
            <w:tcW w:w="5272" w:type="dxa"/>
            <w:tcBorders>
              <w:top w:val="single" w:sz="2" w:space="0" w:color="1F497D" w:themeColor="text2"/>
              <w:bottom w:val="single" w:sz="2" w:space="0" w:color="1F497D" w:themeColor="text2"/>
            </w:tcBorders>
            <w:shd w:val="clear" w:color="auto" w:fill="DBE5F1" w:themeFill="accent1" w:themeFillTint="33"/>
          </w:tcPr>
          <w:p w14:paraId="25425F79" w14:textId="77777777" w:rsidR="00B630B7" w:rsidRDefault="00B630B7" w:rsidP="002C432E">
            <w:pPr>
              <w:pStyle w:val="TableColumnHeadingLeft"/>
            </w:pPr>
            <w:r w:rsidRPr="006A2A84">
              <w:t xml:space="preserve">Activity-based evidence and </w:t>
            </w:r>
            <w:r w:rsidRPr="002C432E">
              <w:t>metrics</w:t>
            </w:r>
          </w:p>
        </w:tc>
      </w:tr>
      <w:tr w:rsidR="00DD13AB" w:rsidRPr="006A2A84" w14:paraId="0417730D" w14:textId="77777777" w:rsidTr="00BA3D7B">
        <w:trPr>
          <w:trHeight w:val="250"/>
        </w:trPr>
        <w:tc>
          <w:tcPr>
            <w:tcW w:w="3804" w:type="dxa"/>
            <w:tcBorders>
              <w:top w:val="single" w:sz="2" w:space="0" w:color="1F497D" w:themeColor="text2"/>
            </w:tcBorders>
            <w:shd w:val="clear" w:color="auto" w:fill="F2F2F2" w:themeFill="background1" w:themeFillShade="F2"/>
          </w:tcPr>
          <w:p w14:paraId="307E0ED4" w14:textId="77777777" w:rsidR="00DD13AB" w:rsidRPr="006A2A84" w:rsidRDefault="00DD13AB" w:rsidP="002C432E">
            <w:pPr>
              <w:pStyle w:val="TableTextLeft"/>
              <w:spacing w:before="60" w:after="60"/>
            </w:pPr>
            <w:r w:rsidRPr="006A2A84">
              <w:t>Apply a risk-based, proportionate approach to compliance obligations, engagement and regulatory enforcement actions. Recognise the compliance record of foreign investors.</w:t>
            </w:r>
          </w:p>
        </w:tc>
        <w:tc>
          <w:tcPr>
            <w:tcW w:w="5272" w:type="dxa"/>
            <w:tcBorders>
              <w:top w:val="single" w:sz="2" w:space="0" w:color="1F497D" w:themeColor="text2"/>
            </w:tcBorders>
            <w:shd w:val="clear" w:color="auto" w:fill="F2F2F2" w:themeFill="background1" w:themeFillShade="F2"/>
          </w:tcPr>
          <w:p w14:paraId="6F0B9562" w14:textId="77777777" w:rsidR="00DD13AB" w:rsidRPr="006A2A84" w:rsidRDefault="00DD13AB" w:rsidP="002C432E">
            <w:pPr>
              <w:pStyle w:val="TableTextLeft"/>
              <w:spacing w:before="60" w:after="60"/>
            </w:pPr>
            <w:r w:rsidRPr="006A2A84">
              <w:t>FIRB ensures that there is sufficient and appropriate public information to aid stakeholders in complying.</w:t>
            </w:r>
          </w:p>
          <w:p w14:paraId="2A6EBD8D" w14:textId="77777777" w:rsidR="00DD13AB" w:rsidRPr="006A2A84" w:rsidRDefault="00DD13AB" w:rsidP="002C432E">
            <w:pPr>
              <w:pStyle w:val="TableTextBullet"/>
              <w:spacing w:before="60" w:after="60"/>
            </w:pPr>
            <w:r w:rsidRPr="006A2A84">
              <w:t>FIRB website information is updated in a timely manner.</w:t>
            </w:r>
          </w:p>
          <w:p w14:paraId="756A81BE" w14:textId="77777777" w:rsidR="00DD13AB" w:rsidRDefault="00DD13AB" w:rsidP="002C432E">
            <w:pPr>
              <w:pStyle w:val="TableTextBullet"/>
              <w:spacing w:before="60" w:after="60"/>
            </w:pPr>
            <w:r w:rsidRPr="006A2A84">
              <w:t>Reporting will be based on a qualitative assessment of the timeliness of web updates and, more generally, the comprehensiveness of information provided to assist stakeholders to comply.</w:t>
            </w:r>
          </w:p>
          <w:p w14:paraId="120046B8" w14:textId="77777777" w:rsidR="00DD13AB" w:rsidRDefault="00DD13AB" w:rsidP="002C432E">
            <w:pPr>
              <w:pStyle w:val="TableTextLeft"/>
              <w:spacing w:before="60" w:after="60"/>
            </w:pPr>
            <w:r w:rsidRPr="006A2A84">
              <w:t>Compliance action and scrutiny is risk-based (</w:t>
            </w:r>
            <w:r>
              <w:t xml:space="preserve">that is, </w:t>
            </w:r>
            <w:r w:rsidRPr="006A2A84">
              <w:t>the level of scrutiny takes account of the compliance record and degree of risk).</w:t>
            </w:r>
          </w:p>
          <w:p w14:paraId="2FA5BB84" w14:textId="77777777" w:rsidR="00DD13AB" w:rsidRPr="006A2A84" w:rsidRDefault="00DD13AB" w:rsidP="002C432E">
            <w:pPr>
              <w:pStyle w:val="TableTextLeft"/>
              <w:spacing w:before="60" w:after="60"/>
            </w:pPr>
            <w:r w:rsidRPr="006A2A84">
              <w:t>Application of penalties takes account of factors such as the compliance record of the foreign investor.</w:t>
            </w:r>
          </w:p>
        </w:tc>
      </w:tr>
      <w:tr w:rsidR="006C4763" w:rsidRPr="006A2A84" w14:paraId="23E932F4" w14:textId="77777777" w:rsidTr="00BA3D7B">
        <w:trPr>
          <w:trHeight w:val="250"/>
        </w:trPr>
        <w:tc>
          <w:tcPr>
            <w:tcW w:w="3804" w:type="dxa"/>
            <w:tcBorders>
              <w:bottom w:val="single" w:sz="2" w:space="0" w:color="1F497D" w:themeColor="text2"/>
            </w:tcBorders>
          </w:tcPr>
          <w:p w14:paraId="12A560C3" w14:textId="77777777" w:rsidR="006C4763" w:rsidRPr="006A2A84" w:rsidRDefault="006C4763" w:rsidP="002C432E">
            <w:pPr>
              <w:pStyle w:val="TableTextLeft"/>
              <w:spacing w:before="60" w:after="60"/>
            </w:pPr>
            <w:r w:rsidRPr="006A2A84">
              <w:t>Consider all available and relevant data on compliance.</w:t>
            </w:r>
          </w:p>
        </w:tc>
        <w:tc>
          <w:tcPr>
            <w:tcW w:w="5272" w:type="dxa"/>
            <w:tcBorders>
              <w:bottom w:val="single" w:sz="2" w:space="0" w:color="1F497D" w:themeColor="text2"/>
            </w:tcBorders>
          </w:tcPr>
          <w:p w14:paraId="6D7DE4AA" w14:textId="77777777" w:rsidR="006C4763" w:rsidRPr="006A2A84" w:rsidRDefault="006C4763" w:rsidP="002C432E">
            <w:pPr>
              <w:pStyle w:val="TableTextLeft"/>
              <w:spacing w:before="60" w:after="60"/>
            </w:pPr>
            <w:r w:rsidRPr="006A2A84">
              <w:t>Compliance strategies utilise a range of information available, including information from third parties with a view to reducing the burden of compliance on the foreign investor.</w:t>
            </w:r>
          </w:p>
          <w:p w14:paraId="11BA4712" w14:textId="77777777" w:rsidR="006C4763" w:rsidRPr="006A2A84" w:rsidRDefault="006C4763" w:rsidP="002C432E">
            <w:pPr>
              <w:pStyle w:val="TableTextBullet"/>
              <w:spacing w:before="60" w:after="60"/>
            </w:pPr>
            <w:r w:rsidRPr="006A2A84">
              <w:t xml:space="preserve">Types of information sources used such as information from ATO, </w:t>
            </w:r>
            <w:r w:rsidR="00887E0E">
              <w:t>I</w:t>
            </w:r>
            <w:r w:rsidRPr="006A2A84">
              <w:t>mmigration and Austrac.</w:t>
            </w:r>
          </w:p>
          <w:p w14:paraId="32453403" w14:textId="77777777" w:rsidR="006C4763" w:rsidRPr="006A2A84" w:rsidRDefault="006C4763" w:rsidP="002C432E">
            <w:pPr>
              <w:pStyle w:val="TableTextBullet"/>
              <w:spacing w:before="60" w:after="60"/>
            </w:pPr>
            <w:r w:rsidRPr="006A2A84">
              <w:t>Qualitative assessment undertaken on types of information sources used.</w:t>
            </w:r>
          </w:p>
        </w:tc>
      </w:tr>
    </w:tbl>
    <w:p w14:paraId="445488A4" w14:textId="77777777" w:rsidR="00560863" w:rsidRPr="00B53E57" w:rsidRDefault="00420226" w:rsidP="002C432E">
      <w:pPr>
        <w:spacing w:before="200" w:after="200"/>
      </w:pPr>
      <w:r>
        <w:t>T</w:t>
      </w:r>
      <w:r w:rsidR="00560863" w:rsidRPr="00B53E57">
        <w:t xml:space="preserve">o assist foreign investors </w:t>
      </w:r>
      <w:r>
        <w:t xml:space="preserve">to </w:t>
      </w:r>
      <w:r w:rsidR="00560863" w:rsidRPr="00B53E57">
        <w:t>comply with their obligations under the foreign investment framework</w:t>
      </w:r>
      <w:r w:rsidR="00B53E57" w:rsidRPr="00B53E57">
        <w:t>,</w:t>
      </w:r>
      <w:r w:rsidR="00560863" w:rsidRPr="00B53E57">
        <w:t xml:space="preserve"> FIRB </w:t>
      </w:r>
      <w:r w:rsidR="005D34D0">
        <w:t xml:space="preserve">agencies </w:t>
      </w:r>
      <w:r w:rsidR="00560863" w:rsidRPr="00B53E57">
        <w:t xml:space="preserve">ensure information conveyed is regularly reviewed and updated to remain clear, relevant and current. </w:t>
      </w:r>
      <w:r w:rsidR="00B1315F">
        <w:t>Survey r</w:t>
      </w:r>
      <w:r w:rsidR="00560863" w:rsidRPr="00B53E57">
        <w:t>espondents thought that the</w:t>
      </w:r>
      <w:r w:rsidR="00B53E57" w:rsidRPr="00B53E57">
        <w:t xml:space="preserve"> updates to the</w:t>
      </w:r>
      <w:r w:rsidR="00560863" w:rsidRPr="00B53E57">
        <w:t xml:space="preserve"> FIRB website were </w:t>
      </w:r>
      <w:r w:rsidR="00B1315F">
        <w:t xml:space="preserve">made </w:t>
      </w:r>
      <w:r w:rsidR="00B53E57">
        <w:t xml:space="preserve">in a </w:t>
      </w:r>
      <w:r w:rsidR="00B53E57" w:rsidRPr="00B53E57">
        <w:t xml:space="preserve">very </w:t>
      </w:r>
      <w:r w:rsidR="00560863" w:rsidRPr="00B53E57">
        <w:t>a</w:t>
      </w:r>
      <w:r w:rsidR="00B53E57" w:rsidRPr="00B53E57">
        <w:t>cceptable</w:t>
      </w:r>
      <w:r w:rsidR="00B53E57">
        <w:t xml:space="preserve"> timeframe.</w:t>
      </w:r>
    </w:p>
    <w:p w14:paraId="7A0AD8C9" w14:textId="77777777" w:rsidR="00560863" w:rsidRPr="006F5528" w:rsidRDefault="00600FEA" w:rsidP="002C432E">
      <w:pPr>
        <w:spacing w:after="200"/>
      </w:pPr>
      <w:r>
        <w:t>FIRB agencies</w:t>
      </w:r>
      <w:r w:rsidR="00560863" w:rsidRPr="006F5528">
        <w:t xml:space="preserve"> consider each application on its merit and whether the investment is </w:t>
      </w:r>
      <w:r w:rsidR="008145E7" w:rsidRPr="006F5528">
        <w:t>contrary to</w:t>
      </w:r>
      <w:r w:rsidR="00560863" w:rsidRPr="006F5528">
        <w:t xml:space="preserve"> the national interest. </w:t>
      </w:r>
      <w:r w:rsidR="001D2F0A">
        <w:t>As part of the risk assessment process, c</w:t>
      </w:r>
      <w:r w:rsidR="00560863" w:rsidRPr="006F5528">
        <w:t>onsult</w:t>
      </w:r>
      <w:r w:rsidR="001B23CE">
        <w:t>ations</w:t>
      </w:r>
      <w:r w:rsidR="00560863" w:rsidRPr="006F5528">
        <w:t xml:space="preserve"> </w:t>
      </w:r>
      <w:r w:rsidR="00430BCC">
        <w:t xml:space="preserve">are held </w:t>
      </w:r>
      <w:r w:rsidR="00560863" w:rsidRPr="006F5528">
        <w:t>with Australian</w:t>
      </w:r>
      <w:r w:rsidR="00746E94">
        <w:t xml:space="preserve"> </w:t>
      </w:r>
      <w:r w:rsidR="0082572E">
        <w:t>f</w:t>
      </w:r>
      <w:r w:rsidR="00746E94">
        <w:t>ederal</w:t>
      </w:r>
      <w:r w:rsidR="00560863" w:rsidRPr="006F5528">
        <w:t xml:space="preserve">, </w:t>
      </w:r>
      <w:r w:rsidR="0082572E">
        <w:t>s</w:t>
      </w:r>
      <w:r w:rsidR="00560863" w:rsidRPr="006F5528">
        <w:t xml:space="preserve">tate and territory government departments, national security agencies and authorities with responsibilities relevant to the applications. </w:t>
      </w:r>
      <w:r w:rsidR="001D2F0A">
        <w:t>If specific risks to the national interest are identified, c</w:t>
      </w:r>
      <w:r w:rsidR="001D2F0A" w:rsidRPr="006F5528">
        <w:t xml:space="preserve">onditions </w:t>
      </w:r>
      <w:r w:rsidR="00560863" w:rsidRPr="006F5528">
        <w:t xml:space="preserve">may be recommended to the decision maker and in rare cases a recommendation may </w:t>
      </w:r>
      <w:r w:rsidR="00DD13AB" w:rsidRPr="006F5528">
        <w:t>be made to prohibit the action.</w:t>
      </w:r>
    </w:p>
    <w:p w14:paraId="0D2B95BA" w14:textId="77777777" w:rsidR="00560863" w:rsidRPr="00814622" w:rsidRDefault="00577713" w:rsidP="002C432E">
      <w:pPr>
        <w:spacing w:after="200"/>
      </w:pPr>
      <w:r w:rsidRPr="00B53E57">
        <w:t xml:space="preserve">As part of </w:t>
      </w:r>
      <w:r w:rsidR="00600FEA">
        <w:t>their</w:t>
      </w:r>
      <w:r w:rsidRPr="00B53E57">
        <w:t xml:space="preserve"> compliance activities</w:t>
      </w:r>
      <w:r w:rsidR="00EA6210">
        <w:t>,</w:t>
      </w:r>
      <w:r w:rsidRPr="00B53E57">
        <w:t xml:space="preserve"> </w:t>
      </w:r>
      <w:r w:rsidR="007A1F26" w:rsidRPr="00B53E57">
        <w:t xml:space="preserve">FIRB </w:t>
      </w:r>
      <w:r w:rsidR="005D34D0">
        <w:t xml:space="preserve">agencies </w:t>
      </w:r>
      <w:r w:rsidR="007A1F26" w:rsidRPr="00B53E57">
        <w:t>conduct d</w:t>
      </w:r>
      <w:r w:rsidR="00547C9D" w:rsidRPr="00B53E57">
        <w:t xml:space="preserve">ata matching </w:t>
      </w:r>
      <w:r w:rsidR="00430BCC">
        <w:t>from</w:t>
      </w:r>
      <w:r w:rsidR="00430BCC" w:rsidRPr="00B53E57">
        <w:t xml:space="preserve"> </w:t>
      </w:r>
      <w:r w:rsidRPr="00B53E57">
        <w:t>various sources including taxation, immigration, banking, land titles etc.</w:t>
      </w:r>
      <w:r w:rsidR="00547C9D" w:rsidRPr="00B53E57">
        <w:t xml:space="preserve"> </w:t>
      </w:r>
      <w:r w:rsidR="00560863" w:rsidRPr="00B53E57">
        <w:t xml:space="preserve">FIRB </w:t>
      </w:r>
      <w:r w:rsidR="00600FEA">
        <w:t xml:space="preserve">agencies </w:t>
      </w:r>
      <w:r w:rsidR="00547C9D" w:rsidRPr="00B53E57">
        <w:t xml:space="preserve">also </w:t>
      </w:r>
      <w:r w:rsidR="00560863" w:rsidRPr="00B53E57">
        <w:t>receive</w:t>
      </w:r>
      <w:r w:rsidR="00F15AA1">
        <w:t xml:space="preserve"> </w:t>
      </w:r>
      <w:r w:rsidR="00560863" w:rsidRPr="00B53E57">
        <w:t>annual and exception</w:t>
      </w:r>
      <w:r w:rsidR="00560863" w:rsidRPr="00B53E57">
        <w:noBreakHyphen/>
        <w:t>based reports from foreign investors on compliance with conditions</w:t>
      </w:r>
      <w:r w:rsidR="00430BCC">
        <w:t>,</w:t>
      </w:r>
      <w:r w:rsidR="00560863" w:rsidRPr="00B53E57">
        <w:t xml:space="preserve"> as well as information from third</w:t>
      </w:r>
      <w:r w:rsidR="00DD13AB" w:rsidRPr="00B53E57">
        <w:t> </w:t>
      </w:r>
      <w:r w:rsidR="00560863" w:rsidRPr="00B53E57">
        <w:t xml:space="preserve">parties such as other regulators and the public </w:t>
      </w:r>
      <w:r w:rsidR="00430BCC">
        <w:t xml:space="preserve">more </w:t>
      </w:r>
      <w:r w:rsidR="00560863" w:rsidRPr="00B53E57">
        <w:t>generally. These reports are assessed by FIRB</w:t>
      </w:r>
      <w:r w:rsidR="005D34D0">
        <w:t xml:space="preserve"> agencies</w:t>
      </w:r>
      <w:r w:rsidR="00560863" w:rsidRPr="00B53E57">
        <w:t xml:space="preserve"> and appropriate action</w:t>
      </w:r>
      <w:r w:rsidR="00202C96">
        <w:t>s</w:t>
      </w:r>
      <w:r w:rsidR="00560863" w:rsidRPr="00B53E57">
        <w:t xml:space="preserve"> taken</w:t>
      </w:r>
      <w:r w:rsidR="0092366E">
        <w:t>.</w:t>
      </w:r>
      <w:r w:rsidR="00547C9D" w:rsidRPr="00B53E57">
        <w:t xml:space="preserve"> Data on compliance activities </w:t>
      </w:r>
      <w:r w:rsidR="00D43041">
        <w:t>(</w:t>
      </w:r>
      <w:r w:rsidR="00547C9D" w:rsidRPr="00814622">
        <w:t>Appendix A</w:t>
      </w:r>
      <w:r w:rsidR="00D43041">
        <w:t>)</w:t>
      </w:r>
      <w:r w:rsidR="00547C9D" w:rsidRPr="00814622">
        <w:t>.</w:t>
      </w:r>
    </w:p>
    <w:p w14:paraId="5C1BBA0A" w14:textId="77777777" w:rsidR="006C4763" w:rsidRPr="000521AC" w:rsidRDefault="00CD5D78" w:rsidP="002C432E">
      <w:pPr>
        <w:spacing w:after="200"/>
      </w:pPr>
      <w:r w:rsidRPr="000521AC">
        <w:t>During 201</w:t>
      </w:r>
      <w:r w:rsidR="00B53E57" w:rsidRPr="000521AC">
        <w:t>6</w:t>
      </w:r>
      <w:r w:rsidR="007F1F73">
        <w:t>–</w:t>
      </w:r>
      <w:r w:rsidRPr="000521AC">
        <w:t>1</w:t>
      </w:r>
      <w:r w:rsidR="00B53E57" w:rsidRPr="000521AC">
        <w:t>7</w:t>
      </w:r>
      <w:r w:rsidRPr="000521AC">
        <w:t xml:space="preserve"> </w:t>
      </w:r>
      <w:r w:rsidR="000521AC" w:rsidRPr="000521AC">
        <w:t>two</w:t>
      </w:r>
      <w:r w:rsidR="00E774B1" w:rsidRPr="000521AC">
        <w:t xml:space="preserve"> real estate applications </w:t>
      </w:r>
      <w:r w:rsidR="00DB138C">
        <w:t>and two</w:t>
      </w:r>
      <w:r w:rsidR="00DB138C" w:rsidRPr="00346AFF">
        <w:t xml:space="preserve"> non</w:t>
      </w:r>
      <w:r w:rsidR="00DB138C" w:rsidRPr="00346AFF">
        <w:noBreakHyphen/>
        <w:t>real estate application</w:t>
      </w:r>
      <w:r w:rsidR="00DB138C">
        <w:t>s</w:t>
      </w:r>
      <w:r w:rsidR="00DB138C" w:rsidRPr="00346AFF">
        <w:t xml:space="preserve"> </w:t>
      </w:r>
      <w:r w:rsidR="00E774B1" w:rsidRPr="000521AC">
        <w:t>were declined</w:t>
      </w:r>
      <w:r w:rsidR="00F15AA1">
        <w:t xml:space="preserve">. </w:t>
      </w:r>
      <w:r w:rsidR="00E727EB" w:rsidRPr="00346AFF">
        <w:t>Thirty</w:t>
      </w:r>
      <w:r w:rsidR="00560863" w:rsidRPr="00346AFF">
        <w:t xml:space="preserve"> residential properties were required to be divested</w:t>
      </w:r>
      <w:r w:rsidR="00560863" w:rsidRPr="000521AC">
        <w:t>.</w:t>
      </w:r>
      <w:r w:rsidR="00400EDD" w:rsidRPr="000521AC">
        <w:t xml:space="preserve"> </w:t>
      </w:r>
      <w:r w:rsidR="00560863" w:rsidRPr="000521AC">
        <w:t>Penalties issued under infringement notices were applied to minor breaches.</w:t>
      </w:r>
    </w:p>
    <w:p w14:paraId="13F2D53D" w14:textId="77777777" w:rsidR="00EC1DA6" w:rsidRDefault="00753AC3" w:rsidP="002C432E">
      <w:pPr>
        <w:spacing w:after="0"/>
        <w:sectPr w:rsidR="00EC1DA6" w:rsidSect="00F3163E">
          <w:headerReference w:type="default" r:id="rId44"/>
          <w:footerReference w:type="default" r:id="rId45"/>
          <w:pgSz w:w="11906" w:h="16838" w:code="277"/>
          <w:pgMar w:top="1440" w:right="1440" w:bottom="1440" w:left="1440" w:header="851" w:footer="851" w:gutter="0"/>
          <w:cols w:space="708"/>
          <w:docGrid w:linePitch="360"/>
        </w:sectPr>
      </w:pPr>
      <w:r w:rsidRPr="006F5528">
        <w:t xml:space="preserve">FIRB </w:t>
      </w:r>
      <w:r w:rsidR="00600FEA">
        <w:t xml:space="preserve">agencies </w:t>
      </w:r>
      <w:r w:rsidR="00202C96">
        <w:t>aim to</w:t>
      </w:r>
      <w:r w:rsidRPr="006F5528">
        <w:t xml:space="preserve"> work closely with foreign investors to assist them </w:t>
      </w:r>
      <w:r w:rsidR="00600FEA">
        <w:t>to</w:t>
      </w:r>
      <w:r w:rsidR="00600FEA" w:rsidRPr="006F5528">
        <w:t xml:space="preserve"> </w:t>
      </w:r>
      <w:r w:rsidRPr="006F5528">
        <w:t>meet their obligations under the foreign investment framework</w:t>
      </w:r>
      <w:r w:rsidR="00A62723" w:rsidRPr="006F5528">
        <w:t xml:space="preserve"> and</w:t>
      </w:r>
      <w:r w:rsidR="00600FEA">
        <w:t xml:space="preserve"> ensure</w:t>
      </w:r>
      <w:r w:rsidR="00B53E57">
        <w:t xml:space="preserve"> that regulatory action is risk-</w:t>
      </w:r>
      <w:r w:rsidR="00A62723" w:rsidRPr="006F5528">
        <w:t>based and appropriate.</w:t>
      </w:r>
    </w:p>
    <w:p w14:paraId="2276DD8D" w14:textId="77777777" w:rsidR="00AA6DA9" w:rsidRPr="006C4763" w:rsidRDefault="006C4763" w:rsidP="002C432E">
      <w:pPr>
        <w:pStyle w:val="Heading2"/>
      </w:pPr>
      <w:bookmarkStart w:id="24" w:name="_Toc501444829"/>
      <w:r w:rsidRPr="006C4763">
        <w:t>KPI 4 – Compliance and monitoring approaches are streamlined and coordinated</w:t>
      </w:r>
      <w:bookmarkEnd w:id="24"/>
    </w:p>
    <w:tbl>
      <w:tblPr>
        <w:tblW w:w="9021" w:type="dxa"/>
        <w:tblInd w:w="108" w:type="dxa"/>
        <w:tblLayout w:type="fixed"/>
        <w:tblLook w:val="04A0" w:firstRow="1" w:lastRow="0" w:firstColumn="1" w:lastColumn="0" w:noHBand="0" w:noVBand="1"/>
      </w:tblPr>
      <w:tblGrid>
        <w:gridCol w:w="3779"/>
        <w:gridCol w:w="5242"/>
      </w:tblGrid>
      <w:tr w:rsidR="00DD13AB" w14:paraId="07575CA2" w14:textId="77777777" w:rsidTr="00BA3D7B">
        <w:tc>
          <w:tcPr>
            <w:tcW w:w="3800" w:type="dxa"/>
            <w:tcBorders>
              <w:top w:val="single" w:sz="2" w:space="0" w:color="1F497D" w:themeColor="text2"/>
              <w:bottom w:val="single" w:sz="2" w:space="0" w:color="1F497D" w:themeColor="text2"/>
            </w:tcBorders>
            <w:shd w:val="clear" w:color="auto" w:fill="DBE5F1" w:themeFill="accent1" w:themeFillTint="33"/>
          </w:tcPr>
          <w:p w14:paraId="451E300E" w14:textId="77777777" w:rsidR="00DD13AB" w:rsidRDefault="00DD13AB" w:rsidP="002C432E">
            <w:pPr>
              <w:pStyle w:val="TableColumnHeadingLeft"/>
            </w:pPr>
            <w:r w:rsidRPr="006A2A84">
              <w:t>Measures of good regulatory performance</w:t>
            </w:r>
          </w:p>
        </w:tc>
        <w:tc>
          <w:tcPr>
            <w:tcW w:w="5272" w:type="dxa"/>
            <w:tcBorders>
              <w:top w:val="single" w:sz="2" w:space="0" w:color="1F497D" w:themeColor="text2"/>
              <w:bottom w:val="single" w:sz="2" w:space="0" w:color="1F497D" w:themeColor="text2"/>
            </w:tcBorders>
            <w:shd w:val="clear" w:color="auto" w:fill="DBE5F1" w:themeFill="accent1" w:themeFillTint="33"/>
          </w:tcPr>
          <w:p w14:paraId="32266E04" w14:textId="77777777" w:rsidR="00DD13AB" w:rsidRDefault="00DD13AB" w:rsidP="002C432E">
            <w:pPr>
              <w:pStyle w:val="TableColumnHeadingLeft"/>
            </w:pPr>
            <w:r w:rsidRPr="006A2A84">
              <w:t>Activity-based evidence and metrics</w:t>
            </w:r>
          </w:p>
        </w:tc>
      </w:tr>
      <w:tr w:rsidR="006C4763" w:rsidRPr="006A2A84" w14:paraId="2FB049F4" w14:textId="77777777" w:rsidTr="00BA3D7B">
        <w:trPr>
          <w:trHeight w:val="1079"/>
        </w:trPr>
        <w:tc>
          <w:tcPr>
            <w:tcW w:w="3800" w:type="dxa"/>
            <w:shd w:val="clear" w:color="auto" w:fill="F2F2F2" w:themeFill="background1" w:themeFillShade="F2"/>
          </w:tcPr>
          <w:p w14:paraId="3D8969C6" w14:textId="77777777" w:rsidR="006C4763" w:rsidRPr="006A2A84" w:rsidRDefault="006C4763" w:rsidP="00DD13AB">
            <w:pPr>
              <w:pStyle w:val="TableTextLeft"/>
            </w:pPr>
            <w:r w:rsidRPr="006A2A84">
              <w:t>Utilise existing information to limit the reliance on requests made to foreign investors and share the information among other regulators, where possible.</w:t>
            </w:r>
          </w:p>
        </w:tc>
        <w:tc>
          <w:tcPr>
            <w:tcW w:w="5272" w:type="dxa"/>
            <w:shd w:val="clear" w:color="auto" w:fill="F2F2F2" w:themeFill="background1" w:themeFillShade="F2"/>
          </w:tcPr>
          <w:p w14:paraId="5BABB03D" w14:textId="77777777" w:rsidR="006C4763" w:rsidRPr="006A2A84" w:rsidRDefault="006C4763" w:rsidP="00DD13AB">
            <w:pPr>
              <w:pStyle w:val="TableTextLeft"/>
            </w:pPr>
            <w:r w:rsidRPr="006A2A84">
              <w:t>Information is shared among government agencies.</w:t>
            </w:r>
          </w:p>
          <w:p w14:paraId="6494EFCC" w14:textId="77777777" w:rsidR="006C4763" w:rsidRPr="006A2A84" w:rsidRDefault="006C4763" w:rsidP="00DD13AB">
            <w:pPr>
              <w:pStyle w:val="TableTextBullet"/>
            </w:pPr>
            <w:r w:rsidRPr="006A2A84">
              <w:t>Number of inter-departmental committee (IDCs) meetings.</w:t>
            </w:r>
          </w:p>
          <w:p w14:paraId="40C04491" w14:textId="77777777" w:rsidR="006C4763" w:rsidRPr="006A2A84" w:rsidRDefault="006C4763" w:rsidP="00DD13AB">
            <w:pPr>
              <w:pStyle w:val="TableTextBullet"/>
            </w:pPr>
            <w:r w:rsidRPr="006A2A84">
              <w:t>Consult with</w:t>
            </w:r>
            <w:r w:rsidR="008145E7">
              <w:t xml:space="preserve"> relevant government agencies.</w:t>
            </w:r>
          </w:p>
          <w:p w14:paraId="2B135840" w14:textId="77777777" w:rsidR="006C4763" w:rsidRPr="006A2A84" w:rsidRDefault="006C4763" w:rsidP="00DD13AB">
            <w:pPr>
              <w:pStyle w:val="TableTextBullet"/>
            </w:pPr>
            <w:r w:rsidRPr="006A2A84">
              <w:t>Draw on other government agencies’ information, data and systems (as appropriate) to reduce information requests to applicants where possible.</w:t>
            </w:r>
          </w:p>
          <w:p w14:paraId="202D6678" w14:textId="77777777" w:rsidR="006C4763" w:rsidRPr="006A2A84" w:rsidRDefault="006C4763" w:rsidP="00DD13AB">
            <w:pPr>
              <w:pStyle w:val="TableTextBullet"/>
            </w:pPr>
            <w:r w:rsidRPr="006A2A84">
              <w:t>Draw on previous applications as appropriate and where possible.</w:t>
            </w:r>
          </w:p>
          <w:p w14:paraId="08C0CD8F" w14:textId="77777777" w:rsidR="006C4763" w:rsidRPr="006A2A84" w:rsidRDefault="006C4763" w:rsidP="00DD13AB">
            <w:pPr>
              <w:pStyle w:val="TableTextBullet"/>
            </w:pPr>
            <w:r w:rsidRPr="006A2A84">
              <w:t>Utilise public sources of information including information such as search engines and stock exchange filings.</w:t>
            </w:r>
          </w:p>
          <w:p w14:paraId="679A90C2" w14:textId="77777777" w:rsidR="006C4763" w:rsidRPr="006A2A84" w:rsidRDefault="006C4763" w:rsidP="00DD13AB">
            <w:pPr>
              <w:pStyle w:val="TableTextLeft"/>
            </w:pPr>
            <w:r w:rsidRPr="006A2A84">
              <w:t>A qualitative assessment undertaken on the sharing and use of existing information.</w:t>
            </w:r>
          </w:p>
        </w:tc>
      </w:tr>
      <w:tr w:rsidR="006C4763" w:rsidRPr="006A2A84" w14:paraId="787340FB" w14:textId="77777777" w:rsidTr="00BA3D7B">
        <w:trPr>
          <w:trHeight w:val="1124"/>
        </w:trPr>
        <w:tc>
          <w:tcPr>
            <w:tcW w:w="3800" w:type="dxa"/>
            <w:tcBorders>
              <w:bottom w:val="single" w:sz="2" w:space="0" w:color="1F497D" w:themeColor="text2"/>
            </w:tcBorders>
          </w:tcPr>
          <w:p w14:paraId="1911E990" w14:textId="77777777" w:rsidR="006C4763" w:rsidRPr="006A2A84" w:rsidRDefault="006C4763" w:rsidP="00DD13AB">
            <w:pPr>
              <w:pStyle w:val="TableTextLeft"/>
            </w:pPr>
            <w:r w:rsidRPr="006A2A84">
              <w:t>Base monitoring and inspection approaches on risk and where possible, takes into account the circumstance and operational needs of foreign investors.</w:t>
            </w:r>
          </w:p>
        </w:tc>
        <w:tc>
          <w:tcPr>
            <w:tcW w:w="5272" w:type="dxa"/>
            <w:tcBorders>
              <w:bottom w:val="single" w:sz="2" w:space="0" w:color="1F497D" w:themeColor="text2"/>
            </w:tcBorders>
          </w:tcPr>
          <w:p w14:paraId="5F39FD92" w14:textId="77777777" w:rsidR="006C4763" w:rsidRPr="006A2A84" w:rsidRDefault="006C4763" w:rsidP="00DD13AB">
            <w:pPr>
              <w:pStyle w:val="TableTextLeft"/>
            </w:pPr>
            <w:r w:rsidRPr="006A2A84">
              <w:t>Regular review and assessment of agreed conditions and undertakings imposed on foreign investment proposals.</w:t>
            </w:r>
          </w:p>
          <w:p w14:paraId="4EC1B616" w14:textId="77777777" w:rsidR="006C4763" w:rsidRPr="006A2A84" w:rsidRDefault="006C4763" w:rsidP="00DD13AB">
            <w:pPr>
              <w:pStyle w:val="TableTextBullet"/>
            </w:pPr>
            <w:r w:rsidRPr="007B41A0">
              <w:t>Number of reviews of conditions and undertakings in a year.</w:t>
            </w:r>
          </w:p>
        </w:tc>
      </w:tr>
    </w:tbl>
    <w:p w14:paraId="7890D8F6" w14:textId="77777777" w:rsidR="00942397" w:rsidRPr="006F5528" w:rsidRDefault="00942397" w:rsidP="00BA7DE1">
      <w:pPr>
        <w:spacing w:before="240"/>
      </w:pPr>
      <w:r w:rsidRPr="006F5528">
        <w:t xml:space="preserve">When assessing an application or compliance with </w:t>
      </w:r>
      <w:r w:rsidR="0048161A">
        <w:t>the Treasurer’s decision</w:t>
      </w:r>
      <w:r w:rsidRPr="006F5528">
        <w:t xml:space="preserve">, FIRB </w:t>
      </w:r>
      <w:r w:rsidR="004946C8">
        <w:t xml:space="preserve">agencies </w:t>
      </w:r>
      <w:r w:rsidRPr="006F5528">
        <w:t>consult with Australian</w:t>
      </w:r>
      <w:r w:rsidR="00202C96">
        <w:t xml:space="preserve"> </w:t>
      </w:r>
      <w:r w:rsidR="0082572E">
        <w:t>f</w:t>
      </w:r>
      <w:r w:rsidR="00202C96">
        <w:t>ederal</w:t>
      </w:r>
      <w:r w:rsidRPr="006F5528">
        <w:t xml:space="preserve">, </w:t>
      </w:r>
      <w:r w:rsidR="0082572E">
        <w:t>s</w:t>
      </w:r>
      <w:r w:rsidRPr="006F5528">
        <w:t xml:space="preserve">tate and </w:t>
      </w:r>
      <w:r w:rsidR="0082572E">
        <w:t>t</w:t>
      </w:r>
      <w:r w:rsidRPr="006F5528">
        <w:t>erritory government departments, security agencies and authorities</w:t>
      </w:r>
      <w:r w:rsidR="00EA552D" w:rsidRPr="006F5528">
        <w:t xml:space="preserve"> (</w:t>
      </w:r>
      <w:r w:rsidR="0048161A">
        <w:t xml:space="preserve">collectively, </w:t>
      </w:r>
      <w:r w:rsidR="00EA552D" w:rsidRPr="006F5528">
        <w:t>consult partners)</w:t>
      </w:r>
      <w:r w:rsidR="001F555F">
        <w:t xml:space="preserve"> on an as needs basis</w:t>
      </w:r>
      <w:r w:rsidRPr="006F5528">
        <w:t xml:space="preserve">. This </w:t>
      </w:r>
      <w:r w:rsidR="0048161A">
        <w:t>affords</w:t>
      </w:r>
      <w:r w:rsidR="0048161A" w:rsidRPr="006F5528">
        <w:t xml:space="preserve"> </w:t>
      </w:r>
      <w:r w:rsidRPr="006F5528">
        <w:t xml:space="preserve">the FIRB </w:t>
      </w:r>
      <w:r w:rsidR="0048161A">
        <w:t>access to</w:t>
      </w:r>
      <w:r w:rsidRPr="006F5528">
        <w:t xml:space="preserve"> </w:t>
      </w:r>
      <w:r w:rsidR="0048161A" w:rsidRPr="006F5528">
        <w:t>exper</w:t>
      </w:r>
      <w:r w:rsidR="0048161A">
        <w:t>t</w:t>
      </w:r>
      <w:r w:rsidR="0048161A" w:rsidRPr="006F5528">
        <w:t xml:space="preserve"> </w:t>
      </w:r>
      <w:r w:rsidR="0048161A">
        <w:t>advice that forms part of the Government’s decision making process</w:t>
      </w:r>
      <w:r w:rsidRPr="006F5528">
        <w:t>.</w:t>
      </w:r>
    </w:p>
    <w:p w14:paraId="67E05844" w14:textId="77777777" w:rsidR="00942397" w:rsidRPr="006F5528" w:rsidRDefault="00187CAB" w:rsidP="00BA7DE1">
      <w:r w:rsidRPr="006F5528">
        <w:t>C</w:t>
      </w:r>
      <w:r w:rsidR="00BD0FE2">
        <w:t xml:space="preserve">onditions </w:t>
      </w:r>
      <w:r w:rsidR="0048161A">
        <w:t xml:space="preserve">and </w:t>
      </w:r>
      <w:r w:rsidR="00F070FD">
        <w:t>u</w:t>
      </w:r>
      <w:r w:rsidR="0048161A">
        <w:t xml:space="preserve">ndertakings </w:t>
      </w:r>
      <w:r w:rsidR="00BD0FE2">
        <w:t>are imposed on a case-</w:t>
      </w:r>
      <w:r w:rsidR="00942397" w:rsidRPr="006F5528">
        <w:t>by</w:t>
      </w:r>
      <w:r w:rsidR="00BD0FE2">
        <w:t>-</w:t>
      </w:r>
      <w:r w:rsidR="00942397" w:rsidRPr="006F5528">
        <w:t>case basis to mitigate risk</w:t>
      </w:r>
      <w:r w:rsidRPr="006F5528">
        <w:t>s</w:t>
      </w:r>
      <w:r w:rsidR="00942397" w:rsidRPr="006F5528">
        <w:t xml:space="preserve"> and ensure that investments are not contrary to the national interest. Similarly, foreign investor reporting obligations range from </w:t>
      </w:r>
      <w:r w:rsidR="0048161A">
        <w:t>regular submissions</w:t>
      </w:r>
      <w:r w:rsidR="0048161A" w:rsidRPr="006F5528">
        <w:t xml:space="preserve"> </w:t>
      </w:r>
      <w:r w:rsidR="00942397" w:rsidRPr="006F5528">
        <w:t xml:space="preserve">to </w:t>
      </w:r>
      <w:r w:rsidR="0048161A">
        <w:t xml:space="preserve">those </w:t>
      </w:r>
      <w:r w:rsidR="00942397" w:rsidRPr="006F5528">
        <w:t xml:space="preserve">on </w:t>
      </w:r>
      <w:r w:rsidR="0048161A">
        <w:t xml:space="preserve">an </w:t>
      </w:r>
      <w:r w:rsidR="00942397" w:rsidRPr="006F5528">
        <w:t xml:space="preserve">exception basis, depending on a number of factors including the type of investment and the </w:t>
      </w:r>
      <w:r w:rsidR="0048161A">
        <w:t>nature of the acquisition</w:t>
      </w:r>
      <w:r w:rsidR="005D34D0">
        <w:t>.</w:t>
      </w:r>
    </w:p>
    <w:p w14:paraId="24A70F22" w14:textId="77777777" w:rsidR="0048497B" w:rsidRPr="00211164" w:rsidRDefault="004946C8" w:rsidP="00BA7DE1">
      <w:r>
        <w:t>FIRB agencies</w:t>
      </w:r>
      <w:r w:rsidR="00BD0FE2" w:rsidRPr="00211164">
        <w:t xml:space="preserve"> meet on a regular basis to ensure </w:t>
      </w:r>
      <w:r w:rsidR="0048161A" w:rsidRPr="00211164">
        <w:t xml:space="preserve">Government </w:t>
      </w:r>
      <w:r w:rsidR="008B166F" w:rsidRPr="00211164">
        <w:t>has</w:t>
      </w:r>
      <w:r w:rsidR="0048161A" w:rsidRPr="00211164">
        <w:t xml:space="preserve"> a </w:t>
      </w:r>
      <w:r w:rsidR="00BD0FE2" w:rsidRPr="00211164">
        <w:t xml:space="preserve">coordinated approach </w:t>
      </w:r>
      <w:r w:rsidR="0048161A" w:rsidRPr="00211164">
        <w:t xml:space="preserve">to the </w:t>
      </w:r>
      <w:r w:rsidR="00BD0FE2" w:rsidRPr="00211164">
        <w:t xml:space="preserve">review </w:t>
      </w:r>
      <w:r w:rsidR="0048161A" w:rsidRPr="00211164">
        <w:t>and</w:t>
      </w:r>
      <w:r w:rsidR="00BD0FE2" w:rsidRPr="00211164">
        <w:t xml:space="preserve"> processing </w:t>
      </w:r>
      <w:r w:rsidR="0048161A" w:rsidRPr="00211164">
        <w:t xml:space="preserve">of </w:t>
      </w:r>
      <w:r w:rsidR="00BD0FE2" w:rsidRPr="00211164">
        <w:t>applications. FIRB</w:t>
      </w:r>
      <w:r w:rsidR="005D34D0">
        <w:t xml:space="preserve"> agencies</w:t>
      </w:r>
      <w:r w:rsidR="00BD0FE2" w:rsidRPr="00211164">
        <w:t xml:space="preserve"> </w:t>
      </w:r>
      <w:r w:rsidR="0048161A" w:rsidRPr="00211164">
        <w:t xml:space="preserve">formally examine </w:t>
      </w:r>
      <w:r w:rsidR="00BD0FE2" w:rsidRPr="00211164">
        <w:t>conditions and undertakings imposed on acquisitions on a six</w:t>
      </w:r>
      <w:r w:rsidR="00BD0FE2" w:rsidRPr="00211164">
        <w:noBreakHyphen/>
        <w:t>monthly basis</w:t>
      </w:r>
      <w:r w:rsidR="0082572E">
        <w:t xml:space="preserve"> </w:t>
      </w:r>
      <w:r w:rsidR="008B166F" w:rsidRPr="00211164">
        <w:t>as well as proactively considering compliance matters.</w:t>
      </w:r>
    </w:p>
    <w:p w14:paraId="37FC4A71" w14:textId="77777777" w:rsidR="0048497B" w:rsidRPr="00814622" w:rsidRDefault="002113EB" w:rsidP="00BA7DE1">
      <w:r w:rsidRPr="004F3EE8">
        <w:t>FIRB</w:t>
      </w:r>
      <w:r w:rsidR="0081017F">
        <w:t xml:space="preserve"> agencies</w:t>
      </w:r>
      <w:r w:rsidR="008145E7" w:rsidRPr="004F3EE8">
        <w:t xml:space="preserve"> </w:t>
      </w:r>
      <w:r w:rsidR="0048497B" w:rsidRPr="004F3EE8">
        <w:t xml:space="preserve">hold regular meetings with consult partners to ensure </w:t>
      </w:r>
      <w:r w:rsidR="00FF4864">
        <w:t>a cooperative approach to delivering efficient and effective compliance processes.</w:t>
      </w:r>
      <w:r w:rsidR="0048497B" w:rsidRPr="004F3EE8">
        <w:t xml:space="preserve"> FIRB</w:t>
      </w:r>
      <w:r w:rsidR="00456E73" w:rsidRPr="004F3EE8">
        <w:t xml:space="preserve"> </w:t>
      </w:r>
      <w:r w:rsidR="005D34D0">
        <w:t xml:space="preserve">agencies </w:t>
      </w:r>
      <w:r w:rsidR="0048497B" w:rsidRPr="004F3EE8">
        <w:t xml:space="preserve">also hold interdepartmental committee meetings with respect to particular investment applications and foreign investment </w:t>
      </w:r>
      <w:r w:rsidR="0048497B" w:rsidRPr="00814622">
        <w:t xml:space="preserve">issues </w:t>
      </w:r>
      <w:r w:rsidR="00793109" w:rsidRPr="00814622">
        <w:t>(</w:t>
      </w:r>
      <w:r w:rsidR="0048497B" w:rsidRPr="00814622">
        <w:t>Appendix A</w:t>
      </w:r>
      <w:r w:rsidR="00793109" w:rsidRPr="00814622">
        <w:t>)</w:t>
      </w:r>
      <w:r w:rsidR="0048497B" w:rsidRPr="00814622">
        <w:t>.</w:t>
      </w:r>
    </w:p>
    <w:p w14:paraId="65EB3B2E" w14:textId="77777777" w:rsidR="00EC1DA6" w:rsidRDefault="00EC1DA6" w:rsidP="00DD13AB"/>
    <w:p w14:paraId="1A4B6C24" w14:textId="77777777" w:rsidR="00EC1DA6" w:rsidRDefault="00EC1DA6" w:rsidP="00DD13AB">
      <w:pPr>
        <w:sectPr w:rsidR="00EC1DA6" w:rsidSect="00F3163E">
          <w:headerReference w:type="default" r:id="rId46"/>
          <w:footerReference w:type="default" r:id="rId47"/>
          <w:pgSz w:w="11906" w:h="16838" w:code="277"/>
          <w:pgMar w:top="1440" w:right="1440" w:bottom="1440" w:left="1440" w:header="851" w:footer="851" w:gutter="0"/>
          <w:cols w:space="708"/>
          <w:docGrid w:linePitch="360"/>
        </w:sectPr>
      </w:pPr>
    </w:p>
    <w:p w14:paraId="4E128261" w14:textId="77777777" w:rsidR="006C4763" w:rsidRPr="006C4763" w:rsidRDefault="006C4763" w:rsidP="002C432E">
      <w:pPr>
        <w:pStyle w:val="Heading2"/>
      </w:pPr>
      <w:bookmarkStart w:id="25" w:name="_Toc501444830"/>
      <w:r w:rsidRPr="006C4763">
        <w:t>KPI 5 – Regulators are open and transparent in their dealings with foreign investors</w:t>
      </w:r>
      <w:bookmarkEnd w:id="25"/>
    </w:p>
    <w:tbl>
      <w:tblPr>
        <w:tblW w:w="9021" w:type="dxa"/>
        <w:tblInd w:w="108" w:type="dxa"/>
        <w:tblLayout w:type="fixed"/>
        <w:tblLook w:val="04A0" w:firstRow="1" w:lastRow="0" w:firstColumn="1" w:lastColumn="0" w:noHBand="0" w:noVBand="1"/>
      </w:tblPr>
      <w:tblGrid>
        <w:gridCol w:w="3779"/>
        <w:gridCol w:w="5242"/>
      </w:tblGrid>
      <w:tr w:rsidR="00DD13AB" w14:paraId="4E0851C5" w14:textId="77777777" w:rsidTr="00BA3D7B">
        <w:tc>
          <w:tcPr>
            <w:tcW w:w="3800" w:type="dxa"/>
            <w:tcBorders>
              <w:top w:val="single" w:sz="2" w:space="0" w:color="1F497D" w:themeColor="text2"/>
              <w:bottom w:val="single" w:sz="2" w:space="0" w:color="1F497D" w:themeColor="text2"/>
            </w:tcBorders>
            <w:shd w:val="clear" w:color="auto" w:fill="DBE5F1" w:themeFill="accent1" w:themeFillTint="33"/>
          </w:tcPr>
          <w:p w14:paraId="3720A52C" w14:textId="77777777" w:rsidR="00DD13AB" w:rsidRDefault="00DD13AB" w:rsidP="002C432E">
            <w:pPr>
              <w:pStyle w:val="TableColumnHeadingLeft"/>
            </w:pPr>
            <w:r w:rsidRPr="006A2A84">
              <w:t>Measures of good regulatory performance</w:t>
            </w:r>
          </w:p>
        </w:tc>
        <w:tc>
          <w:tcPr>
            <w:tcW w:w="5272" w:type="dxa"/>
            <w:tcBorders>
              <w:top w:val="single" w:sz="2" w:space="0" w:color="1F497D" w:themeColor="text2"/>
              <w:bottom w:val="single" w:sz="2" w:space="0" w:color="1F497D" w:themeColor="text2"/>
            </w:tcBorders>
            <w:shd w:val="clear" w:color="auto" w:fill="DBE5F1" w:themeFill="accent1" w:themeFillTint="33"/>
          </w:tcPr>
          <w:p w14:paraId="7A6D4BF8" w14:textId="77777777" w:rsidR="00DD13AB" w:rsidRDefault="00DD13AB" w:rsidP="002C432E">
            <w:pPr>
              <w:pStyle w:val="TableColumnHeadingLeft"/>
            </w:pPr>
            <w:r w:rsidRPr="006A2A84">
              <w:t>Activity-based evidence and metrics</w:t>
            </w:r>
          </w:p>
        </w:tc>
      </w:tr>
      <w:tr w:rsidR="006C4763" w:rsidRPr="006A2A84" w14:paraId="09140016" w14:textId="77777777" w:rsidTr="00BA3D7B">
        <w:trPr>
          <w:trHeight w:val="250"/>
        </w:trPr>
        <w:tc>
          <w:tcPr>
            <w:tcW w:w="3800" w:type="dxa"/>
            <w:tcBorders>
              <w:top w:val="single" w:sz="2" w:space="0" w:color="1F497D" w:themeColor="text2"/>
            </w:tcBorders>
            <w:shd w:val="clear" w:color="auto" w:fill="F2F2F2" w:themeFill="background1" w:themeFillShade="F2"/>
          </w:tcPr>
          <w:p w14:paraId="3035C2F7" w14:textId="77777777" w:rsidR="006C4763" w:rsidRPr="006A2A84" w:rsidRDefault="006C4763" w:rsidP="002C432E">
            <w:pPr>
              <w:pStyle w:val="TableTextLeft"/>
              <w:spacing w:before="60" w:after="60"/>
            </w:pPr>
            <w:r w:rsidRPr="006A2A84">
              <w:t>Ensure information on risk-based frameworks is publicly available in a format which is clear, understandable and accessible where possible.</w:t>
            </w:r>
          </w:p>
        </w:tc>
        <w:tc>
          <w:tcPr>
            <w:tcW w:w="5272" w:type="dxa"/>
            <w:tcBorders>
              <w:top w:val="single" w:sz="2" w:space="0" w:color="1F497D" w:themeColor="text2"/>
            </w:tcBorders>
            <w:shd w:val="clear" w:color="auto" w:fill="F2F2F2" w:themeFill="background1" w:themeFillShade="F2"/>
          </w:tcPr>
          <w:p w14:paraId="198553C0" w14:textId="77777777" w:rsidR="006C4763" w:rsidRPr="006A2A84" w:rsidRDefault="006C4763" w:rsidP="002C432E">
            <w:pPr>
              <w:pStyle w:val="TableTextLeft"/>
              <w:spacing w:before="60" w:after="60"/>
            </w:pPr>
            <w:r w:rsidRPr="006A2A84">
              <w:t>Clear information on FIRB website, including for example policy documents, guidance notes and annual reports, which gives an overview of the framework, including the decision making process.</w:t>
            </w:r>
          </w:p>
          <w:p w14:paraId="2AEAB44F" w14:textId="77777777" w:rsidR="006C4763" w:rsidRPr="006A2A84" w:rsidRDefault="006C4763" w:rsidP="002C432E">
            <w:pPr>
              <w:pStyle w:val="TableTextLeft"/>
              <w:spacing w:before="60" w:after="60"/>
            </w:pPr>
            <w:r w:rsidRPr="006A2A84">
              <w:t>A qualitative assessment undertaken of the information on the website.</w:t>
            </w:r>
          </w:p>
        </w:tc>
      </w:tr>
      <w:tr w:rsidR="006C4763" w:rsidRPr="006A2A84" w14:paraId="4EC6F74E" w14:textId="77777777" w:rsidTr="00BA3D7B">
        <w:trPr>
          <w:trHeight w:val="250"/>
        </w:trPr>
        <w:tc>
          <w:tcPr>
            <w:tcW w:w="3800" w:type="dxa"/>
          </w:tcPr>
          <w:p w14:paraId="5F54071C" w14:textId="77777777" w:rsidR="006C4763" w:rsidRPr="006A2A84" w:rsidRDefault="006C4763" w:rsidP="002C432E">
            <w:pPr>
              <w:pStyle w:val="TableTextLeft"/>
              <w:spacing w:before="60" w:after="60"/>
            </w:pPr>
            <w:r w:rsidRPr="006A2A84">
              <w:t>Be open and responsive to requests from foreign investors regarding the operation of the regulatory framework, and approaches implemented by regulators.</w:t>
            </w:r>
          </w:p>
        </w:tc>
        <w:tc>
          <w:tcPr>
            <w:tcW w:w="5272" w:type="dxa"/>
          </w:tcPr>
          <w:p w14:paraId="35A1A313" w14:textId="77777777" w:rsidR="006C4763" w:rsidRPr="006A2A84" w:rsidRDefault="006C4763" w:rsidP="002C432E">
            <w:pPr>
              <w:pStyle w:val="TableTextLeft"/>
              <w:spacing w:before="60" w:after="60"/>
            </w:pPr>
            <w:r w:rsidRPr="006A2A84">
              <w:t>Email and phone queries are adequately responded to</w:t>
            </w:r>
            <w:r w:rsidR="004C426D">
              <w:t>:</w:t>
            </w:r>
          </w:p>
          <w:p w14:paraId="14F9EAF1" w14:textId="77777777" w:rsidR="006C4763" w:rsidRPr="006A2A84" w:rsidRDefault="006C4763" w:rsidP="002C432E">
            <w:pPr>
              <w:pStyle w:val="TableTextBullet"/>
              <w:spacing w:before="60" w:after="60"/>
            </w:pPr>
            <w:r w:rsidRPr="007B41A0">
              <w:t>Data on phone enquiries including waiting times and number of calls taken</w:t>
            </w:r>
            <w:r w:rsidR="008145E7">
              <w:t>.</w:t>
            </w:r>
          </w:p>
          <w:p w14:paraId="52B6EDA0" w14:textId="77777777" w:rsidR="006C4763" w:rsidRPr="006A2A84" w:rsidRDefault="006C4763" w:rsidP="002C432E">
            <w:pPr>
              <w:pStyle w:val="TableTextBullet"/>
              <w:spacing w:before="60" w:after="60"/>
            </w:pPr>
            <w:r w:rsidRPr="007B41A0">
              <w:t>Number of stakeholder engagement events.</w:t>
            </w:r>
          </w:p>
        </w:tc>
      </w:tr>
      <w:tr w:rsidR="006C4763" w:rsidRPr="006A2A84" w14:paraId="73E91067" w14:textId="77777777" w:rsidTr="00BA3D7B">
        <w:trPr>
          <w:trHeight w:val="250"/>
        </w:trPr>
        <w:tc>
          <w:tcPr>
            <w:tcW w:w="3800" w:type="dxa"/>
            <w:tcBorders>
              <w:bottom w:val="single" w:sz="2" w:space="0" w:color="1F497D" w:themeColor="text2"/>
            </w:tcBorders>
            <w:shd w:val="clear" w:color="auto" w:fill="F2F2F2" w:themeFill="background1" w:themeFillShade="F2"/>
          </w:tcPr>
          <w:p w14:paraId="420A3F8E" w14:textId="77777777" w:rsidR="006C4763" w:rsidRPr="006A2A84" w:rsidRDefault="006C4763" w:rsidP="002C432E">
            <w:pPr>
              <w:pStyle w:val="TableTextLeft"/>
              <w:spacing w:before="60" w:after="60"/>
            </w:pPr>
            <w:r w:rsidRPr="006A2A84">
              <w:t>Ensure performance measurement results are published to ensure accountability to the public.</w:t>
            </w:r>
          </w:p>
        </w:tc>
        <w:tc>
          <w:tcPr>
            <w:tcW w:w="5272" w:type="dxa"/>
            <w:tcBorders>
              <w:bottom w:val="single" w:sz="2" w:space="0" w:color="1F497D" w:themeColor="text2"/>
            </w:tcBorders>
            <w:shd w:val="clear" w:color="auto" w:fill="F2F2F2" w:themeFill="background1" w:themeFillShade="F2"/>
          </w:tcPr>
          <w:p w14:paraId="1E350AB9" w14:textId="77777777" w:rsidR="006C4763" w:rsidRPr="006A2A84" w:rsidRDefault="006C4763" w:rsidP="002C432E">
            <w:pPr>
              <w:pStyle w:val="TableTextLeft"/>
              <w:spacing w:before="60" w:after="60"/>
            </w:pPr>
            <w:r w:rsidRPr="006A2A84">
              <w:t>Performance-related information published in annual reports in a timely manner.</w:t>
            </w:r>
          </w:p>
        </w:tc>
      </w:tr>
    </w:tbl>
    <w:p w14:paraId="4F273E45" w14:textId="77777777" w:rsidR="00BE5370" w:rsidRPr="004229FB" w:rsidRDefault="00BE5370" w:rsidP="002C432E">
      <w:pPr>
        <w:spacing w:before="180" w:after="180"/>
      </w:pPr>
      <w:r w:rsidRPr="006F5528">
        <w:t xml:space="preserve">FIRB </w:t>
      </w:r>
      <w:r w:rsidR="00B9704A">
        <w:t xml:space="preserve">agencies </w:t>
      </w:r>
      <w:r w:rsidRPr="006F5528">
        <w:t>regularly engage</w:t>
      </w:r>
      <w:r w:rsidR="0082572E">
        <w:t xml:space="preserve"> </w:t>
      </w:r>
      <w:r w:rsidRPr="006F5528">
        <w:t xml:space="preserve">with foreign </w:t>
      </w:r>
      <w:r w:rsidRPr="00375288">
        <w:t xml:space="preserve">investors, their representatives or agents and Australian businesses to provide information on the operation of the </w:t>
      </w:r>
      <w:r w:rsidRPr="004229FB">
        <w:t>foreign investment framework.</w:t>
      </w:r>
    </w:p>
    <w:p w14:paraId="2F8CCAD6" w14:textId="77777777" w:rsidR="00D57C65" w:rsidRPr="004229FB" w:rsidRDefault="00D57C65" w:rsidP="002C432E">
      <w:pPr>
        <w:spacing w:before="180" w:after="180"/>
      </w:pPr>
      <w:r w:rsidRPr="004229FB">
        <w:t>The Government’s approach to the regulation of foreign investment is</w:t>
      </w:r>
      <w:r w:rsidR="00FE75A2" w:rsidRPr="004229FB">
        <w:t xml:space="preserve"> </w:t>
      </w:r>
      <w:r w:rsidRPr="004229FB">
        <w:t xml:space="preserve">outlined in </w:t>
      </w:r>
      <w:hyperlink r:id="rId48" w:history="1">
        <w:r w:rsidRPr="00C57F04">
          <w:rPr>
            <w:rStyle w:val="Hyperlink"/>
          </w:rPr>
          <w:t>Austr</w:t>
        </w:r>
        <w:r w:rsidR="00E765DD" w:rsidRPr="00C57F04">
          <w:rPr>
            <w:rStyle w:val="Hyperlink"/>
          </w:rPr>
          <w:t>alia’s Foreign Investment Policy</w:t>
        </w:r>
      </w:hyperlink>
      <w:r w:rsidR="003C7732" w:rsidRPr="004229FB">
        <w:rPr>
          <w:b/>
          <w:color w:val="000000" w:themeColor="text1"/>
        </w:rPr>
        <w:t>.</w:t>
      </w:r>
      <w:r w:rsidR="003C7732" w:rsidRPr="004229FB">
        <w:rPr>
          <w:color w:val="000000" w:themeColor="text1"/>
        </w:rPr>
        <w:t xml:space="preserve"> </w:t>
      </w:r>
      <w:r w:rsidR="003C7732" w:rsidRPr="004229FB">
        <w:t>The</w:t>
      </w:r>
      <w:r w:rsidR="00E905F8" w:rsidRPr="004229FB">
        <w:t xml:space="preserve"> role of FIRB is available on the</w:t>
      </w:r>
      <w:r w:rsidR="003C7732" w:rsidRPr="004229FB">
        <w:t xml:space="preserve"> website.</w:t>
      </w:r>
    </w:p>
    <w:p w14:paraId="474E518D" w14:textId="77777777" w:rsidR="00D57C65" w:rsidRPr="004229FB" w:rsidRDefault="003C7732" w:rsidP="002C432E">
      <w:pPr>
        <w:spacing w:before="180" w:after="180"/>
      </w:pPr>
      <w:r w:rsidRPr="004229FB">
        <w:t>I</w:t>
      </w:r>
      <w:r w:rsidR="00D57C65" w:rsidRPr="004229FB">
        <w:t>nformation on the FIRB website provide</w:t>
      </w:r>
      <w:r w:rsidRPr="004229FB">
        <w:t>s</w:t>
      </w:r>
      <w:r w:rsidR="0082572E" w:rsidRPr="004229FB">
        <w:t xml:space="preserve"> </w:t>
      </w:r>
      <w:r w:rsidR="00D57C65" w:rsidRPr="004229FB">
        <w:t>guidance on the operation of the foreign investment framework</w:t>
      </w:r>
      <w:r w:rsidR="00823700" w:rsidRPr="004229FB">
        <w:t xml:space="preserve">, including (but not limited to): </w:t>
      </w:r>
      <w:r w:rsidR="00456E73" w:rsidRPr="004229FB">
        <w:t>residential real estate</w:t>
      </w:r>
      <w:r w:rsidR="00823700" w:rsidRPr="004229FB">
        <w:t xml:space="preserve"> applications;</w:t>
      </w:r>
      <w:r w:rsidR="00456E73" w:rsidRPr="004229FB">
        <w:t xml:space="preserve"> reporting requirements for proposed investments</w:t>
      </w:r>
      <w:r w:rsidR="00823700" w:rsidRPr="004229FB">
        <w:t>;</w:t>
      </w:r>
      <w:r w:rsidR="00456E73" w:rsidRPr="004229FB">
        <w:t xml:space="preserve"> monetary screening thresholds</w:t>
      </w:r>
      <w:r w:rsidR="00823700" w:rsidRPr="004229FB">
        <w:t xml:space="preserve"> and exemptions; application fees for the various types of applications; detailed guidance notes; </w:t>
      </w:r>
      <w:r w:rsidR="00CD5E11" w:rsidRPr="004229FB">
        <w:t>and</w:t>
      </w:r>
      <w:r w:rsidR="00F773CA" w:rsidRPr="004229FB">
        <w:t xml:space="preserve"> </w:t>
      </w:r>
      <w:r w:rsidR="00823700" w:rsidRPr="004229FB">
        <w:t xml:space="preserve">the current Acts, </w:t>
      </w:r>
      <w:r w:rsidRPr="004229FB">
        <w:t>r</w:t>
      </w:r>
      <w:r w:rsidR="00823700" w:rsidRPr="004229FB">
        <w:t xml:space="preserve">egulations and </w:t>
      </w:r>
      <w:r w:rsidRPr="004229FB">
        <w:t>p</w:t>
      </w:r>
      <w:r w:rsidR="00823700" w:rsidRPr="004229FB">
        <w:t>olicy documents.</w:t>
      </w:r>
    </w:p>
    <w:p w14:paraId="229B77F3" w14:textId="77777777" w:rsidR="00F10B68" w:rsidRPr="004229FB" w:rsidRDefault="00C67E6F" w:rsidP="002C432E">
      <w:pPr>
        <w:spacing w:before="180" w:after="180"/>
      </w:pPr>
      <w:r w:rsidRPr="004229FB">
        <w:t>Over t</w:t>
      </w:r>
      <w:r w:rsidR="00F10B68" w:rsidRPr="004229FB">
        <w:t xml:space="preserve">hree quarters of survey respondents rated the quality of information on </w:t>
      </w:r>
      <w:r w:rsidRPr="004229FB">
        <w:t xml:space="preserve">the </w:t>
      </w:r>
      <w:r w:rsidR="00F10B68" w:rsidRPr="004229FB">
        <w:t>FIRB website</w:t>
      </w:r>
      <w:r w:rsidR="0082572E" w:rsidRPr="004229FB">
        <w:t xml:space="preserve"> </w:t>
      </w:r>
      <w:r w:rsidR="00F10B68" w:rsidRPr="004229FB">
        <w:t>as high or very high with the remainder rating it as acceptable.</w:t>
      </w:r>
    </w:p>
    <w:p w14:paraId="41556411" w14:textId="77777777" w:rsidR="00D57C65" w:rsidRPr="004229FB" w:rsidRDefault="00EE674C" w:rsidP="002C432E">
      <w:pPr>
        <w:spacing w:before="180" w:after="180"/>
      </w:pPr>
      <w:r w:rsidRPr="004229FB">
        <w:t>Some f</w:t>
      </w:r>
      <w:r w:rsidR="00412675" w:rsidRPr="004229FB">
        <w:t xml:space="preserve">eedback from stakeholders commended FIRB </w:t>
      </w:r>
      <w:r w:rsidR="00E905F8" w:rsidRPr="004229FB">
        <w:t xml:space="preserve">agencies </w:t>
      </w:r>
      <w:r w:rsidR="00FF4864">
        <w:t>for</w:t>
      </w:r>
      <w:r w:rsidR="00412675" w:rsidRPr="004229FB">
        <w:t xml:space="preserve"> being more </w:t>
      </w:r>
      <w:r w:rsidR="00D57C65" w:rsidRPr="004229FB">
        <w:t>available</w:t>
      </w:r>
      <w:r w:rsidRPr="004229FB">
        <w:t xml:space="preserve"> than in the past</w:t>
      </w:r>
      <w:r w:rsidR="00D57C65" w:rsidRPr="004229FB">
        <w:t xml:space="preserve"> and willing to engage on</w:t>
      </w:r>
      <w:r w:rsidR="0027041C" w:rsidRPr="004229FB">
        <w:t xml:space="preserve"> technical and</w:t>
      </w:r>
      <w:r w:rsidR="00D57C65" w:rsidRPr="004229FB">
        <w:t xml:space="preserve"> difficult issues</w:t>
      </w:r>
      <w:r w:rsidR="00B461AE" w:rsidRPr="004229FB">
        <w:t xml:space="preserve">. </w:t>
      </w:r>
      <w:r w:rsidR="00412675" w:rsidRPr="004229FB">
        <w:t>In contrast</w:t>
      </w:r>
      <w:r w:rsidR="003C7732" w:rsidRPr="004229FB">
        <w:t>,</w:t>
      </w:r>
      <w:r w:rsidR="0082572E" w:rsidRPr="004229FB">
        <w:t xml:space="preserve"> </w:t>
      </w:r>
      <w:r w:rsidR="00412675" w:rsidRPr="004229FB">
        <w:t>other feedback</w:t>
      </w:r>
      <w:r w:rsidR="00D57C65" w:rsidRPr="004229FB">
        <w:t xml:space="preserve"> </w:t>
      </w:r>
      <w:r w:rsidR="00B461AE" w:rsidRPr="004229FB">
        <w:t>was that</w:t>
      </w:r>
      <w:r w:rsidR="00D57C65" w:rsidRPr="004229FB">
        <w:t xml:space="preserve"> extensions are being requested on the majority of applications</w:t>
      </w:r>
      <w:r w:rsidR="00043127" w:rsidRPr="004229FB">
        <w:t xml:space="preserve"> and this</w:t>
      </w:r>
      <w:r w:rsidR="00D57C65" w:rsidRPr="004229FB">
        <w:t xml:space="preserve"> is causing uncertainty for </w:t>
      </w:r>
      <w:r w:rsidR="00202C96" w:rsidRPr="004229FB">
        <w:t xml:space="preserve">some </w:t>
      </w:r>
      <w:r w:rsidR="00D57C65" w:rsidRPr="004229FB">
        <w:t>foreign investors</w:t>
      </w:r>
      <w:r w:rsidR="00202C96" w:rsidRPr="004229FB">
        <w:t>,</w:t>
      </w:r>
      <w:r w:rsidR="00D57C65" w:rsidRPr="004229FB">
        <w:t xml:space="preserve"> </w:t>
      </w:r>
      <w:r w:rsidR="00103B62" w:rsidRPr="004229FB">
        <w:t xml:space="preserve">as well as </w:t>
      </w:r>
      <w:r w:rsidR="00375288" w:rsidRPr="004229FB">
        <w:t>their representatives or agents</w:t>
      </w:r>
      <w:r w:rsidR="003C7732" w:rsidRPr="004229FB">
        <w:t>,</w:t>
      </w:r>
      <w:r w:rsidR="0082572E" w:rsidRPr="004229FB">
        <w:t xml:space="preserve"> </w:t>
      </w:r>
      <w:r w:rsidR="00D57C65" w:rsidRPr="004229FB">
        <w:t>and that more transparency of the process and timing would be helpful.</w:t>
      </w:r>
    </w:p>
    <w:p w14:paraId="03ECC243" w14:textId="77777777" w:rsidR="00103B62" w:rsidRDefault="00DD0D17" w:rsidP="002C432E">
      <w:pPr>
        <w:spacing w:before="180" w:after="180"/>
      </w:pPr>
      <w:r w:rsidRPr="004229FB">
        <w:t>T</w:t>
      </w:r>
      <w:r w:rsidR="000668FD" w:rsidRPr="004229FB">
        <w:t>here is some c</w:t>
      </w:r>
      <w:r w:rsidR="00D37326" w:rsidRPr="004229FB">
        <w:t>r</w:t>
      </w:r>
      <w:r w:rsidR="000668FD" w:rsidRPr="004229FB">
        <w:t xml:space="preserve">iticism that </w:t>
      </w:r>
      <w:r w:rsidR="000A1EA3" w:rsidRPr="004229FB">
        <w:t xml:space="preserve">due to the complexity of the </w:t>
      </w:r>
      <w:r w:rsidR="00B75B7D" w:rsidRPr="004229FB">
        <w:t>f</w:t>
      </w:r>
      <w:r w:rsidR="000A1EA3" w:rsidRPr="004229FB">
        <w:t xml:space="preserve">oreign </w:t>
      </w:r>
      <w:r w:rsidR="00B75B7D" w:rsidRPr="004229FB">
        <w:t>i</w:t>
      </w:r>
      <w:r w:rsidR="000A1EA3" w:rsidRPr="004229FB">
        <w:t xml:space="preserve">nvestment </w:t>
      </w:r>
      <w:r w:rsidR="00B75B7D" w:rsidRPr="004229FB">
        <w:t>f</w:t>
      </w:r>
      <w:r w:rsidR="000A1EA3" w:rsidRPr="004229FB">
        <w:t>ramewor</w:t>
      </w:r>
      <w:r w:rsidR="00E905F8" w:rsidRPr="004229FB">
        <w:t>k,</w:t>
      </w:r>
      <w:r w:rsidR="0082572E" w:rsidRPr="004229FB">
        <w:t xml:space="preserve"> </w:t>
      </w:r>
      <w:r w:rsidR="000A1EA3" w:rsidRPr="004229FB">
        <w:t>advice</w:t>
      </w:r>
      <w:r w:rsidR="000A1EA3" w:rsidRPr="000A1EA3">
        <w:t xml:space="preserve"> provided is often delayed</w:t>
      </w:r>
      <w:r w:rsidR="00CE1735">
        <w:t xml:space="preserve"> on matters that are complex in nature</w:t>
      </w:r>
      <w:r>
        <w:t>. However</w:t>
      </w:r>
      <w:r w:rsidR="00202C96">
        <w:t>,</w:t>
      </w:r>
      <w:r>
        <w:t xml:space="preserve"> feedback also noted th</w:t>
      </w:r>
      <w:r w:rsidR="00CE1735">
        <w:t>e</w:t>
      </w:r>
      <w:r>
        <w:t xml:space="preserve"> advice is usually of</w:t>
      </w:r>
      <w:r w:rsidR="000A1EA3" w:rsidRPr="000A1EA3">
        <w:t xml:space="preserve"> high quality. </w:t>
      </w:r>
      <w:r w:rsidR="00D37326" w:rsidRPr="000A1EA3">
        <w:t xml:space="preserve">FIRB </w:t>
      </w:r>
      <w:r w:rsidR="00CE1735">
        <w:t xml:space="preserve">agencies </w:t>
      </w:r>
      <w:r w:rsidR="00202C96">
        <w:t>seek to make</w:t>
      </w:r>
      <w:r w:rsidR="00D37326" w:rsidRPr="000A1EA3">
        <w:t xml:space="preserve"> every effort to </w:t>
      </w:r>
      <w:r w:rsidR="000A1EA3" w:rsidRPr="000A1EA3">
        <w:t>provide</w:t>
      </w:r>
      <w:r w:rsidR="000A1EA3">
        <w:t xml:space="preserve"> clear,</w:t>
      </w:r>
      <w:r w:rsidR="000A1EA3" w:rsidRPr="000A1EA3">
        <w:t xml:space="preserve"> accurate</w:t>
      </w:r>
      <w:r w:rsidR="000A1EA3">
        <w:t xml:space="preserve"> and</w:t>
      </w:r>
      <w:r w:rsidR="000A1EA3" w:rsidRPr="000A1EA3">
        <w:t xml:space="preserve"> timely advice</w:t>
      </w:r>
      <w:r w:rsidR="00D37326" w:rsidRPr="000A1EA3">
        <w:t xml:space="preserve"> where</w:t>
      </w:r>
      <w:r w:rsidR="00202C96">
        <w:t>ver</w:t>
      </w:r>
      <w:r w:rsidR="00D37326" w:rsidRPr="000A1EA3">
        <w:t xml:space="preserve"> possible and w</w:t>
      </w:r>
      <w:r w:rsidR="00F10B68" w:rsidRPr="000A1EA3">
        <w:t>ill continue to work with stakeholders</w:t>
      </w:r>
      <w:r w:rsidR="00B03860" w:rsidRPr="000A1EA3">
        <w:t xml:space="preserve"> to ensure they are kept informed of developments in the </w:t>
      </w:r>
      <w:r w:rsidR="00375288">
        <w:t>f</w:t>
      </w:r>
      <w:r w:rsidR="00B03860" w:rsidRPr="000A1EA3">
        <w:t xml:space="preserve">oreign </w:t>
      </w:r>
      <w:r w:rsidR="00375288">
        <w:t>i</w:t>
      </w:r>
      <w:r w:rsidR="00B03860" w:rsidRPr="000A1EA3">
        <w:t xml:space="preserve">nvestment </w:t>
      </w:r>
      <w:r w:rsidR="00375288">
        <w:t>f</w:t>
      </w:r>
      <w:r w:rsidR="00B03860" w:rsidRPr="000A1EA3">
        <w:t>ramework.</w:t>
      </w:r>
    </w:p>
    <w:p w14:paraId="2CE52EE7" w14:textId="77777777" w:rsidR="009B5A83" w:rsidRDefault="00B1315F" w:rsidP="002C432E">
      <w:pPr>
        <w:spacing w:before="180" w:after="180"/>
      </w:pPr>
      <w:r>
        <w:t xml:space="preserve">Feedback from certain stakeholders indicated concerns about the rationale of </w:t>
      </w:r>
      <w:r w:rsidR="007B7CB5">
        <w:t>applying</w:t>
      </w:r>
      <w:r>
        <w:t xml:space="preserve"> standard tax conditions on what they consider to be low risk investments, which results in increased regulatory and administrative burden</w:t>
      </w:r>
      <w:r w:rsidR="009B5A83">
        <w:t>. A key objective of implementing standard tax conditions was to improve regulatory certainty in response to stakeholder feedback.</w:t>
      </w:r>
    </w:p>
    <w:p w14:paraId="0863BB52" w14:textId="77777777" w:rsidR="00EC1DA6" w:rsidRDefault="000A1EA3" w:rsidP="00B860CC">
      <w:pPr>
        <w:spacing w:after="0"/>
      </w:pPr>
      <w:r w:rsidRPr="006F5528">
        <w:t xml:space="preserve">Statistics on phone enquiries and stakeholder engagements </w:t>
      </w:r>
      <w:r w:rsidR="00FF4864">
        <w:t>(</w:t>
      </w:r>
      <w:r w:rsidRPr="00814622">
        <w:t>Appendix A</w:t>
      </w:r>
      <w:r w:rsidR="00FF4864">
        <w:t>)</w:t>
      </w:r>
      <w:r w:rsidRPr="00814622">
        <w:t>.</w:t>
      </w:r>
    </w:p>
    <w:p w14:paraId="7515FAB9" w14:textId="77777777" w:rsidR="00EC1DA6" w:rsidRDefault="00EC1DA6" w:rsidP="00B860CC">
      <w:pPr>
        <w:spacing w:after="0"/>
        <w:sectPr w:rsidR="00EC1DA6" w:rsidSect="00F3163E">
          <w:headerReference w:type="default" r:id="rId49"/>
          <w:footerReference w:type="default" r:id="rId50"/>
          <w:pgSz w:w="11906" w:h="16838" w:code="277"/>
          <w:pgMar w:top="1440" w:right="1440" w:bottom="1440" w:left="1440" w:header="851" w:footer="851" w:gutter="0"/>
          <w:cols w:space="708"/>
          <w:docGrid w:linePitch="360"/>
        </w:sectPr>
      </w:pPr>
    </w:p>
    <w:p w14:paraId="473673FC" w14:textId="77777777" w:rsidR="006C4763" w:rsidRPr="006C4763" w:rsidRDefault="006C4763" w:rsidP="002C432E">
      <w:pPr>
        <w:pStyle w:val="Heading2"/>
      </w:pPr>
      <w:bookmarkStart w:id="26" w:name="_Toc501444831"/>
      <w:r w:rsidRPr="006C4763">
        <w:t>KPI 6 – Regulators actively contribute to the continuous improvement of regulatory frameworks</w:t>
      </w:r>
      <w:bookmarkEnd w:id="26"/>
    </w:p>
    <w:tbl>
      <w:tblPr>
        <w:tblW w:w="9021" w:type="dxa"/>
        <w:tblInd w:w="108" w:type="dxa"/>
        <w:tblLayout w:type="fixed"/>
        <w:tblLook w:val="04A0" w:firstRow="1" w:lastRow="0" w:firstColumn="1" w:lastColumn="0" w:noHBand="0" w:noVBand="1"/>
      </w:tblPr>
      <w:tblGrid>
        <w:gridCol w:w="3779"/>
        <w:gridCol w:w="5242"/>
      </w:tblGrid>
      <w:tr w:rsidR="00EC04DD" w14:paraId="1C1303A1" w14:textId="77777777" w:rsidTr="00BA3D7B">
        <w:tc>
          <w:tcPr>
            <w:tcW w:w="3800" w:type="dxa"/>
            <w:tcBorders>
              <w:top w:val="single" w:sz="2" w:space="0" w:color="1F497D" w:themeColor="text2"/>
              <w:bottom w:val="single" w:sz="2" w:space="0" w:color="1F497D" w:themeColor="text2"/>
            </w:tcBorders>
            <w:shd w:val="clear" w:color="auto" w:fill="DBE5F1" w:themeFill="accent1" w:themeFillTint="33"/>
          </w:tcPr>
          <w:p w14:paraId="0F0C528E" w14:textId="77777777" w:rsidR="00367696" w:rsidRDefault="00367696" w:rsidP="002C432E">
            <w:pPr>
              <w:pStyle w:val="TableColumnHeadingLeft"/>
            </w:pPr>
            <w:r w:rsidRPr="006A2A84">
              <w:t>Measures of good regulatory performance</w:t>
            </w:r>
          </w:p>
        </w:tc>
        <w:tc>
          <w:tcPr>
            <w:tcW w:w="5272" w:type="dxa"/>
            <w:tcBorders>
              <w:top w:val="single" w:sz="2" w:space="0" w:color="1F497D" w:themeColor="text2"/>
              <w:bottom w:val="single" w:sz="2" w:space="0" w:color="1F497D" w:themeColor="text2"/>
            </w:tcBorders>
            <w:shd w:val="clear" w:color="auto" w:fill="DBE5F1" w:themeFill="accent1" w:themeFillTint="33"/>
          </w:tcPr>
          <w:p w14:paraId="66C7DA6A" w14:textId="77777777" w:rsidR="00367696" w:rsidRDefault="00367696" w:rsidP="002C432E">
            <w:pPr>
              <w:pStyle w:val="TableColumnHeadingLeft"/>
            </w:pPr>
            <w:r w:rsidRPr="006A2A84">
              <w:t>Activity-based evidence and metrics</w:t>
            </w:r>
          </w:p>
        </w:tc>
      </w:tr>
      <w:tr w:rsidR="006C4763" w:rsidRPr="006A2A84" w14:paraId="53BDA127" w14:textId="77777777" w:rsidTr="00BA3D7B">
        <w:trPr>
          <w:trHeight w:val="250"/>
        </w:trPr>
        <w:tc>
          <w:tcPr>
            <w:tcW w:w="3800" w:type="dxa"/>
            <w:shd w:val="clear" w:color="auto" w:fill="F2F2F2" w:themeFill="background1" w:themeFillShade="F2"/>
          </w:tcPr>
          <w:p w14:paraId="207EF947" w14:textId="77777777" w:rsidR="006C4763" w:rsidRPr="006A2A84" w:rsidRDefault="006C4763" w:rsidP="002C432E">
            <w:pPr>
              <w:pStyle w:val="TableTextLeft"/>
              <w:spacing w:before="60" w:after="60"/>
            </w:pPr>
            <w:r w:rsidRPr="006A2A84">
              <w:t>Establish cooperative and collaborative relationships with stakeholders to promote trust and improve the efficiency and effectiveness of the regulatory framework.</w:t>
            </w:r>
          </w:p>
        </w:tc>
        <w:tc>
          <w:tcPr>
            <w:tcW w:w="5272" w:type="dxa"/>
            <w:shd w:val="clear" w:color="auto" w:fill="F2F2F2" w:themeFill="background1" w:themeFillShade="F2"/>
          </w:tcPr>
          <w:p w14:paraId="422DDEB4" w14:textId="77777777" w:rsidR="006C4763" w:rsidRPr="006A2A84" w:rsidRDefault="006C4763" w:rsidP="002C432E">
            <w:pPr>
              <w:pStyle w:val="TableTextLeft"/>
              <w:spacing w:before="60" w:after="60"/>
            </w:pPr>
            <w:r w:rsidRPr="006A2A84">
              <w:t>Qualitative assessment of processes designed to allow active and regular engagement with stakeholders.</w:t>
            </w:r>
          </w:p>
          <w:p w14:paraId="74C564EC" w14:textId="77777777" w:rsidR="006C4763" w:rsidRPr="006A2A84" w:rsidRDefault="006C4763" w:rsidP="002C432E">
            <w:pPr>
              <w:pStyle w:val="TableTextBullet"/>
              <w:spacing w:before="60" w:after="60"/>
            </w:pPr>
            <w:r w:rsidRPr="007B41A0">
              <w:t>Number of stakeholder engagement events.</w:t>
            </w:r>
          </w:p>
        </w:tc>
      </w:tr>
      <w:tr w:rsidR="006C4763" w:rsidRPr="006A2A84" w14:paraId="203571C3" w14:textId="77777777" w:rsidTr="00BA3D7B">
        <w:trPr>
          <w:trHeight w:val="250"/>
        </w:trPr>
        <w:tc>
          <w:tcPr>
            <w:tcW w:w="3800" w:type="dxa"/>
          </w:tcPr>
          <w:p w14:paraId="2CDC32E8" w14:textId="77777777" w:rsidR="006C4763" w:rsidRPr="006A2A84" w:rsidRDefault="006C4763" w:rsidP="002C432E">
            <w:pPr>
              <w:pStyle w:val="TableTextLeft"/>
              <w:spacing w:before="60" w:after="60"/>
            </w:pPr>
            <w:r w:rsidRPr="006A2A84">
              <w:t>Engage stakeholders in the development of options to reduce compliance costs.</w:t>
            </w:r>
          </w:p>
        </w:tc>
        <w:tc>
          <w:tcPr>
            <w:tcW w:w="5272" w:type="dxa"/>
          </w:tcPr>
          <w:p w14:paraId="1699AAAD" w14:textId="77777777" w:rsidR="006C4763" w:rsidRPr="006A2A84" w:rsidRDefault="006C4763" w:rsidP="002C432E">
            <w:pPr>
              <w:pStyle w:val="TableTextLeft"/>
              <w:spacing w:before="60" w:after="60"/>
            </w:pPr>
            <w:r w:rsidRPr="006A2A84">
              <w:t>Number of stakeholder events held to facilitate participation in the development and/or amendment of regulatory frameworks and a qualitative assessment of stakeholder satisfaction with those events.</w:t>
            </w:r>
          </w:p>
        </w:tc>
      </w:tr>
      <w:tr w:rsidR="006C4763" w:rsidRPr="006A2A84" w14:paraId="52C6015F" w14:textId="77777777" w:rsidTr="00BA3D7B">
        <w:trPr>
          <w:trHeight w:val="1420"/>
        </w:trPr>
        <w:tc>
          <w:tcPr>
            <w:tcW w:w="3800" w:type="dxa"/>
            <w:tcBorders>
              <w:bottom w:val="single" w:sz="2" w:space="0" w:color="1F497D" w:themeColor="text2"/>
            </w:tcBorders>
            <w:shd w:val="clear" w:color="auto" w:fill="F2F2F2" w:themeFill="background1" w:themeFillShade="F2"/>
          </w:tcPr>
          <w:p w14:paraId="3D5A012F" w14:textId="77777777" w:rsidR="006C4763" w:rsidRPr="00A022F3" w:rsidRDefault="006C4763" w:rsidP="002C432E">
            <w:pPr>
              <w:pStyle w:val="TableTextLeft"/>
              <w:spacing w:before="60" w:after="60"/>
            </w:pPr>
            <w:r w:rsidRPr="00A022F3">
              <w:t>Regularly share feedback from stakeholders and performance information with policy departments and across the Foreign Investment Division (FID) and other areas in Treasury to improve the operation of the regulatory framework and administrative processes.</w:t>
            </w:r>
          </w:p>
        </w:tc>
        <w:tc>
          <w:tcPr>
            <w:tcW w:w="5272" w:type="dxa"/>
            <w:tcBorders>
              <w:bottom w:val="single" w:sz="2" w:space="0" w:color="1F497D" w:themeColor="text2"/>
            </w:tcBorders>
            <w:shd w:val="clear" w:color="auto" w:fill="F2F2F2" w:themeFill="background1" w:themeFillShade="F2"/>
          </w:tcPr>
          <w:p w14:paraId="40EC3C85" w14:textId="77777777" w:rsidR="006C4763" w:rsidRPr="00A022F3" w:rsidRDefault="006C4763" w:rsidP="002C432E">
            <w:pPr>
              <w:pStyle w:val="TableTextLeft"/>
              <w:spacing w:before="60" w:after="60"/>
            </w:pPr>
            <w:r w:rsidRPr="00A022F3">
              <w:t>Processes are in place to facilitate the flow of information between the regulator on policy and regulatory functions in FID, other areas of Treasury and also other government agencies.</w:t>
            </w:r>
          </w:p>
          <w:p w14:paraId="41DA88FE" w14:textId="77777777" w:rsidR="006C4763" w:rsidRPr="00A022F3" w:rsidRDefault="006C4763" w:rsidP="002C432E">
            <w:pPr>
              <w:pStyle w:val="TableTextBullet"/>
              <w:spacing w:before="60" w:after="60"/>
            </w:pPr>
            <w:r w:rsidRPr="00A022F3">
              <w:t>Number of IDC meetings held.</w:t>
            </w:r>
          </w:p>
          <w:p w14:paraId="77C64778" w14:textId="77777777" w:rsidR="006C4763" w:rsidRPr="00A022F3" w:rsidRDefault="006C4763" w:rsidP="002C432E">
            <w:pPr>
              <w:pStyle w:val="TableTextBullet"/>
              <w:spacing w:before="60" w:after="60"/>
            </w:pPr>
            <w:r w:rsidRPr="00A022F3">
              <w:t>Number of stakeholder engagement events.</w:t>
            </w:r>
          </w:p>
          <w:p w14:paraId="0CB0C693" w14:textId="77777777" w:rsidR="006C4763" w:rsidRPr="00A022F3" w:rsidRDefault="006C4763" w:rsidP="002C432E">
            <w:pPr>
              <w:pStyle w:val="TableTextLeft"/>
              <w:spacing w:before="60" w:after="60"/>
            </w:pPr>
            <w:r w:rsidRPr="00A022F3">
              <w:t>Processes in place to improve understanding of foreign investment regime.</w:t>
            </w:r>
          </w:p>
          <w:p w14:paraId="74BEB22B" w14:textId="77777777" w:rsidR="006C4763" w:rsidRPr="00A022F3" w:rsidRDefault="006C4763" w:rsidP="002C432E">
            <w:pPr>
              <w:pStyle w:val="TableTextBullet"/>
              <w:spacing w:before="60" w:after="60"/>
            </w:pPr>
            <w:r w:rsidRPr="00A022F3">
              <w:t>Attend external meetings and seminars.</w:t>
            </w:r>
          </w:p>
        </w:tc>
      </w:tr>
    </w:tbl>
    <w:p w14:paraId="112F8CFB" w14:textId="77777777" w:rsidR="00D57C65" w:rsidRPr="006F5528" w:rsidRDefault="00D57C65" w:rsidP="002C432E">
      <w:pPr>
        <w:spacing w:before="200" w:after="200"/>
      </w:pPr>
      <w:r w:rsidRPr="006F5528">
        <w:t xml:space="preserve">FIRB </w:t>
      </w:r>
      <w:r w:rsidR="003C7732">
        <w:t xml:space="preserve">agencies </w:t>
      </w:r>
      <w:r w:rsidRPr="006F5528">
        <w:t>actively engage</w:t>
      </w:r>
      <w:r w:rsidR="0082572E">
        <w:t xml:space="preserve"> </w:t>
      </w:r>
      <w:r w:rsidRPr="006F5528">
        <w:t xml:space="preserve">with </w:t>
      </w:r>
      <w:r w:rsidRPr="00375288">
        <w:t xml:space="preserve">potential foreign investors and their representatives, </w:t>
      </w:r>
      <w:r w:rsidR="009421AE">
        <w:t xml:space="preserve">foreign governments, </w:t>
      </w:r>
      <w:r w:rsidRPr="00375288">
        <w:t xml:space="preserve">industry peak bodies </w:t>
      </w:r>
      <w:r w:rsidR="00F773CA">
        <w:t xml:space="preserve">and </w:t>
      </w:r>
      <w:r w:rsidRPr="00375288">
        <w:t>Australian</w:t>
      </w:r>
      <w:r w:rsidR="00202C96">
        <w:t xml:space="preserve"> </w:t>
      </w:r>
      <w:r w:rsidR="0082572E">
        <w:t>f</w:t>
      </w:r>
      <w:r w:rsidR="00202C96">
        <w:t>ederal</w:t>
      </w:r>
      <w:r w:rsidRPr="00375288">
        <w:t xml:space="preserve">, </w:t>
      </w:r>
      <w:r w:rsidR="0082572E">
        <w:t>s</w:t>
      </w:r>
      <w:r w:rsidRPr="00375288">
        <w:t xml:space="preserve">tate and </w:t>
      </w:r>
      <w:r w:rsidR="0082572E">
        <w:t>t</w:t>
      </w:r>
      <w:r w:rsidRPr="00375288">
        <w:t>erritory government departments, security agencies</w:t>
      </w:r>
      <w:r w:rsidRPr="006F5528">
        <w:t xml:space="preserve"> and authorities that are relevant to the foreign investment review process.</w:t>
      </w:r>
    </w:p>
    <w:p w14:paraId="68402923" w14:textId="77777777" w:rsidR="00D57C65" w:rsidRDefault="00A77273" w:rsidP="002C432E">
      <w:pPr>
        <w:spacing w:before="200" w:after="200"/>
      </w:pPr>
      <w:r>
        <w:t>Frequent, r</w:t>
      </w:r>
      <w:r w:rsidR="00D57C65" w:rsidRPr="006F5528">
        <w:t>egular and ad</w:t>
      </w:r>
      <w:r w:rsidR="00F773CA">
        <w:noBreakHyphen/>
      </w:r>
      <w:r w:rsidR="00D57C65" w:rsidRPr="006F5528">
        <w:t xml:space="preserve">hoc </w:t>
      </w:r>
      <w:r>
        <w:t>engagement</w:t>
      </w:r>
      <w:r w:rsidRPr="006F5528">
        <w:t xml:space="preserve"> </w:t>
      </w:r>
      <w:r w:rsidR="00D57C65" w:rsidRPr="006F5528">
        <w:t>sessions are held with these organisations, which are designed to develop a shared understanding of the foreign investment environment and to improve the experience of all participants.</w:t>
      </w:r>
    </w:p>
    <w:p w14:paraId="00770726" w14:textId="77777777" w:rsidR="004D6BB8" w:rsidRDefault="009421AE" w:rsidP="002C432E">
      <w:pPr>
        <w:spacing w:before="200" w:after="200"/>
      </w:pPr>
      <w:r>
        <w:t>In March 2017</w:t>
      </w:r>
      <w:r w:rsidR="00E77CE1">
        <w:t>,</w:t>
      </w:r>
      <w:r w:rsidR="00FE75A2">
        <w:t xml:space="preserve"> </w:t>
      </w:r>
      <w:r>
        <w:t xml:space="preserve">Treasury released a consultation paper inviting feedback on options to improve and streamline the foreign investment </w:t>
      </w:r>
      <w:r w:rsidR="00E77CE1">
        <w:t xml:space="preserve">and cost recovery </w:t>
      </w:r>
      <w:r w:rsidR="00FE75A2">
        <w:t>framework</w:t>
      </w:r>
      <w:r>
        <w:t>. During the four week process</w:t>
      </w:r>
      <w:r w:rsidR="00E77CE1">
        <w:t>,</w:t>
      </w:r>
      <w:r w:rsidR="0082572E">
        <w:t xml:space="preserve"> </w:t>
      </w:r>
      <w:r>
        <w:t>Treasury undertook targeted consultation with key stakeholder groups. This consultation process informed a suite of regulatory amendments announced in the 2017-18 Budget which took effect on 1 July 2017.</w:t>
      </w:r>
    </w:p>
    <w:p w14:paraId="7159F1B4" w14:textId="77777777" w:rsidR="009421AE" w:rsidRDefault="00EC55AF" w:rsidP="002C432E">
      <w:pPr>
        <w:spacing w:before="200" w:after="200"/>
      </w:pPr>
      <w:r>
        <w:t>In May 2017</w:t>
      </w:r>
      <w:r w:rsidR="00FE75A2">
        <w:t xml:space="preserve"> following the Budget</w:t>
      </w:r>
      <w:r w:rsidR="009421AE">
        <w:t>,</w:t>
      </w:r>
      <w:r>
        <w:t xml:space="preserve"> </w:t>
      </w:r>
      <w:r w:rsidR="009421AE">
        <w:t xml:space="preserve">Treasury </w:t>
      </w:r>
      <w:r w:rsidR="003C7732">
        <w:t xml:space="preserve">met </w:t>
      </w:r>
      <w:r w:rsidR="009421AE">
        <w:t xml:space="preserve">with </w:t>
      </w:r>
      <w:r w:rsidR="00E77CE1">
        <w:t>s</w:t>
      </w:r>
      <w:r w:rsidR="009421AE">
        <w:t>tate governments, investors and their legal and financial advisers to inform them of the proposed changes</w:t>
      </w:r>
      <w:r w:rsidR="00FF4864">
        <w:t>. A</w:t>
      </w:r>
      <w:r w:rsidR="009421AE">
        <w:t>s a result of this engagement</w:t>
      </w:r>
      <w:r w:rsidR="003C7732">
        <w:t>,</w:t>
      </w:r>
      <w:r w:rsidR="0082572E">
        <w:t xml:space="preserve"> </w:t>
      </w:r>
      <w:r w:rsidR="009421AE">
        <w:t xml:space="preserve">five further measures were included in the legislative amendment package that took effect on 1 July. </w:t>
      </w:r>
      <w:r w:rsidR="003418FA">
        <w:t xml:space="preserve">The amendments received positive feedback, particularly fee changes and the introduction of business exemption certificates. The amendments </w:t>
      </w:r>
      <w:r w:rsidR="00E77CE1">
        <w:t>are</w:t>
      </w:r>
      <w:r w:rsidR="002654B5">
        <w:t xml:space="preserve"> expected to </w:t>
      </w:r>
      <w:r w:rsidR="003418FA">
        <w:t>reduce compliance and regulatory burden.</w:t>
      </w:r>
    </w:p>
    <w:p w14:paraId="229A6960" w14:textId="029FA613" w:rsidR="00EC55AF" w:rsidRPr="00EC55AF" w:rsidRDefault="009421AE" w:rsidP="002C432E">
      <w:pPr>
        <w:spacing w:before="200" w:after="200"/>
      </w:pPr>
      <w:r>
        <w:t xml:space="preserve">Treasury supported the establishment of the </w:t>
      </w:r>
      <w:r w:rsidR="00944F44">
        <w:t xml:space="preserve">CIC </w:t>
      </w:r>
      <w:r>
        <w:t xml:space="preserve">and consultation on proposed regulatory measures to </w:t>
      </w:r>
      <w:r w:rsidR="003418FA">
        <w:t>better manage the national security risks of foreign involvement in critical infrastructure.</w:t>
      </w:r>
    </w:p>
    <w:p w14:paraId="314B173D" w14:textId="77777777" w:rsidR="00EC1DA6" w:rsidRDefault="009B102D" w:rsidP="002C432E">
      <w:pPr>
        <w:spacing w:before="200" w:after="200"/>
        <w:sectPr w:rsidR="00EC1DA6" w:rsidSect="00F3163E">
          <w:headerReference w:type="default" r:id="rId51"/>
          <w:footerReference w:type="default" r:id="rId52"/>
          <w:pgSz w:w="11906" w:h="16838" w:code="277"/>
          <w:pgMar w:top="1440" w:right="1440" w:bottom="1440" w:left="1440" w:header="851" w:footer="851" w:gutter="0"/>
          <w:cols w:space="708"/>
          <w:docGrid w:linePitch="360"/>
        </w:sectPr>
      </w:pPr>
      <w:r w:rsidRPr="006F5528">
        <w:t xml:space="preserve">FIRB </w:t>
      </w:r>
      <w:r>
        <w:t xml:space="preserve">agencies are </w:t>
      </w:r>
      <w:r w:rsidR="00DB138C" w:rsidRPr="005365D1">
        <w:t>also member</w:t>
      </w:r>
      <w:r>
        <w:t>s</w:t>
      </w:r>
      <w:r w:rsidR="00DB138C" w:rsidRPr="005365D1">
        <w:t xml:space="preserve"> of the </w:t>
      </w:r>
      <w:r w:rsidR="00D57C65" w:rsidRPr="005365D1">
        <w:t>Community of Practice for Commonwealth Regulators</w:t>
      </w:r>
      <w:r w:rsidR="00D80876" w:rsidRPr="005365D1">
        <w:t xml:space="preserve"> (CoP). The</w:t>
      </w:r>
      <w:r w:rsidR="00D80876">
        <w:t xml:space="preserve"> CoP is a platform</w:t>
      </w:r>
      <w:r w:rsidR="00D57C65" w:rsidRPr="00375288">
        <w:t xml:space="preserve"> </w:t>
      </w:r>
      <w:r w:rsidR="00D80876">
        <w:t xml:space="preserve">used </w:t>
      </w:r>
      <w:r w:rsidR="00DB138C">
        <w:t>to share knowledge and understanding of the different approaches</w:t>
      </w:r>
      <w:r w:rsidR="00BD07F6">
        <w:t xml:space="preserve"> </w:t>
      </w:r>
      <w:r w:rsidR="00DB138C">
        <w:t xml:space="preserve">adopted by </w:t>
      </w:r>
      <w:r w:rsidR="00D57C65" w:rsidRPr="00375288">
        <w:t>other regulators</w:t>
      </w:r>
      <w:r w:rsidR="00BD07F6">
        <w:t xml:space="preserve"> to the common challenges of implementing regulatory reform</w:t>
      </w:r>
      <w:r w:rsidR="00D57C65" w:rsidRPr="00375288">
        <w:t>.</w:t>
      </w:r>
    </w:p>
    <w:p w14:paraId="7C60ED12" w14:textId="77777777" w:rsidR="0090770E" w:rsidRPr="001D68F8" w:rsidRDefault="0090770E" w:rsidP="002C432E">
      <w:pPr>
        <w:pStyle w:val="Heading2"/>
      </w:pPr>
      <w:bookmarkStart w:id="27" w:name="_Toc501444832"/>
      <w:r>
        <w:t>Previous</w:t>
      </w:r>
      <w:r w:rsidRPr="001D68F8">
        <w:t xml:space="preserve"> Focus Areas</w:t>
      </w:r>
      <w:bookmarkEnd w:id="27"/>
    </w:p>
    <w:p w14:paraId="2D73B6C3" w14:textId="77777777" w:rsidR="0090770E" w:rsidRPr="00C77157" w:rsidRDefault="00C77157" w:rsidP="0090770E">
      <w:r w:rsidRPr="00C77157">
        <w:t>K</w:t>
      </w:r>
      <w:r w:rsidR="0090770E" w:rsidRPr="00C77157">
        <w:t xml:space="preserve">ey areas that FIRB </w:t>
      </w:r>
      <w:r w:rsidR="00D36F30">
        <w:t xml:space="preserve">agencies </w:t>
      </w:r>
      <w:r w:rsidR="0090770E" w:rsidRPr="00C77157">
        <w:t>focus</w:t>
      </w:r>
      <w:r w:rsidRPr="00C77157">
        <w:t xml:space="preserve">sed on in the </w:t>
      </w:r>
      <w:r w:rsidR="00235F1B">
        <w:t xml:space="preserve">reporting </w:t>
      </w:r>
      <w:r w:rsidR="0090770E" w:rsidRPr="00C77157">
        <w:t xml:space="preserve">period </w:t>
      </w:r>
      <w:r w:rsidRPr="00C77157">
        <w:t>we</w:t>
      </w:r>
      <w:r w:rsidR="0090770E" w:rsidRPr="00C77157">
        <w:t>re:</w:t>
      </w:r>
    </w:p>
    <w:p w14:paraId="4B372DFB" w14:textId="77777777" w:rsidR="0090770E" w:rsidRPr="00BA7DE1" w:rsidRDefault="0090770E" w:rsidP="00BA7DE1">
      <w:pPr>
        <w:pStyle w:val="Bullet"/>
      </w:pPr>
      <w:r w:rsidRPr="00BA7DE1">
        <w:t>improving the timeliness of information request responses and application processing times more generally by working closely with consult partners to agree timelines and priorities and to improve the flow of information;</w:t>
      </w:r>
    </w:p>
    <w:p w14:paraId="1EEBD98A" w14:textId="77777777" w:rsidR="003672B6" w:rsidRPr="00CD5E11" w:rsidRDefault="00F71F57" w:rsidP="00BA7DE1">
      <w:pPr>
        <w:pStyle w:val="Dash"/>
      </w:pPr>
      <w:r w:rsidRPr="00CD5E11">
        <w:t xml:space="preserve">feedback </w:t>
      </w:r>
      <w:r w:rsidR="00CD14E6" w:rsidRPr="00CD5E11">
        <w:t xml:space="preserve">from stakeholders has been </w:t>
      </w:r>
      <w:r w:rsidR="00B067FF" w:rsidRPr="00CD5E11">
        <w:t>positive to</w:t>
      </w:r>
      <w:r w:rsidR="005B16C9" w:rsidRPr="00CD5E11">
        <w:t>wards</w:t>
      </w:r>
      <w:r w:rsidR="00FA2DC7" w:rsidRPr="00CD5E11">
        <w:t xml:space="preserve"> </w:t>
      </w:r>
      <w:r w:rsidR="00D36F30">
        <w:t>Treasury’s</w:t>
      </w:r>
      <w:r w:rsidR="0082572E">
        <w:t xml:space="preserve"> </w:t>
      </w:r>
      <w:r w:rsidRPr="00CD5E11">
        <w:t>continue</w:t>
      </w:r>
      <w:r w:rsidR="00B067FF" w:rsidRPr="00CD5E11">
        <w:t>d</w:t>
      </w:r>
      <w:r w:rsidRPr="00CD5E11">
        <w:t xml:space="preserve"> work with stakeholders and consult partners on improving the timeliness of responses to information requests</w:t>
      </w:r>
      <w:r w:rsidR="005B16C9" w:rsidRPr="00CD5E11">
        <w:t>.</w:t>
      </w:r>
    </w:p>
    <w:p w14:paraId="5905576D" w14:textId="77777777" w:rsidR="0090770E" w:rsidRPr="00BA7DE1" w:rsidRDefault="0090770E" w:rsidP="00BA7DE1">
      <w:pPr>
        <w:pStyle w:val="Bullet"/>
      </w:pPr>
      <w:r w:rsidRPr="00BA7DE1">
        <w:t>streamlining the fee process by addressing system issues with the calculation of fees for certain types of applications;</w:t>
      </w:r>
    </w:p>
    <w:p w14:paraId="3CF7D7B3" w14:textId="77777777" w:rsidR="008471E1" w:rsidRPr="00CD5E11" w:rsidRDefault="00CD5E11" w:rsidP="00BA7DE1">
      <w:pPr>
        <w:pStyle w:val="Dash"/>
      </w:pPr>
      <w:r>
        <w:t>stakeholder feedback</w:t>
      </w:r>
      <w:r w:rsidR="00B94688">
        <w:t xml:space="preserve"> on</w:t>
      </w:r>
      <w:r>
        <w:t xml:space="preserve"> the </w:t>
      </w:r>
      <w:r w:rsidR="006017FE" w:rsidRPr="00CD5E11">
        <w:t xml:space="preserve">finalised changes for a simplified fee structure </w:t>
      </w:r>
      <w:r w:rsidR="00FF4864">
        <w:t>ha</w:t>
      </w:r>
      <w:r w:rsidR="00B94688">
        <w:t>s</w:t>
      </w:r>
      <w:r w:rsidR="00FF4864">
        <w:t xml:space="preserve"> been</w:t>
      </w:r>
      <w:r w:rsidR="006017FE" w:rsidRPr="00CD5E11">
        <w:t xml:space="preserve"> positive.</w:t>
      </w:r>
    </w:p>
    <w:p w14:paraId="0B1AC579" w14:textId="77777777" w:rsidR="0090770E" w:rsidRPr="00BA7DE1" w:rsidRDefault="0090770E" w:rsidP="00BA7DE1">
      <w:pPr>
        <w:pStyle w:val="Bullet"/>
      </w:pPr>
      <w:r w:rsidRPr="00BA7DE1">
        <w:t>redesigning the online application portal to provide a more flexible, user</w:t>
      </w:r>
      <w:r w:rsidR="00F773CA" w:rsidRPr="00BA7DE1">
        <w:noBreakHyphen/>
      </w:r>
      <w:r w:rsidRPr="00BA7DE1">
        <w:t>friendly experi</w:t>
      </w:r>
      <w:r w:rsidR="00BA7DE1" w:rsidRPr="00BA7DE1">
        <w:t>ence for all foreign investors;</w:t>
      </w:r>
    </w:p>
    <w:p w14:paraId="1D166576" w14:textId="77777777" w:rsidR="003672B6" w:rsidRPr="00CD5E11" w:rsidRDefault="00D36F30" w:rsidP="00BA7DE1">
      <w:pPr>
        <w:pStyle w:val="Dash"/>
      </w:pPr>
      <w:r>
        <w:t>Treasury</w:t>
      </w:r>
      <w:r w:rsidR="008965D3">
        <w:t xml:space="preserve"> continue</w:t>
      </w:r>
      <w:r w:rsidR="00FF4864">
        <w:t>s</w:t>
      </w:r>
      <w:r w:rsidR="008965D3">
        <w:t xml:space="preserve"> to</w:t>
      </w:r>
      <w:r w:rsidR="00FA2DC7" w:rsidRPr="00CD5E11">
        <w:t xml:space="preserve"> work closely with stakeholders to </w:t>
      </w:r>
      <w:r w:rsidR="008965D3">
        <w:t>inform the design and implementation of the new online application portal</w:t>
      </w:r>
      <w:r w:rsidR="00FA2DC7" w:rsidRPr="00CD5E11">
        <w:t>.</w:t>
      </w:r>
    </w:p>
    <w:p w14:paraId="7F3F23AC" w14:textId="77777777" w:rsidR="0090770E" w:rsidRPr="00BA7DE1" w:rsidRDefault="0090770E" w:rsidP="00BA7DE1">
      <w:pPr>
        <w:pStyle w:val="Bullet"/>
      </w:pPr>
      <w:r w:rsidRPr="00BA7DE1">
        <w:t xml:space="preserve">ensuring </w:t>
      </w:r>
      <w:r w:rsidR="00FF4864">
        <w:t xml:space="preserve">sufficient </w:t>
      </w:r>
      <w:r w:rsidRPr="00BA7DE1">
        <w:t xml:space="preserve">guidance </w:t>
      </w:r>
      <w:r w:rsidR="00FF4864">
        <w:t xml:space="preserve">is </w:t>
      </w:r>
      <w:r w:rsidRPr="00BA7DE1">
        <w:t>available on</w:t>
      </w:r>
      <w:r w:rsidR="00D36F30">
        <w:t xml:space="preserve"> the</w:t>
      </w:r>
      <w:r w:rsidRPr="00BA7DE1">
        <w:t xml:space="preserve"> FIRB website</w:t>
      </w:r>
      <w:r w:rsidR="006E0F46">
        <w:t xml:space="preserve"> that is complete and accurate;</w:t>
      </w:r>
    </w:p>
    <w:p w14:paraId="34488C73" w14:textId="77777777" w:rsidR="002D5F20" w:rsidRPr="00CD5E11" w:rsidRDefault="006017FE" w:rsidP="00BA7DE1">
      <w:pPr>
        <w:pStyle w:val="Dash"/>
      </w:pPr>
      <w:r w:rsidRPr="00CD5E11">
        <w:t>f</w:t>
      </w:r>
      <w:r w:rsidR="002D5F20" w:rsidRPr="00CD5E11">
        <w:t>eedback from stakeholders rate the quality of information and timeliness of updates on the FIRB website as high or very high. FIRB</w:t>
      </w:r>
      <w:r w:rsidR="00D36F30">
        <w:t xml:space="preserve"> agencies</w:t>
      </w:r>
      <w:r w:rsidR="002D5F20" w:rsidRPr="00CD5E11">
        <w:t xml:space="preserve"> c</w:t>
      </w:r>
      <w:r w:rsidR="006E0F46">
        <w:t>ontinue to regularly review the</w:t>
      </w:r>
      <w:r w:rsidR="002D5F20" w:rsidRPr="00CD5E11">
        <w:t xml:space="preserve"> website and update information to ensure it remains clear, relevant and current.</w:t>
      </w:r>
    </w:p>
    <w:p w14:paraId="5E40E121" w14:textId="77777777" w:rsidR="005F49E3" w:rsidRPr="00BA7DE1" w:rsidRDefault="00234BA3" w:rsidP="002C432E">
      <w:pPr>
        <w:pStyle w:val="Heading2"/>
      </w:pPr>
      <w:bookmarkStart w:id="28" w:name="_Toc501444833"/>
      <w:r w:rsidRPr="00BA7DE1">
        <w:t>Future Focus Areas</w:t>
      </w:r>
      <w:bookmarkEnd w:id="28"/>
    </w:p>
    <w:p w14:paraId="7A09A885" w14:textId="77777777" w:rsidR="001A7B38" w:rsidRPr="001A7B38" w:rsidRDefault="001A7B38" w:rsidP="00BA7DE1">
      <w:r w:rsidRPr="001A7B38">
        <w:t xml:space="preserve">Overall FIRB </w:t>
      </w:r>
      <w:r w:rsidR="00C85DE5">
        <w:t xml:space="preserve">agencies </w:t>
      </w:r>
      <w:r w:rsidR="00A77273">
        <w:t>w</w:t>
      </w:r>
      <w:r w:rsidR="00C85DE5">
        <w:t>ere</w:t>
      </w:r>
      <w:r w:rsidR="0082572E">
        <w:t xml:space="preserve"> </w:t>
      </w:r>
      <w:r w:rsidR="00A77273">
        <w:t>evaluated as performing</w:t>
      </w:r>
      <w:r w:rsidRPr="001A7B38">
        <w:t xml:space="preserve"> well </w:t>
      </w:r>
      <w:r w:rsidR="00800C3C">
        <w:t>against</w:t>
      </w:r>
      <w:r w:rsidR="00800C3C" w:rsidRPr="001A7B38">
        <w:t xml:space="preserve"> </w:t>
      </w:r>
      <w:r w:rsidRPr="001A7B38">
        <w:t>the standards set by the KPIs and metrics. Survey responses, however, highlighted a number of areas for improvement.</w:t>
      </w:r>
    </w:p>
    <w:p w14:paraId="5F92E7FB" w14:textId="77777777" w:rsidR="001A7B38" w:rsidRPr="001A7B38" w:rsidRDefault="00A77273" w:rsidP="00BA7DE1">
      <w:r>
        <w:t xml:space="preserve">Accordingly, over the next reporting period </w:t>
      </w:r>
      <w:r w:rsidR="00F12843">
        <w:t>FIRB agencies</w:t>
      </w:r>
      <w:r w:rsidR="001A7B38" w:rsidRPr="001A7B38">
        <w:t xml:space="preserve"> intend</w:t>
      </w:r>
      <w:r w:rsidR="0082572E">
        <w:t xml:space="preserve"> </w:t>
      </w:r>
      <w:r w:rsidR="001A7B38" w:rsidRPr="001A7B38">
        <w:t>to focus on</w:t>
      </w:r>
      <w:r>
        <w:t>:</w:t>
      </w:r>
    </w:p>
    <w:p w14:paraId="21DA7728" w14:textId="77777777" w:rsidR="00232970" w:rsidRPr="00BA7DE1" w:rsidRDefault="00DD0D17" w:rsidP="00BA7DE1">
      <w:pPr>
        <w:pStyle w:val="Bullet"/>
      </w:pPr>
      <w:r w:rsidRPr="00BA7DE1">
        <w:t>improv</w:t>
      </w:r>
      <w:r w:rsidR="00F12843">
        <w:t>ing</w:t>
      </w:r>
      <w:r w:rsidRPr="00BA7DE1">
        <w:t xml:space="preserve"> </w:t>
      </w:r>
      <w:r w:rsidR="00B03860" w:rsidRPr="00BA7DE1">
        <w:t>the timeliness of</w:t>
      </w:r>
      <w:r w:rsidR="00232970" w:rsidRPr="00BA7DE1">
        <w:t xml:space="preserve"> advice a</w:t>
      </w:r>
      <w:r w:rsidR="00707B14" w:rsidRPr="00BA7DE1">
        <w:t>nd application processing times;</w:t>
      </w:r>
    </w:p>
    <w:p w14:paraId="5519ED61" w14:textId="77777777" w:rsidR="003418FA" w:rsidRDefault="00941E54" w:rsidP="00BA7DE1">
      <w:pPr>
        <w:pStyle w:val="Bullet"/>
      </w:pPr>
      <w:r w:rsidRPr="00BA7DE1">
        <w:t xml:space="preserve">progressing </w:t>
      </w:r>
      <w:r w:rsidR="00EA55C5" w:rsidRPr="00BA7DE1">
        <w:t xml:space="preserve">the </w:t>
      </w:r>
      <w:r w:rsidR="00234BA3" w:rsidRPr="00BA7DE1">
        <w:t xml:space="preserve">redesign </w:t>
      </w:r>
      <w:r w:rsidR="007B5051" w:rsidRPr="00BA7DE1">
        <w:t xml:space="preserve">of </w:t>
      </w:r>
      <w:r w:rsidR="00234BA3" w:rsidRPr="00BA7DE1">
        <w:t>the online application portal to provide a more</w:t>
      </w:r>
      <w:r w:rsidR="004F0C12" w:rsidRPr="00BA7DE1">
        <w:t xml:space="preserve"> </w:t>
      </w:r>
      <w:r w:rsidR="00234BA3" w:rsidRPr="00BA7DE1">
        <w:t xml:space="preserve">flexible, user </w:t>
      </w:r>
      <w:r w:rsidR="005B1C33" w:rsidRPr="00BA7DE1">
        <w:t>friendly</w:t>
      </w:r>
      <w:r w:rsidR="00234BA3" w:rsidRPr="00BA7DE1">
        <w:t xml:space="preserve"> experience for </w:t>
      </w:r>
      <w:r w:rsidR="005B1C33" w:rsidRPr="00BA7DE1">
        <w:t xml:space="preserve">all </w:t>
      </w:r>
      <w:r w:rsidR="00234BA3" w:rsidRPr="00BA7DE1">
        <w:t>foreign investors</w:t>
      </w:r>
      <w:r w:rsidR="006E0F46">
        <w:t>;</w:t>
      </w:r>
    </w:p>
    <w:p w14:paraId="5EB496C0" w14:textId="77777777" w:rsidR="00C85DE5" w:rsidRDefault="00C85DE5" w:rsidP="00BA7DE1">
      <w:pPr>
        <w:pStyle w:val="Bullet"/>
      </w:pPr>
      <w:r>
        <w:t>continuing to encourage</w:t>
      </w:r>
      <w:r w:rsidR="00FE753D">
        <w:t xml:space="preserve"> </w:t>
      </w:r>
      <w:r>
        <w:t>investors and their advisors</w:t>
      </w:r>
      <w:r w:rsidR="00FE753D">
        <w:t xml:space="preserve"> in potentially sensitive assets</w:t>
      </w:r>
      <w:r>
        <w:t xml:space="preserve"> to engage early with FIRB </w:t>
      </w:r>
      <w:r w:rsidR="00F12843">
        <w:t>agencies</w:t>
      </w:r>
      <w:r w:rsidR="006E0F46">
        <w:t>;</w:t>
      </w:r>
    </w:p>
    <w:p w14:paraId="51082EE6" w14:textId="77777777" w:rsidR="003418FA" w:rsidRDefault="009B5A83" w:rsidP="00BA7DE1">
      <w:pPr>
        <w:pStyle w:val="Bullet"/>
      </w:pPr>
      <w:r>
        <w:t xml:space="preserve">supporting the </w:t>
      </w:r>
      <w:r w:rsidR="00944F44">
        <w:t>CIC</w:t>
      </w:r>
      <w:r>
        <w:t xml:space="preserve"> to provide investors with </w:t>
      </w:r>
      <w:r w:rsidR="003418FA">
        <w:t>greater clarity about the types of critical infrastructure assets that will attract national security scrutiny, potential ownership restrictions and mitigations; and</w:t>
      </w:r>
    </w:p>
    <w:p w14:paraId="41FBFDA7" w14:textId="77777777" w:rsidR="00D416DC" w:rsidRDefault="003418FA" w:rsidP="00D416DC">
      <w:pPr>
        <w:pStyle w:val="Bullet"/>
      </w:pPr>
      <w:r>
        <w:t>enhancing compliance capability and activities</w:t>
      </w:r>
      <w:r w:rsidR="00D416DC">
        <w:t>.</w:t>
      </w:r>
    </w:p>
    <w:p w14:paraId="7B3ED02C" w14:textId="77777777" w:rsidR="00D416DC" w:rsidRDefault="00D416DC" w:rsidP="00D416DC">
      <w:pPr>
        <w:pStyle w:val="Bullet"/>
        <w:numPr>
          <w:ilvl w:val="0"/>
          <w:numId w:val="0"/>
        </w:numPr>
        <w:ind w:left="283" w:hanging="283"/>
      </w:pPr>
    </w:p>
    <w:p w14:paraId="33C52664" w14:textId="77777777" w:rsidR="00D416DC" w:rsidRDefault="00D416DC" w:rsidP="00D416DC">
      <w:pPr>
        <w:pStyle w:val="Bullet"/>
        <w:numPr>
          <w:ilvl w:val="0"/>
          <w:numId w:val="0"/>
        </w:numPr>
        <w:ind w:left="283" w:hanging="283"/>
        <w:sectPr w:rsidR="00D416DC" w:rsidSect="00F3163E">
          <w:headerReference w:type="default" r:id="rId53"/>
          <w:footerReference w:type="default" r:id="rId54"/>
          <w:pgSz w:w="11906" w:h="16838" w:code="277"/>
          <w:pgMar w:top="1440" w:right="1440" w:bottom="1440" w:left="1440" w:header="851" w:footer="851" w:gutter="0"/>
          <w:cols w:space="708"/>
          <w:docGrid w:linePitch="360"/>
        </w:sectPr>
      </w:pPr>
    </w:p>
    <w:p w14:paraId="2D5E8E4A" w14:textId="77777777" w:rsidR="00C37C68" w:rsidRPr="00BA3D7B" w:rsidRDefault="00C37C68" w:rsidP="00775B9B">
      <w:pPr>
        <w:pStyle w:val="Heading1"/>
      </w:pPr>
      <w:bookmarkStart w:id="29" w:name="_Toc501444834"/>
      <w:r w:rsidRPr="00BA3D7B">
        <w:t>Appendix A</w:t>
      </w:r>
      <w:r w:rsidR="009747B9" w:rsidRPr="00BA3D7B">
        <w:t xml:space="preserve"> </w:t>
      </w:r>
      <w:r w:rsidR="000B28DE" w:rsidRPr="00BA3D7B">
        <w:t>–</w:t>
      </w:r>
      <w:r w:rsidR="009747B9" w:rsidRPr="00BA3D7B">
        <w:t xml:space="preserve"> Quantitative data</w:t>
      </w:r>
      <w:bookmarkEnd w:id="29"/>
    </w:p>
    <w:tbl>
      <w:tblPr>
        <w:tblW w:w="9126" w:type="dxa"/>
        <w:tblInd w:w="108" w:type="dxa"/>
        <w:tblLook w:val="04A0" w:firstRow="1" w:lastRow="0" w:firstColumn="1" w:lastColumn="0" w:noHBand="0" w:noVBand="1"/>
      </w:tblPr>
      <w:tblGrid>
        <w:gridCol w:w="4365"/>
        <w:gridCol w:w="1587"/>
        <w:gridCol w:w="1587"/>
        <w:gridCol w:w="1587"/>
      </w:tblGrid>
      <w:tr w:rsidR="00BA7DE1" w:rsidRPr="0055186B" w14:paraId="4A1F3422" w14:textId="77777777" w:rsidTr="002C432E">
        <w:tc>
          <w:tcPr>
            <w:tcW w:w="4365" w:type="dxa"/>
            <w:tcBorders>
              <w:top w:val="single" w:sz="2" w:space="0" w:color="1F497D" w:themeColor="text2"/>
              <w:bottom w:val="single" w:sz="2" w:space="0" w:color="1F497D" w:themeColor="text2"/>
            </w:tcBorders>
            <w:shd w:val="clear" w:color="auto" w:fill="DBE5F1" w:themeFill="accent1" w:themeFillTint="33"/>
          </w:tcPr>
          <w:p w14:paraId="1F857D0F" w14:textId="77777777" w:rsidR="00BA7DE1" w:rsidRPr="0055186B" w:rsidRDefault="00BA7DE1" w:rsidP="002C432E">
            <w:pPr>
              <w:pStyle w:val="TableColumnHeadingLeft"/>
            </w:pPr>
            <w:r w:rsidRPr="0055186B">
              <w:t>Metric</w:t>
            </w:r>
          </w:p>
        </w:tc>
        <w:tc>
          <w:tcPr>
            <w:tcW w:w="1587" w:type="dxa"/>
            <w:tcBorders>
              <w:top w:val="single" w:sz="2" w:space="0" w:color="1F497D" w:themeColor="text2"/>
              <w:bottom w:val="single" w:sz="2" w:space="0" w:color="1F497D" w:themeColor="text2"/>
            </w:tcBorders>
            <w:shd w:val="clear" w:color="auto" w:fill="DBE5F1" w:themeFill="accent1" w:themeFillTint="33"/>
          </w:tcPr>
          <w:p w14:paraId="5F1B698F" w14:textId="77777777" w:rsidR="00BA7DE1" w:rsidRPr="0055186B" w:rsidRDefault="00BA7DE1" w:rsidP="002C432E">
            <w:pPr>
              <w:pStyle w:val="TableColumnHeadingCentred"/>
            </w:pPr>
            <w:r w:rsidRPr="0055186B">
              <w:t>Residential</w:t>
            </w:r>
          </w:p>
        </w:tc>
        <w:tc>
          <w:tcPr>
            <w:tcW w:w="1587" w:type="dxa"/>
            <w:tcBorders>
              <w:top w:val="single" w:sz="2" w:space="0" w:color="1F497D" w:themeColor="text2"/>
              <w:bottom w:val="single" w:sz="2" w:space="0" w:color="1F497D" w:themeColor="text2"/>
            </w:tcBorders>
            <w:shd w:val="clear" w:color="auto" w:fill="DBE5F1" w:themeFill="accent1" w:themeFillTint="33"/>
          </w:tcPr>
          <w:p w14:paraId="39AD8D3C" w14:textId="77777777" w:rsidR="00BA7DE1" w:rsidRPr="0055186B" w:rsidRDefault="00BA7DE1" w:rsidP="002C432E">
            <w:pPr>
              <w:pStyle w:val="TableColumnHeadingCentred"/>
            </w:pPr>
            <w:r w:rsidRPr="0055186B">
              <w:t>Non residential</w:t>
            </w:r>
          </w:p>
        </w:tc>
        <w:tc>
          <w:tcPr>
            <w:tcW w:w="1587" w:type="dxa"/>
            <w:tcBorders>
              <w:top w:val="single" w:sz="2" w:space="0" w:color="1F497D" w:themeColor="text2"/>
              <w:bottom w:val="single" w:sz="2" w:space="0" w:color="1F497D" w:themeColor="text2"/>
            </w:tcBorders>
            <w:shd w:val="clear" w:color="auto" w:fill="DBE5F1" w:themeFill="accent1" w:themeFillTint="33"/>
          </w:tcPr>
          <w:p w14:paraId="520FFB0E" w14:textId="77777777" w:rsidR="00BA7DE1" w:rsidRPr="0055186B" w:rsidRDefault="00BA7DE1" w:rsidP="002C432E">
            <w:pPr>
              <w:pStyle w:val="TableColumnHeadingCentred"/>
            </w:pPr>
            <w:r>
              <w:t>Total</w:t>
            </w:r>
          </w:p>
        </w:tc>
      </w:tr>
      <w:tr w:rsidR="00BA7DE1" w:rsidRPr="0055186B" w14:paraId="4E3FEBAE" w14:textId="77777777" w:rsidTr="002C432E">
        <w:trPr>
          <w:trHeight w:val="151"/>
        </w:trPr>
        <w:tc>
          <w:tcPr>
            <w:tcW w:w="4365" w:type="dxa"/>
            <w:tcBorders>
              <w:top w:val="single" w:sz="2" w:space="0" w:color="1F497D" w:themeColor="text2"/>
            </w:tcBorders>
            <w:shd w:val="clear" w:color="auto" w:fill="F2F2F2" w:themeFill="background1" w:themeFillShade="F2"/>
          </w:tcPr>
          <w:p w14:paraId="2A1FD358" w14:textId="77777777" w:rsidR="00BA7DE1" w:rsidRPr="000B02A2" w:rsidRDefault="00BA7DE1" w:rsidP="00EC04DD">
            <w:pPr>
              <w:pStyle w:val="TableTextLeft"/>
            </w:pPr>
            <w:r w:rsidRPr="000B02A2">
              <w:t>Number of FIRB information sessions</w:t>
            </w:r>
          </w:p>
        </w:tc>
        <w:tc>
          <w:tcPr>
            <w:tcW w:w="1587" w:type="dxa"/>
            <w:tcBorders>
              <w:top w:val="single" w:sz="2" w:space="0" w:color="1F497D" w:themeColor="text2"/>
            </w:tcBorders>
            <w:shd w:val="clear" w:color="auto" w:fill="F2F2F2" w:themeFill="background1" w:themeFillShade="F2"/>
          </w:tcPr>
          <w:p w14:paraId="21FBAC64" w14:textId="77777777" w:rsidR="00BA7DE1" w:rsidRPr="0055186B" w:rsidRDefault="00BA7DE1" w:rsidP="00EC04DD">
            <w:pPr>
              <w:pStyle w:val="TableTextCentered"/>
              <w:rPr>
                <w:highlight w:val="yellow"/>
              </w:rPr>
            </w:pPr>
            <w:r>
              <w:t>25</w:t>
            </w:r>
          </w:p>
        </w:tc>
        <w:tc>
          <w:tcPr>
            <w:tcW w:w="1587" w:type="dxa"/>
            <w:tcBorders>
              <w:top w:val="single" w:sz="2" w:space="0" w:color="1F497D" w:themeColor="text2"/>
            </w:tcBorders>
            <w:shd w:val="clear" w:color="auto" w:fill="F2F2F2" w:themeFill="background1" w:themeFillShade="F2"/>
          </w:tcPr>
          <w:p w14:paraId="4F112E80" w14:textId="77777777" w:rsidR="00BA7DE1" w:rsidRPr="0055186B" w:rsidRDefault="00BA7DE1" w:rsidP="00EC04DD">
            <w:pPr>
              <w:pStyle w:val="TableTextCentered"/>
              <w:rPr>
                <w:highlight w:val="yellow"/>
              </w:rPr>
            </w:pPr>
            <w:r w:rsidRPr="000B02A2">
              <w:t>16</w:t>
            </w:r>
          </w:p>
        </w:tc>
        <w:tc>
          <w:tcPr>
            <w:tcW w:w="1587" w:type="dxa"/>
            <w:tcBorders>
              <w:top w:val="single" w:sz="2" w:space="0" w:color="1F497D" w:themeColor="text2"/>
            </w:tcBorders>
            <w:shd w:val="clear" w:color="auto" w:fill="F2F2F2" w:themeFill="background1" w:themeFillShade="F2"/>
          </w:tcPr>
          <w:p w14:paraId="6131CADA" w14:textId="77777777" w:rsidR="00BA7DE1" w:rsidRPr="000B02A2" w:rsidRDefault="00BA7DE1" w:rsidP="00EC04DD">
            <w:pPr>
              <w:pStyle w:val="TableTextCentered"/>
            </w:pPr>
            <w:r>
              <w:t>41</w:t>
            </w:r>
          </w:p>
        </w:tc>
      </w:tr>
      <w:tr w:rsidR="00BA7DE1" w:rsidRPr="0055186B" w14:paraId="1611A89D" w14:textId="77777777" w:rsidTr="002C432E">
        <w:tc>
          <w:tcPr>
            <w:tcW w:w="4365" w:type="dxa"/>
          </w:tcPr>
          <w:p w14:paraId="05414DED" w14:textId="77777777" w:rsidR="00BA7DE1" w:rsidRPr="000B02A2" w:rsidRDefault="00BA7DE1" w:rsidP="00EC04DD">
            <w:pPr>
              <w:pStyle w:val="TableTextLeft"/>
            </w:pPr>
            <w:r w:rsidRPr="000B02A2">
              <w:t>Number of IDCs</w:t>
            </w:r>
          </w:p>
        </w:tc>
        <w:tc>
          <w:tcPr>
            <w:tcW w:w="1587" w:type="dxa"/>
          </w:tcPr>
          <w:p w14:paraId="35573D2A" w14:textId="77777777" w:rsidR="00BA7DE1" w:rsidRPr="0055186B" w:rsidRDefault="00BA7DE1" w:rsidP="00EC04DD">
            <w:pPr>
              <w:pStyle w:val="TableTextCentered"/>
              <w:rPr>
                <w:highlight w:val="yellow"/>
              </w:rPr>
            </w:pPr>
            <w:r w:rsidRPr="00A43453">
              <w:t>9</w:t>
            </w:r>
          </w:p>
        </w:tc>
        <w:tc>
          <w:tcPr>
            <w:tcW w:w="1587" w:type="dxa"/>
          </w:tcPr>
          <w:p w14:paraId="6ED23358" w14:textId="77777777" w:rsidR="00BA7DE1" w:rsidRPr="0055186B" w:rsidRDefault="00BA7DE1" w:rsidP="00EC04DD">
            <w:pPr>
              <w:pStyle w:val="TableTextCentered"/>
              <w:rPr>
                <w:highlight w:val="yellow"/>
              </w:rPr>
            </w:pPr>
            <w:r w:rsidRPr="000B02A2">
              <w:t>14</w:t>
            </w:r>
          </w:p>
        </w:tc>
        <w:tc>
          <w:tcPr>
            <w:tcW w:w="1587" w:type="dxa"/>
          </w:tcPr>
          <w:p w14:paraId="1108B4ED" w14:textId="77777777" w:rsidR="00BA7DE1" w:rsidRPr="000B02A2" w:rsidRDefault="00BA7DE1" w:rsidP="00EC04DD">
            <w:pPr>
              <w:pStyle w:val="TableTextCentered"/>
            </w:pPr>
            <w:r>
              <w:t>23</w:t>
            </w:r>
          </w:p>
        </w:tc>
      </w:tr>
      <w:tr w:rsidR="00BA7DE1" w:rsidRPr="0055186B" w14:paraId="005469D2" w14:textId="77777777" w:rsidTr="002C432E">
        <w:tc>
          <w:tcPr>
            <w:tcW w:w="4365" w:type="dxa"/>
            <w:shd w:val="clear" w:color="auto" w:fill="F2F2F2" w:themeFill="background1" w:themeFillShade="F2"/>
          </w:tcPr>
          <w:p w14:paraId="3E7E5192" w14:textId="77777777" w:rsidR="00BA7DE1" w:rsidRPr="000B02A2" w:rsidRDefault="00BA7DE1" w:rsidP="00EC04DD">
            <w:pPr>
              <w:pStyle w:val="TableTextLeft"/>
            </w:pPr>
            <w:r w:rsidRPr="000B02A2">
              <w:t>Number of stakeholder engagement events</w:t>
            </w:r>
          </w:p>
        </w:tc>
        <w:tc>
          <w:tcPr>
            <w:tcW w:w="1587" w:type="dxa"/>
            <w:shd w:val="clear" w:color="auto" w:fill="F2F2F2" w:themeFill="background1" w:themeFillShade="F2"/>
          </w:tcPr>
          <w:p w14:paraId="0F0C3345" w14:textId="77777777" w:rsidR="00BA7DE1" w:rsidRPr="0055186B" w:rsidRDefault="00BA7DE1" w:rsidP="00EC04DD">
            <w:pPr>
              <w:pStyle w:val="TableTextCentered"/>
              <w:rPr>
                <w:highlight w:val="yellow"/>
              </w:rPr>
            </w:pPr>
            <w:r w:rsidRPr="00A43453">
              <w:t>25</w:t>
            </w:r>
          </w:p>
        </w:tc>
        <w:tc>
          <w:tcPr>
            <w:tcW w:w="1587" w:type="dxa"/>
            <w:shd w:val="clear" w:color="auto" w:fill="F2F2F2" w:themeFill="background1" w:themeFillShade="F2"/>
          </w:tcPr>
          <w:p w14:paraId="6217A0C0" w14:textId="77777777" w:rsidR="00BA7DE1" w:rsidRPr="0055186B" w:rsidRDefault="00BA7DE1" w:rsidP="00EC04DD">
            <w:pPr>
              <w:pStyle w:val="TableTextCentered"/>
              <w:rPr>
                <w:highlight w:val="yellow"/>
              </w:rPr>
            </w:pPr>
            <w:r w:rsidRPr="000B02A2">
              <w:t>242</w:t>
            </w:r>
          </w:p>
        </w:tc>
        <w:tc>
          <w:tcPr>
            <w:tcW w:w="1587" w:type="dxa"/>
            <w:shd w:val="clear" w:color="auto" w:fill="F2F2F2" w:themeFill="background1" w:themeFillShade="F2"/>
          </w:tcPr>
          <w:p w14:paraId="3F7ED8EA" w14:textId="77777777" w:rsidR="00BA7DE1" w:rsidRPr="000B02A2" w:rsidRDefault="00BA7DE1" w:rsidP="00EC04DD">
            <w:pPr>
              <w:pStyle w:val="TableTextCentered"/>
            </w:pPr>
            <w:r>
              <w:t>267</w:t>
            </w:r>
          </w:p>
        </w:tc>
      </w:tr>
      <w:tr w:rsidR="00BA7DE1" w:rsidRPr="0055186B" w14:paraId="6E896D13" w14:textId="77777777" w:rsidTr="002C432E">
        <w:tc>
          <w:tcPr>
            <w:tcW w:w="4365" w:type="dxa"/>
          </w:tcPr>
          <w:p w14:paraId="416C447A" w14:textId="77777777" w:rsidR="00BA7DE1" w:rsidRPr="0055186B" w:rsidRDefault="00BA7DE1" w:rsidP="00EC04DD">
            <w:pPr>
              <w:pStyle w:val="TableTextLeft"/>
              <w:rPr>
                <w:highlight w:val="yellow"/>
              </w:rPr>
            </w:pPr>
            <w:r w:rsidRPr="00A43453">
              <w:t>Number of attendees at stakeholder events</w:t>
            </w:r>
          </w:p>
        </w:tc>
        <w:tc>
          <w:tcPr>
            <w:tcW w:w="1587" w:type="dxa"/>
          </w:tcPr>
          <w:p w14:paraId="718BD615" w14:textId="77777777" w:rsidR="00BA7DE1" w:rsidRPr="0055186B" w:rsidRDefault="00BA7DE1" w:rsidP="00A43453">
            <w:pPr>
              <w:pStyle w:val="TableTextCentered"/>
              <w:rPr>
                <w:highlight w:val="yellow"/>
              </w:rPr>
            </w:pPr>
          </w:p>
        </w:tc>
        <w:tc>
          <w:tcPr>
            <w:tcW w:w="1587" w:type="dxa"/>
          </w:tcPr>
          <w:p w14:paraId="1CA0E316" w14:textId="77777777" w:rsidR="00BA7DE1" w:rsidRPr="0055186B" w:rsidRDefault="00BA7DE1" w:rsidP="00A43453">
            <w:pPr>
              <w:pStyle w:val="TableTextCentered"/>
              <w:rPr>
                <w:highlight w:val="yellow"/>
              </w:rPr>
            </w:pPr>
          </w:p>
        </w:tc>
        <w:tc>
          <w:tcPr>
            <w:tcW w:w="1587" w:type="dxa"/>
          </w:tcPr>
          <w:p w14:paraId="6334756B" w14:textId="77777777" w:rsidR="00BA7DE1" w:rsidRPr="00A43453" w:rsidRDefault="00BA7DE1" w:rsidP="00A43453">
            <w:pPr>
              <w:pStyle w:val="TableTextCentered"/>
            </w:pPr>
            <w:r>
              <w:t>2,000</w:t>
            </w:r>
          </w:p>
        </w:tc>
      </w:tr>
      <w:tr w:rsidR="00BA7DE1" w:rsidRPr="0055186B" w14:paraId="70B5E801" w14:textId="77777777" w:rsidTr="002C432E">
        <w:tc>
          <w:tcPr>
            <w:tcW w:w="4365" w:type="dxa"/>
            <w:tcBorders>
              <w:bottom w:val="single" w:sz="2" w:space="0" w:color="1F497D" w:themeColor="text2"/>
            </w:tcBorders>
            <w:shd w:val="clear" w:color="auto" w:fill="F2F2F2" w:themeFill="background1" w:themeFillShade="F2"/>
          </w:tcPr>
          <w:p w14:paraId="292A5EA0" w14:textId="77777777" w:rsidR="00BA7DE1" w:rsidRPr="00CB17AC" w:rsidRDefault="00BA7DE1" w:rsidP="00EC04DD">
            <w:pPr>
              <w:pStyle w:val="TableTextLeft"/>
            </w:pPr>
            <w:r w:rsidRPr="00CB17AC">
              <w:t>Number of phone calls received via the FIRB Enquiry Line (not including calls made directly to case officers)</w:t>
            </w:r>
          </w:p>
        </w:tc>
        <w:tc>
          <w:tcPr>
            <w:tcW w:w="1587" w:type="dxa"/>
            <w:tcBorders>
              <w:bottom w:val="single" w:sz="2" w:space="0" w:color="1F497D" w:themeColor="text2"/>
            </w:tcBorders>
            <w:shd w:val="clear" w:color="auto" w:fill="F2F2F2" w:themeFill="background1" w:themeFillShade="F2"/>
          </w:tcPr>
          <w:p w14:paraId="597CE92E" w14:textId="77777777" w:rsidR="00BA7DE1" w:rsidRPr="00CB17AC" w:rsidRDefault="00BA7DE1" w:rsidP="00EC04DD">
            <w:pPr>
              <w:pStyle w:val="TableTextCentered"/>
            </w:pPr>
            <w:r w:rsidRPr="00CB17AC">
              <w:t>17,965</w:t>
            </w:r>
          </w:p>
        </w:tc>
        <w:tc>
          <w:tcPr>
            <w:tcW w:w="1587" w:type="dxa"/>
            <w:tcBorders>
              <w:bottom w:val="single" w:sz="2" w:space="0" w:color="1F497D" w:themeColor="text2"/>
            </w:tcBorders>
            <w:shd w:val="clear" w:color="auto" w:fill="F2F2F2" w:themeFill="background1" w:themeFillShade="F2"/>
          </w:tcPr>
          <w:p w14:paraId="280A6760" w14:textId="77777777" w:rsidR="00BA7DE1" w:rsidRPr="0055186B" w:rsidRDefault="00BA7DE1" w:rsidP="00EC04DD">
            <w:pPr>
              <w:pStyle w:val="TableTextCentered"/>
            </w:pPr>
            <w:r w:rsidRPr="00CB17AC">
              <w:t>3,818</w:t>
            </w:r>
          </w:p>
        </w:tc>
        <w:tc>
          <w:tcPr>
            <w:tcW w:w="1587" w:type="dxa"/>
            <w:tcBorders>
              <w:bottom w:val="single" w:sz="2" w:space="0" w:color="1F497D" w:themeColor="text2"/>
            </w:tcBorders>
            <w:shd w:val="clear" w:color="auto" w:fill="F2F2F2" w:themeFill="background1" w:themeFillShade="F2"/>
          </w:tcPr>
          <w:p w14:paraId="322C834D" w14:textId="77777777" w:rsidR="00BA7DE1" w:rsidRPr="00CB17AC" w:rsidRDefault="00BA7DE1" w:rsidP="00EC04DD">
            <w:pPr>
              <w:pStyle w:val="TableTextCentered"/>
            </w:pPr>
            <w:r>
              <w:t>21,783</w:t>
            </w:r>
          </w:p>
        </w:tc>
      </w:tr>
    </w:tbl>
    <w:p w14:paraId="0D924FB3" w14:textId="77777777" w:rsidR="002C432E" w:rsidRPr="0055186B" w:rsidRDefault="002C432E" w:rsidP="00EC04DD"/>
    <w:tbl>
      <w:tblPr>
        <w:tblW w:w="9127" w:type="dxa"/>
        <w:tblInd w:w="108" w:type="dxa"/>
        <w:tblLook w:val="04A0" w:firstRow="1" w:lastRow="0" w:firstColumn="1" w:lastColumn="0" w:noHBand="0" w:noVBand="1"/>
      </w:tblPr>
      <w:tblGrid>
        <w:gridCol w:w="4365"/>
        <w:gridCol w:w="4762"/>
      </w:tblGrid>
      <w:tr w:rsidR="00C37C68" w:rsidRPr="0055186B" w14:paraId="0D6302C9" w14:textId="77777777" w:rsidTr="002C432E">
        <w:tc>
          <w:tcPr>
            <w:tcW w:w="4365" w:type="dxa"/>
            <w:tcBorders>
              <w:top w:val="single" w:sz="2" w:space="0" w:color="1F497D" w:themeColor="text2"/>
              <w:bottom w:val="single" w:sz="2" w:space="0" w:color="1F497D" w:themeColor="text2"/>
            </w:tcBorders>
            <w:shd w:val="clear" w:color="auto" w:fill="DBE5F1" w:themeFill="accent1" w:themeFillTint="33"/>
          </w:tcPr>
          <w:p w14:paraId="410837B4" w14:textId="77777777" w:rsidR="00C37C68" w:rsidRPr="0055186B" w:rsidRDefault="00C37C68" w:rsidP="002C432E">
            <w:pPr>
              <w:pStyle w:val="TableColumnHeadingLeft"/>
            </w:pPr>
            <w:r w:rsidRPr="0055186B">
              <w:t>201</w:t>
            </w:r>
            <w:r w:rsidR="00035013" w:rsidRPr="0055186B">
              <w:t>6</w:t>
            </w:r>
            <w:r w:rsidR="007F1F73">
              <w:t>–</w:t>
            </w:r>
            <w:r w:rsidRPr="0055186B">
              <w:t>1</w:t>
            </w:r>
            <w:r w:rsidR="00035013" w:rsidRPr="0055186B">
              <w:t>7</w:t>
            </w:r>
            <w:r w:rsidRPr="0055186B">
              <w:t xml:space="preserve"> </w:t>
            </w:r>
            <w:r w:rsidR="00941E54">
              <w:t>c</w:t>
            </w:r>
            <w:r w:rsidR="00941E54" w:rsidRPr="0055186B">
              <w:t xml:space="preserve">ompliance </w:t>
            </w:r>
            <w:r w:rsidRPr="0055186B">
              <w:t>activities</w:t>
            </w:r>
          </w:p>
        </w:tc>
        <w:tc>
          <w:tcPr>
            <w:tcW w:w="4762" w:type="dxa"/>
            <w:tcBorders>
              <w:top w:val="single" w:sz="2" w:space="0" w:color="1F497D" w:themeColor="text2"/>
              <w:bottom w:val="single" w:sz="2" w:space="0" w:color="1F497D" w:themeColor="text2"/>
            </w:tcBorders>
            <w:shd w:val="clear" w:color="auto" w:fill="DBE5F1" w:themeFill="accent1" w:themeFillTint="33"/>
          </w:tcPr>
          <w:p w14:paraId="734DDEA3" w14:textId="77777777" w:rsidR="00C37C68" w:rsidRPr="0055186B" w:rsidRDefault="00C37C68" w:rsidP="002C432E">
            <w:pPr>
              <w:pStyle w:val="TableColumnHeadingLeft"/>
            </w:pPr>
          </w:p>
        </w:tc>
      </w:tr>
      <w:tr w:rsidR="00C37C68" w:rsidRPr="00A43453" w14:paraId="17921192" w14:textId="77777777" w:rsidTr="002C432E">
        <w:tc>
          <w:tcPr>
            <w:tcW w:w="4365" w:type="dxa"/>
            <w:tcBorders>
              <w:top w:val="single" w:sz="2" w:space="0" w:color="1F497D" w:themeColor="text2"/>
            </w:tcBorders>
            <w:shd w:val="clear" w:color="auto" w:fill="F2F2F2" w:themeFill="background1" w:themeFillShade="F2"/>
          </w:tcPr>
          <w:p w14:paraId="2A6E9E54" w14:textId="77777777" w:rsidR="00C37C68" w:rsidRPr="00A43453" w:rsidRDefault="00C37C68" w:rsidP="00EC04DD">
            <w:pPr>
              <w:pStyle w:val="TableTextLeft"/>
            </w:pPr>
            <w:r w:rsidRPr="00A43453">
              <w:t>Number of matters referred for investigation</w:t>
            </w:r>
          </w:p>
        </w:tc>
        <w:tc>
          <w:tcPr>
            <w:tcW w:w="4762" w:type="dxa"/>
            <w:tcBorders>
              <w:top w:val="single" w:sz="2" w:space="0" w:color="1F497D" w:themeColor="text2"/>
            </w:tcBorders>
            <w:shd w:val="clear" w:color="auto" w:fill="F2F2F2" w:themeFill="background1" w:themeFillShade="F2"/>
          </w:tcPr>
          <w:p w14:paraId="70BCD707" w14:textId="77777777" w:rsidR="00C37C68" w:rsidRPr="00A43453" w:rsidRDefault="00A43453" w:rsidP="00E360EB">
            <w:pPr>
              <w:pStyle w:val="TableTextLeft"/>
              <w:jc w:val="center"/>
            </w:pPr>
            <w:r>
              <w:t>1,669</w:t>
            </w:r>
          </w:p>
        </w:tc>
      </w:tr>
      <w:tr w:rsidR="00C37C68" w:rsidRPr="00A43453" w14:paraId="4F8BE834" w14:textId="77777777" w:rsidTr="002C432E">
        <w:tc>
          <w:tcPr>
            <w:tcW w:w="4365" w:type="dxa"/>
            <w:shd w:val="clear" w:color="auto" w:fill="auto"/>
          </w:tcPr>
          <w:p w14:paraId="59B8C26A" w14:textId="77777777" w:rsidR="00C37C68" w:rsidRPr="00A43453" w:rsidRDefault="00250D41" w:rsidP="00EC04DD">
            <w:pPr>
              <w:pStyle w:val="TableTextLeft"/>
            </w:pPr>
            <w:r>
              <w:t>*</w:t>
            </w:r>
            <w:r w:rsidR="00C37C68" w:rsidRPr="00A43453">
              <w:t>Number of properties required to be sold</w:t>
            </w:r>
          </w:p>
        </w:tc>
        <w:tc>
          <w:tcPr>
            <w:tcW w:w="4762" w:type="dxa"/>
            <w:shd w:val="clear" w:color="auto" w:fill="auto"/>
          </w:tcPr>
          <w:p w14:paraId="20073513" w14:textId="77777777" w:rsidR="00C37C68" w:rsidRPr="00A43453" w:rsidRDefault="00C37C68" w:rsidP="00E360EB">
            <w:pPr>
              <w:pStyle w:val="TableTextLeft"/>
              <w:jc w:val="center"/>
            </w:pPr>
            <w:r w:rsidRPr="00A43453">
              <w:t>30</w:t>
            </w:r>
          </w:p>
        </w:tc>
      </w:tr>
      <w:tr w:rsidR="00C37C68" w:rsidRPr="00A43453" w14:paraId="0C072F17" w14:textId="77777777" w:rsidTr="002C432E">
        <w:tc>
          <w:tcPr>
            <w:tcW w:w="4365" w:type="dxa"/>
            <w:shd w:val="clear" w:color="auto" w:fill="F2F2F2" w:themeFill="background1" w:themeFillShade="F2"/>
          </w:tcPr>
          <w:p w14:paraId="4557E59D" w14:textId="77777777" w:rsidR="00C37C68" w:rsidRPr="00A43453" w:rsidRDefault="00C37C68" w:rsidP="00EC04DD">
            <w:pPr>
              <w:pStyle w:val="TableTextLeft"/>
            </w:pPr>
            <w:r w:rsidRPr="00A43453">
              <w:t>Value of properties required to be sold</w:t>
            </w:r>
          </w:p>
        </w:tc>
        <w:tc>
          <w:tcPr>
            <w:tcW w:w="4762" w:type="dxa"/>
            <w:shd w:val="clear" w:color="auto" w:fill="F2F2F2" w:themeFill="background1" w:themeFillShade="F2"/>
          </w:tcPr>
          <w:p w14:paraId="58107FE4" w14:textId="77777777" w:rsidR="00C37C68" w:rsidRPr="00912282" w:rsidRDefault="00A43453" w:rsidP="00E360EB">
            <w:pPr>
              <w:pStyle w:val="TableTextLeft"/>
              <w:jc w:val="center"/>
              <w:rPr>
                <w:color w:val="auto"/>
              </w:rPr>
            </w:pPr>
            <w:r w:rsidRPr="00912282">
              <w:rPr>
                <w:color w:val="auto"/>
              </w:rPr>
              <w:t>$34,304,889</w:t>
            </w:r>
          </w:p>
        </w:tc>
      </w:tr>
      <w:tr w:rsidR="00C37C68" w:rsidRPr="00066231" w14:paraId="25C29E04" w14:textId="77777777" w:rsidTr="002C432E">
        <w:tc>
          <w:tcPr>
            <w:tcW w:w="4365" w:type="dxa"/>
            <w:shd w:val="clear" w:color="auto" w:fill="auto"/>
          </w:tcPr>
          <w:p w14:paraId="0AA62FFE" w14:textId="77777777" w:rsidR="00C37C68" w:rsidRPr="00A43453" w:rsidRDefault="00C37C68" w:rsidP="00EC04DD">
            <w:pPr>
              <w:pStyle w:val="TableTextLeft"/>
            </w:pPr>
            <w:r w:rsidRPr="00A43453">
              <w:t xml:space="preserve">Number of </w:t>
            </w:r>
            <w:r w:rsidR="00A43453">
              <w:t xml:space="preserve">Infringement </w:t>
            </w:r>
            <w:r w:rsidRPr="00A43453">
              <w:t>Penalties</w:t>
            </w:r>
          </w:p>
        </w:tc>
        <w:tc>
          <w:tcPr>
            <w:tcW w:w="4762" w:type="dxa"/>
            <w:shd w:val="clear" w:color="auto" w:fill="auto"/>
          </w:tcPr>
          <w:p w14:paraId="248BE450" w14:textId="77777777" w:rsidR="00C37C68" w:rsidRPr="00912282" w:rsidRDefault="001E6183" w:rsidP="00E360EB">
            <w:pPr>
              <w:pStyle w:val="TableTextLeft"/>
              <w:jc w:val="center"/>
              <w:rPr>
                <w:color w:val="auto"/>
              </w:rPr>
            </w:pPr>
            <w:r w:rsidRPr="00912282">
              <w:rPr>
                <w:color w:val="auto"/>
              </w:rPr>
              <w:t>4</w:t>
            </w:r>
            <w:r w:rsidR="00912282" w:rsidRPr="00912282">
              <w:rPr>
                <w:color w:val="auto"/>
              </w:rPr>
              <w:t>17</w:t>
            </w:r>
          </w:p>
        </w:tc>
      </w:tr>
      <w:tr w:rsidR="00A43453" w:rsidRPr="00A43453" w14:paraId="219E273D" w14:textId="77777777" w:rsidTr="002C432E">
        <w:tc>
          <w:tcPr>
            <w:tcW w:w="4365" w:type="dxa"/>
            <w:tcBorders>
              <w:bottom w:val="single" w:sz="4" w:space="0" w:color="auto"/>
            </w:tcBorders>
            <w:shd w:val="clear" w:color="auto" w:fill="F2F2F2" w:themeFill="background1" w:themeFillShade="F2"/>
          </w:tcPr>
          <w:p w14:paraId="3634C7D6" w14:textId="77777777" w:rsidR="00A43453" w:rsidRPr="00A43453" w:rsidRDefault="00A43453" w:rsidP="00F85D4B">
            <w:pPr>
              <w:pStyle w:val="TableTextLeft"/>
            </w:pPr>
            <w:r w:rsidRPr="00A43453">
              <w:t>Value of infringement Penalties</w:t>
            </w:r>
          </w:p>
        </w:tc>
        <w:tc>
          <w:tcPr>
            <w:tcW w:w="4762" w:type="dxa"/>
            <w:tcBorders>
              <w:bottom w:val="single" w:sz="4" w:space="0" w:color="auto"/>
            </w:tcBorders>
            <w:shd w:val="clear" w:color="auto" w:fill="F2F2F2" w:themeFill="background1" w:themeFillShade="F2"/>
          </w:tcPr>
          <w:p w14:paraId="21E3220E" w14:textId="77777777" w:rsidR="00A43453" w:rsidRPr="00912282" w:rsidRDefault="00912282" w:rsidP="00E360EB">
            <w:pPr>
              <w:pStyle w:val="TableTextLeft"/>
              <w:jc w:val="center"/>
              <w:rPr>
                <w:color w:val="auto"/>
              </w:rPr>
            </w:pPr>
            <w:r w:rsidRPr="00912282">
              <w:rPr>
                <w:color w:val="auto"/>
              </w:rPr>
              <w:t>$1,745,340</w:t>
            </w:r>
          </w:p>
        </w:tc>
      </w:tr>
    </w:tbl>
    <w:p w14:paraId="4B5412D2" w14:textId="77777777" w:rsidR="00A43453" w:rsidRDefault="00250D41" w:rsidP="00E360EB">
      <w:pPr>
        <w:spacing w:before="120" w:after="0" w:line="240" w:lineRule="auto"/>
        <w:rPr>
          <w:i/>
          <w:sz w:val="20"/>
        </w:rPr>
      </w:pPr>
      <w:r w:rsidRPr="001E6183">
        <w:rPr>
          <w:i/>
          <w:sz w:val="20"/>
        </w:rPr>
        <w:t>*</w:t>
      </w:r>
      <w:r w:rsidR="001E6183" w:rsidRPr="001E6183">
        <w:rPr>
          <w:i/>
          <w:sz w:val="20"/>
        </w:rPr>
        <w:t>Note properties required to be sold represented by 9 concessional and 21 formal.</w:t>
      </w:r>
    </w:p>
    <w:p w14:paraId="7362DCF3" w14:textId="77777777" w:rsidR="002C432E" w:rsidRPr="002C432E" w:rsidRDefault="002C432E" w:rsidP="002C432E"/>
    <w:p w14:paraId="32C34E3D" w14:textId="77777777" w:rsidR="002C432E" w:rsidRPr="002C432E" w:rsidRDefault="002C432E" w:rsidP="002C432E"/>
    <w:p w14:paraId="099D4CA9" w14:textId="77777777" w:rsidR="002C432E" w:rsidRDefault="002C432E" w:rsidP="002C432E">
      <w:pPr>
        <w:sectPr w:rsidR="002C432E" w:rsidSect="00F6105D">
          <w:headerReference w:type="first" r:id="rId55"/>
          <w:footerReference w:type="first" r:id="rId56"/>
          <w:pgSz w:w="11906" w:h="16838" w:code="277"/>
          <w:pgMar w:top="1440" w:right="1440" w:bottom="1440" w:left="1440" w:header="851" w:footer="851" w:gutter="0"/>
          <w:cols w:space="708"/>
          <w:titlePg/>
          <w:docGrid w:linePitch="360"/>
        </w:sectPr>
      </w:pPr>
    </w:p>
    <w:p w14:paraId="7292A258" w14:textId="77777777" w:rsidR="00F24972" w:rsidRPr="00BA3D7B" w:rsidRDefault="00F24972" w:rsidP="00775B9B">
      <w:pPr>
        <w:pStyle w:val="Heading1"/>
      </w:pPr>
      <w:bookmarkStart w:id="30" w:name="_Toc501444835"/>
      <w:r w:rsidRPr="00BA3D7B">
        <w:t xml:space="preserve">Appendix B – </w:t>
      </w:r>
      <w:r w:rsidR="006604FF">
        <w:t>External validation of the FIRB’S self-assessment</w:t>
      </w:r>
      <w:bookmarkEnd w:id="30"/>
    </w:p>
    <w:p w14:paraId="7E6AF796" w14:textId="77777777" w:rsidR="00F24972" w:rsidRDefault="00F24972" w:rsidP="00F24972">
      <w:r w:rsidRPr="00161100">
        <w:t>The Foreign Investment Committee of the Law Council of Australia</w:t>
      </w:r>
      <w:r w:rsidR="000067DD">
        <w:t xml:space="preserve"> </w:t>
      </w:r>
      <w:r w:rsidR="000067DD" w:rsidRPr="0000321F">
        <w:t>(the Committee)</w:t>
      </w:r>
      <w:r w:rsidRPr="00161100">
        <w:t xml:space="preserve"> is the Ministerial</w:t>
      </w:r>
      <w:r w:rsidRPr="00161100">
        <w:noBreakHyphen/>
        <w:t xml:space="preserve">approved consultation body for FIRB </w:t>
      </w:r>
      <w:r w:rsidR="005813B9">
        <w:t xml:space="preserve">agencies </w:t>
      </w:r>
      <w:r w:rsidRPr="00161100">
        <w:t>for the purposes of the Framework and this report.</w:t>
      </w:r>
    </w:p>
    <w:p w14:paraId="68A92BCD" w14:textId="77777777" w:rsidR="00942C20" w:rsidRDefault="005813B9" w:rsidP="00F24972">
      <w:r>
        <w:t>F</w:t>
      </w:r>
      <w:r w:rsidR="000067DD" w:rsidRPr="000067DD">
        <w:t>eedback from the Committee and other external stakeholder in</w:t>
      </w:r>
      <w:r>
        <w:t>formed</w:t>
      </w:r>
      <w:r w:rsidR="000067DD" w:rsidRPr="000067DD">
        <w:t xml:space="preserve"> the drafting of this report.</w:t>
      </w:r>
    </w:p>
    <w:sectPr w:rsidR="00942C20" w:rsidSect="00F6105D">
      <w:headerReference w:type="first" r:id="rId57"/>
      <w:footerReference w:type="first" r:id="rId58"/>
      <w:pgSz w:w="11906" w:h="16838" w:code="277"/>
      <w:pgMar w:top="1440" w:right="1440" w:bottom="1440" w:left="1440"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903D7" w14:textId="77777777" w:rsidR="009C27CD" w:rsidRDefault="009C27CD" w:rsidP="00230E5B">
      <w:pPr>
        <w:spacing w:after="0" w:line="240" w:lineRule="auto"/>
      </w:pPr>
      <w:r>
        <w:separator/>
      </w:r>
    </w:p>
  </w:endnote>
  <w:endnote w:type="continuationSeparator" w:id="0">
    <w:p w14:paraId="6AAF5A1C" w14:textId="77777777" w:rsidR="009C27CD" w:rsidRDefault="009C27CD" w:rsidP="00230E5B">
      <w:pPr>
        <w:spacing w:after="0" w:line="240" w:lineRule="auto"/>
      </w:pPr>
      <w:r>
        <w:continuationSeparator/>
      </w:r>
    </w:p>
  </w:endnote>
  <w:endnote w:type="continuationNotice" w:id="1">
    <w:p w14:paraId="58A7796E" w14:textId="77777777" w:rsidR="009C27CD" w:rsidRDefault="009C2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235196"/>
      <w:docPartObj>
        <w:docPartGallery w:val="Page Numbers (Bottom of Page)"/>
        <w:docPartUnique/>
      </w:docPartObj>
    </w:sdtPr>
    <w:sdtEndPr/>
    <w:sdtContent>
      <w:sdt>
        <w:sdtPr>
          <w:id w:val="-1337225381"/>
          <w:docPartObj>
            <w:docPartGallery w:val="Page Numbers (Top of Page)"/>
            <w:docPartUnique/>
          </w:docPartObj>
        </w:sdtPr>
        <w:sdtEndPr/>
        <w:sdtContent>
          <w:p w14:paraId="71F73458" w14:textId="77777777" w:rsidR="00420226" w:rsidRPr="00695BF3" w:rsidRDefault="00420226" w:rsidP="00695BF3">
            <w:pPr>
              <w:pStyle w:val="FooterEven"/>
            </w:pPr>
            <w:r w:rsidRPr="00695BF3">
              <w:t xml:space="preserve">Page </w:t>
            </w:r>
            <w:r w:rsidRPr="00695BF3">
              <w:fldChar w:fldCharType="begin"/>
            </w:r>
            <w:r w:rsidRPr="00695BF3">
              <w:instrText xml:space="preserve"> PAGE </w:instrText>
            </w:r>
            <w:r w:rsidRPr="00695BF3">
              <w:fldChar w:fldCharType="separate"/>
            </w:r>
            <w:r w:rsidR="00F3163E">
              <w:rPr>
                <w:noProof/>
              </w:rPr>
              <w:t>4</w:t>
            </w:r>
            <w:r w:rsidRPr="00695BF3">
              <w:fldChar w:fldCharType="end"/>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33D1" w14:textId="4BABA739" w:rsidR="00F3163E" w:rsidRPr="00F3163E" w:rsidRDefault="00F3163E" w:rsidP="00F3163E">
    <w:pPr>
      <w:pStyle w:val="FooterEven"/>
    </w:pPr>
    <w:r w:rsidRPr="00695BF3">
      <w:t xml:space="preserve">Page </w:t>
    </w:r>
    <w:r w:rsidRPr="00695BF3">
      <w:fldChar w:fldCharType="begin"/>
    </w:r>
    <w:r w:rsidRPr="00695BF3">
      <w:instrText xml:space="preserve"> PAGE </w:instrText>
    </w:r>
    <w:r w:rsidRPr="00695BF3">
      <w:fldChar w:fldCharType="separate"/>
    </w:r>
    <w:r>
      <w:rPr>
        <w:noProof/>
      </w:rPr>
      <w:t>3</w:t>
    </w:r>
    <w:r w:rsidRPr="00695BF3">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887643"/>
      <w:docPartObj>
        <w:docPartGallery w:val="Page Numbers (Bottom of Page)"/>
        <w:docPartUnique/>
      </w:docPartObj>
    </w:sdtPr>
    <w:sdtEndPr/>
    <w:sdtContent>
      <w:sdt>
        <w:sdtPr>
          <w:id w:val="-80599408"/>
          <w:docPartObj>
            <w:docPartGallery w:val="Page Numbers (Top of Page)"/>
            <w:docPartUnique/>
          </w:docPartObj>
        </w:sdtPr>
        <w:sdtEndPr/>
        <w:sdtContent>
          <w:p w14:paraId="5D807C74" w14:textId="77777777" w:rsidR="00EC1DA6" w:rsidRPr="00824115" w:rsidRDefault="00EC1DA6" w:rsidP="00EC1DA6">
            <w:pPr>
              <w:pStyle w:val="FooterOdd"/>
            </w:pPr>
            <w:r>
              <w:t xml:space="preserve">Page </w:t>
            </w:r>
            <w:r w:rsidRPr="00C37C68">
              <w:fldChar w:fldCharType="begin"/>
            </w:r>
            <w:r w:rsidRPr="00C37C68">
              <w:instrText xml:space="preserve"> PAGE </w:instrText>
            </w:r>
            <w:r w:rsidRPr="00C37C68">
              <w:fldChar w:fldCharType="separate"/>
            </w:r>
            <w:r w:rsidR="002973EC">
              <w:rPr>
                <w:noProof/>
              </w:rPr>
              <w:t>4</w:t>
            </w:r>
            <w:r w:rsidRPr="00C37C68">
              <w:fldChar w:fldCharType="end"/>
            </w:r>
          </w:p>
        </w:sdtContent>
      </w:sdt>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825922"/>
      <w:docPartObj>
        <w:docPartGallery w:val="Page Numbers (Bottom of Page)"/>
        <w:docPartUnique/>
      </w:docPartObj>
    </w:sdtPr>
    <w:sdtEndPr/>
    <w:sdtContent>
      <w:sdt>
        <w:sdtPr>
          <w:id w:val="-1266847007"/>
          <w:docPartObj>
            <w:docPartGallery w:val="Page Numbers (Top of Page)"/>
            <w:docPartUnique/>
          </w:docPartObj>
        </w:sdtPr>
        <w:sdtEndPr/>
        <w:sdtContent>
          <w:p w14:paraId="386AA8C7" w14:textId="77777777" w:rsidR="00EC1DA6" w:rsidRPr="00824115" w:rsidRDefault="00EC1DA6" w:rsidP="00EC1DA6">
            <w:pPr>
              <w:pStyle w:val="FooterEven"/>
            </w:pPr>
            <w:r>
              <w:t xml:space="preserve">Page </w:t>
            </w:r>
            <w:r w:rsidRPr="00C37C68">
              <w:fldChar w:fldCharType="begin"/>
            </w:r>
            <w:r w:rsidRPr="00C37C68">
              <w:instrText xml:space="preserve"> PAGE </w:instrText>
            </w:r>
            <w:r w:rsidRPr="00C37C68">
              <w:fldChar w:fldCharType="separate"/>
            </w:r>
            <w:r w:rsidR="002973EC">
              <w:rPr>
                <w:noProof/>
              </w:rPr>
              <w:t>5</w:t>
            </w:r>
            <w:r w:rsidRPr="00C37C68">
              <w:fldChar w:fldCharType="end"/>
            </w:r>
          </w:p>
        </w:sdtContent>
      </w:sdt>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244384"/>
      <w:docPartObj>
        <w:docPartGallery w:val="Page Numbers (Bottom of Page)"/>
        <w:docPartUnique/>
      </w:docPartObj>
    </w:sdtPr>
    <w:sdtEndPr/>
    <w:sdtContent>
      <w:sdt>
        <w:sdtPr>
          <w:id w:val="1314296478"/>
          <w:docPartObj>
            <w:docPartGallery w:val="Page Numbers (Top of Page)"/>
            <w:docPartUnique/>
          </w:docPartObj>
        </w:sdtPr>
        <w:sdtEndPr/>
        <w:sdtContent>
          <w:p w14:paraId="0D7478F9" w14:textId="77777777" w:rsidR="00EC1DA6" w:rsidRPr="00824115" w:rsidRDefault="00EC1DA6" w:rsidP="00EC1DA6">
            <w:pPr>
              <w:pStyle w:val="FooterOdd"/>
            </w:pPr>
            <w:r>
              <w:t xml:space="preserve">Page </w:t>
            </w:r>
            <w:r w:rsidRPr="00C37C68">
              <w:fldChar w:fldCharType="begin"/>
            </w:r>
            <w:r w:rsidRPr="00C37C68">
              <w:instrText xml:space="preserve"> PAGE </w:instrText>
            </w:r>
            <w:r w:rsidRPr="00C37C68">
              <w:fldChar w:fldCharType="separate"/>
            </w:r>
            <w:r w:rsidR="002973EC">
              <w:rPr>
                <w:noProof/>
              </w:rPr>
              <w:t>6</w:t>
            </w:r>
            <w:r w:rsidRPr="00C37C68">
              <w:fldChar w:fldCharType="end"/>
            </w:r>
          </w:p>
        </w:sdtContent>
      </w:sdt>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24109"/>
      <w:docPartObj>
        <w:docPartGallery w:val="Page Numbers (Bottom of Page)"/>
        <w:docPartUnique/>
      </w:docPartObj>
    </w:sdtPr>
    <w:sdtEndPr/>
    <w:sdtContent>
      <w:sdt>
        <w:sdtPr>
          <w:id w:val="-2037725490"/>
          <w:docPartObj>
            <w:docPartGallery w:val="Page Numbers (Top of Page)"/>
            <w:docPartUnique/>
          </w:docPartObj>
        </w:sdtPr>
        <w:sdtEndPr/>
        <w:sdtContent>
          <w:p w14:paraId="1F4A6C79" w14:textId="77777777" w:rsidR="00EC1DA6" w:rsidRPr="00824115" w:rsidRDefault="00EC1DA6" w:rsidP="00EC1DA6">
            <w:pPr>
              <w:pStyle w:val="FooterEven"/>
            </w:pPr>
            <w:r>
              <w:t xml:space="preserve">Page </w:t>
            </w:r>
            <w:r w:rsidRPr="00C37C68">
              <w:fldChar w:fldCharType="begin"/>
            </w:r>
            <w:r w:rsidRPr="00C37C68">
              <w:instrText xml:space="preserve"> PAGE </w:instrText>
            </w:r>
            <w:r w:rsidRPr="00C37C68">
              <w:fldChar w:fldCharType="separate"/>
            </w:r>
            <w:r w:rsidR="002973EC">
              <w:rPr>
                <w:noProof/>
              </w:rPr>
              <w:t>7</w:t>
            </w:r>
            <w:r w:rsidRPr="00C37C68">
              <w:fldChar w:fldCharType="end"/>
            </w:r>
          </w:p>
        </w:sdtContent>
      </w:sdt>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11385"/>
      <w:docPartObj>
        <w:docPartGallery w:val="Page Numbers (Bottom of Page)"/>
        <w:docPartUnique/>
      </w:docPartObj>
    </w:sdtPr>
    <w:sdtEndPr/>
    <w:sdtContent>
      <w:sdt>
        <w:sdtPr>
          <w:id w:val="-86707460"/>
          <w:docPartObj>
            <w:docPartGallery w:val="Page Numbers (Top of Page)"/>
            <w:docPartUnique/>
          </w:docPartObj>
        </w:sdtPr>
        <w:sdtEndPr/>
        <w:sdtContent>
          <w:p w14:paraId="076FBDD7" w14:textId="77777777" w:rsidR="00EC1DA6" w:rsidRPr="00824115" w:rsidRDefault="00EC1DA6" w:rsidP="00EC1DA6">
            <w:pPr>
              <w:pStyle w:val="FooterOdd"/>
            </w:pPr>
            <w:r>
              <w:t xml:space="preserve">Page </w:t>
            </w:r>
            <w:r w:rsidRPr="00C37C68">
              <w:fldChar w:fldCharType="begin"/>
            </w:r>
            <w:r w:rsidRPr="00C37C68">
              <w:instrText xml:space="preserve"> PAGE </w:instrText>
            </w:r>
            <w:r w:rsidRPr="00C37C68">
              <w:fldChar w:fldCharType="separate"/>
            </w:r>
            <w:r w:rsidR="002973EC">
              <w:rPr>
                <w:noProof/>
              </w:rPr>
              <w:t>8</w:t>
            </w:r>
            <w:r w:rsidRPr="00C37C68">
              <w:fldChar w:fldCharType="end"/>
            </w:r>
          </w:p>
        </w:sdtContent>
      </w:sdt>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2173"/>
      <w:docPartObj>
        <w:docPartGallery w:val="Page Numbers (Bottom of Page)"/>
        <w:docPartUnique/>
      </w:docPartObj>
    </w:sdtPr>
    <w:sdtEndPr/>
    <w:sdtContent>
      <w:sdt>
        <w:sdtPr>
          <w:id w:val="1710912053"/>
          <w:docPartObj>
            <w:docPartGallery w:val="Page Numbers (Top of Page)"/>
            <w:docPartUnique/>
          </w:docPartObj>
        </w:sdtPr>
        <w:sdtEndPr/>
        <w:sdtContent>
          <w:p w14:paraId="54C7C585" w14:textId="77777777" w:rsidR="00EC1DA6" w:rsidRPr="00824115" w:rsidRDefault="00EC1DA6" w:rsidP="00EC1DA6">
            <w:pPr>
              <w:pStyle w:val="FooterEven"/>
            </w:pPr>
            <w:r>
              <w:t xml:space="preserve">Page </w:t>
            </w:r>
            <w:r w:rsidRPr="00C37C68">
              <w:fldChar w:fldCharType="begin"/>
            </w:r>
            <w:r w:rsidRPr="00C37C68">
              <w:instrText xml:space="preserve"> PAGE </w:instrText>
            </w:r>
            <w:r w:rsidRPr="00C37C68">
              <w:fldChar w:fldCharType="separate"/>
            </w:r>
            <w:r w:rsidR="002973EC">
              <w:rPr>
                <w:noProof/>
              </w:rPr>
              <w:t>9</w:t>
            </w:r>
            <w:r w:rsidRPr="00C37C68">
              <w:fldChar w:fldCharType="end"/>
            </w:r>
          </w:p>
        </w:sdtContent>
      </w:sdt>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BEE3E" w14:textId="77777777" w:rsidR="00695BF3" w:rsidRPr="00695BF3" w:rsidRDefault="00695BF3" w:rsidP="00EA1A6E">
    <w:pPr>
      <w:pStyle w:val="FooterOdd"/>
    </w:pPr>
    <w:r w:rsidRPr="00695BF3">
      <w:t xml:space="preserve">Page </w:t>
    </w:r>
    <w:r w:rsidRPr="00695BF3">
      <w:fldChar w:fldCharType="begin"/>
    </w:r>
    <w:r w:rsidRPr="00695BF3">
      <w:instrText xml:space="preserve"> PAGE </w:instrText>
    </w:r>
    <w:r w:rsidRPr="00695BF3">
      <w:fldChar w:fldCharType="separate"/>
    </w:r>
    <w:r w:rsidR="002973EC">
      <w:rPr>
        <w:noProof/>
      </w:rPr>
      <w:t>10</w:t>
    </w:r>
    <w:r w:rsidRPr="00695BF3">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CC538" w14:textId="77777777" w:rsidR="00695BF3" w:rsidRPr="00695BF3" w:rsidRDefault="00695BF3" w:rsidP="00EA1A6E">
    <w:pPr>
      <w:pStyle w:val="FooterEven"/>
    </w:pPr>
    <w:r w:rsidRPr="00695BF3">
      <w:t xml:space="preserve">Page </w:t>
    </w:r>
    <w:r w:rsidRPr="00695BF3">
      <w:fldChar w:fldCharType="begin"/>
    </w:r>
    <w:r w:rsidRPr="00695BF3">
      <w:instrText xml:space="preserve"> PAGE </w:instrText>
    </w:r>
    <w:r w:rsidRPr="00695BF3">
      <w:fldChar w:fldCharType="separate"/>
    </w:r>
    <w:r w:rsidR="002973EC">
      <w:rPr>
        <w:noProof/>
      </w:rPr>
      <w:t>11</w:t>
    </w:r>
    <w:r w:rsidRPr="00695BF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94182"/>
      <w:docPartObj>
        <w:docPartGallery w:val="Page Numbers (Bottom of Page)"/>
        <w:docPartUnique/>
      </w:docPartObj>
    </w:sdtPr>
    <w:sdtEndPr/>
    <w:sdtContent>
      <w:sdt>
        <w:sdtPr>
          <w:id w:val="-1411615232"/>
          <w:docPartObj>
            <w:docPartGallery w:val="Page Numbers (Top of Page)"/>
            <w:docPartUnique/>
          </w:docPartObj>
        </w:sdtPr>
        <w:sdtEndPr/>
        <w:sdtContent>
          <w:p w14:paraId="1F5AEBEC" w14:textId="77777777" w:rsidR="00420226" w:rsidRPr="00824115" w:rsidRDefault="00420226" w:rsidP="00824115">
            <w:pPr>
              <w:pStyle w:val="FooterOdd"/>
            </w:pPr>
            <w:r>
              <w:t xml:space="preserve">Page </w:t>
            </w:r>
            <w:r w:rsidRPr="00C37C68">
              <w:fldChar w:fldCharType="begin"/>
            </w:r>
            <w:r w:rsidRPr="00C37C68">
              <w:instrText xml:space="preserve"> PAGE </w:instrText>
            </w:r>
            <w:r w:rsidRPr="00C37C68">
              <w:fldChar w:fldCharType="separate"/>
            </w:r>
            <w:r w:rsidR="00F3163E">
              <w:rPr>
                <w:noProof/>
              </w:rPr>
              <w:t>5</w:t>
            </w:r>
            <w:r w:rsidRPr="00C37C68">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3A14" w14:textId="77777777" w:rsidR="00420226" w:rsidRDefault="00420226" w:rsidP="00824115">
    <w:pPr>
      <w:pStyle w:val="FooterOd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389147"/>
      <w:docPartObj>
        <w:docPartGallery w:val="Page Numbers (Bottom of Page)"/>
        <w:docPartUnique/>
      </w:docPartObj>
    </w:sdtPr>
    <w:sdtEndPr/>
    <w:sdtContent>
      <w:sdt>
        <w:sdtPr>
          <w:id w:val="1735038282"/>
          <w:docPartObj>
            <w:docPartGallery w:val="Page Numbers (Top of Page)"/>
            <w:docPartUnique/>
          </w:docPartObj>
        </w:sdtPr>
        <w:sdtEndPr/>
        <w:sdtContent>
          <w:p w14:paraId="515CEFC2" w14:textId="77777777" w:rsidR="00F3163E" w:rsidRPr="00695BF3" w:rsidRDefault="00F3163E" w:rsidP="00695BF3">
            <w:pPr>
              <w:pStyle w:val="FooterEven"/>
            </w:pPr>
            <w:r w:rsidRPr="00695BF3">
              <w:t xml:space="preserve">Page </w:t>
            </w:r>
            <w:r w:rsidRPr="00695BF3">
              <w:fldChar w:fldCharType="begin"/>
            </w:r>
            <w:r w:rsidRPr="00695BF3">
              <w:instrText xml:space="preserve"> PAGE </w:instrText>
            </w:r>
            <w:r w:rsidRPr="00695BF3">
              <w:fldChar w:fldCharType="separate"/>
            </w:r>
            <w:r>
              <w:rPr>
                <w:noProof/>
              </w:rPr>
              <w:t>2</w:t>
            </w:r>
            <w:r w:rsidRPr="00695BF3">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375939"/>
      <w:docPartObj>
        <w:docPartGallery w:val="Page Numbers (Bottom of Page)"/>
        <w:docPartUnique/>
      </w:docPartObj>
    </w:sdtPr>
    <w:sdtEndPr/>
    <w:sdtContent>
      <w:sdt>
        <w:sdtPr>
          <w:id w:val="-1535968330"/>
          <w:docPartObj>
            <w:docPartGallery w:val="Page Numbers (Top of Page)"/>
            <w:docPartUnique/>
          </w:docPartObj>
        </w:sdtPr>
        <w:sdtEndPr/>
        <w:sdtContent>
          <w:p w14:paraId="7420DF6B" w14:textId="77777777" w:rsidR="00F3163E" w:rsidRPr="00824115" w:rsidRDefault="00F3163E" w:rsidP="00824115">
            <w:pPr>
              <w:pStyle w:val="FooterOdd"/>
            </w:pPr>
            <w:r>
              <w:t xml:space="preserve">Page </w:t>
            </w:r>
            <w:r w:rsidRPr="00C37C68">
              <w:fldChar w:fldCharType="begin"/>
            </w:r>
            <w:r w:rsidRPr="00C37C68">
              <w:instrText xml:space="preserve"> PAGE </w:instrText>
            </w:r>
            <w:r w:rsidRPr="00C37C68">
              <w:fldChar w:fldCharType="separate"/>
            </w:r>
            <w:r w:rsidR="002973EC">
              <w:rPr>
                <w:noProof/>
              </w:rPr>
              <w:t>2</w:t>
            </w:r>
            <w:r w:rsidRPr="00C37C68">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4791" w14:textId="2AFD8507" w:rsidR="00F3163E" w:rsidRPr="00F3163E" w:rsidRDefault="00F3163E" w:rsidP="00F3163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6512E" w14:textId="77777777" w:rsidR="00F3163E" w:rsidRPr="00F3163E" w:rsidRDefault="00F3163E" w:rsidP="00F3163E">
    <w:pPr>
      <w:pStyle w:val="FooterEven"/>
    </w:pPr>
    <w:r w:rsidRPr="00695BF3">
      <w:t xml:space="preserve">Page </w:t>
    </w:r>
    <w:r w:rsidRPr="00695BF3">
      <w:fldChar w:fldCharType="begin"/>
    </w:r>
    <w:r w:rsidRPr="00695BF3">
      <w:instrText xml:space="preserve"> PAGE </w:instrText>
    </w:r>
    <w:r w:rsidRPr="00695BF3">
      <w:fldChar w:fldCharType="separate"/>
    </w:r>
    <w:r w:rsidR="002973EC">
      <w:rPr>
        <w:noProof/>
      </w:rPr>
      <w:t>1</w:t>
    </w:r>
    <w:r w:rsidRPr="00695BF3">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102241"/>
      <w:docPartObj>
        <w:docPartGallery w:val="Page Numbers (Bottom of Page)"/>
        <w:docPartUnique/>
      </w:docPartObj>
    </w:sdtPr>
    <w:sdtEndPr/>
    <w:sdtContent>
      <w:sdt>
        <w:sdtPr>
          <w:id w:val="-999193437"/>
          <w:docPartObj>
            <w:docPartGallery w:val="Page Numbers (Top of Page)"/>
            <w:docPartUnique/>
          </w:docPartObj>
        </w:sdtPr>
        <w:sdtEndPr/>
        <w:sdtContent>
          <w:p w14:paraId="5C8376F3" w14:textId="77777777" w:rsidR="00F3163E" w:rsidRPr="00695BF3" w:rsidRDefault="00F3163E" w:rsidP="00695BF3">
            <w:pPr>
              <w:pStyle w:val="FooterEven"/>
            </w:pPr>
            <w:r w:rsidRPr="00695BF3">
              <w:t xml:space="preserve">Page </w:t>
            </w:r>
            <w:r w:rsidRPr="00695BF3">
              <w:fldChar w:fldCharType="begin"/>
            </w:r>
            <w:r w:rsidRPr="00695BF3">
              <w:instrText xml:space="preserve"> PAGE </w:instrText>
            </w:r>
            <w:r w:rsidRPr="00695BF3">
              <w:fldChar w:fldCharType="separate"/>
            </w:r>
            <w:r>
              <w:rPr>
                <w:noProof/>
              </w:rPr>
              <w:t>8</w:t>
            </w:r>
            <w:r w:rsidRPr="00695BF3">
              <w:fldChar w:fldCharType="end"/>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024420"/>
      <w:docPartObj>
        <w:docPartGallery w:val="Page Numbers (Bottom of Page)"/>
        <w:docPartUnique/>
      </w:docPartObj>
    </w:sdtPr>
    <w:sdtEndPr/>
    <w:sdtContent>
      <w:sdt>
        <w:sdtPr>
          <w:id w:val="1585106656"/>
          <w:docPartObj>
            <w:docPartGallery w:val="Page Numbers (Top of Page)"/>
            <w:docPartUnique/>
          </w:docPartObj>
        </w:sdtPr>
        <w:sdtEndPr/>
        <w:sdtContent>
          <w:p w14:paraId="5F175192" w14:textId="77777777" w:rsidR="00EA1A6E" w:rsidRPr="00824115" w:rsidRDefault="00EA1A6E" w:rsidP="00EC1DA6">
            <w:pPr>
              <w:pStyle w:val="FooterEven"/>
            </w:pPr>
            <w:r>
              <w:t xml:space="preserve">Page </w:t>
            </w:r>
            <w:r w:rsidRPr="00C37C68">
              <w:fldChar w:fldCharType="begin"/>
            </w:r>
            <w:r w:rsidRPr="00C37C68">
              <w:instrText xml:space="preserve"> PAGE </w:instrText>
            </w:r>
            <w:r w:rsidRPr="00C37C68">
              <w:fldChar w:fldCharType="separate"/>
            </w:r>
            <w:r w:rsidR="002973EC">
              <w:rPr>
                <w:noProof/>
              </w:rPr>
              <w:t>3</w:t>
            </w:r>
            <w:r w:rsidRPr="00C37C68">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16733" w14:textId="77777777" w:rsidR="009C27CD" w:rsidRDefault="009C27CD" w:rsidP="00230E5B">
      <w:pPr>
        <w:spacing w:after="0" w:line="240" w:lineRule="auto"/>
      </w:pPr>
      <w:r>
        <w:separator/>
      </w:r>
    </w:p>
  </w:footnote>
  <w:footnote w:type="continuationSeparator" w:id="0">
    <w:p w14:paraId="6853BA83" w14:textId="77777777" w:rsidR="009C27CD" w:rsidRDefault="009C27CD" w:rsidP="00230E5B">
      <w:pPr>
        <w:spacing w:after="0" w:line="240" w:lineRule="auto"/>
      </w:pPr>
      <w:r>
        <w:continuationSeparator/>
      </w:r>
    </w:p>
  </w:footnote>
  <w:footnote w:type="continuationNotice" w:id="1">
    <w:p w14:paraId="4965F92F" w14:textId="77777777" w:rsidR="009C27CD" w:rsidRDefault="009C27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E44D4" w14:textId="77777777" w:rsidR="00420226" w:rsidRDefault="00420226">
    <w:pPr>
      <w:pStyle w:val="Header"/>
    </w:pPr>
    <w:r>
      <w:t>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C2BE" w14:textId="77777777" w:rsidR="00F3163E" w:rsidRPr="00C94797" w:rsidRDefault="00F3163E" w:rsidP="002F48B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0EC6" w14:textId="77777777" w:rsidR="00EA1A6E" w:rsidRDefault="002973EC" w:rsidP="00EC1DA6">
    <w:pPr>
      <w:pStyle w:val="HeaderEven"/>
    </w:pPr>
    <w:r>
      <w:fldChar w:fldCharType="begin"/>
    </w:r>
    <w:r>
      <w:instrText xml:space="preserve"> STYLEREF  "Heading 1"  \* MERGEFORMAT </w:instrText>
    </w:r>
    <w:r>
      <w:fldChar w:fldCharType="separate"/>
    </w:r>
    <w:r>
      <w:rPr>
        <w:noProof/>
      </w:rPr>
      <w:t>Assessment against Key Performance Indicators</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7D362" w14:textId="77777777" w:rsidR="00F3163E" w:rsidRPr="00662E5E" w:rsidRDefault="00F3163E" w:rsidP="002F48B1">
    <w:pPr>
      <w:pStyle w:val="SinglePara"/>
      <w:jc w:val="right"/>
      <w:rPr>
        <w:rFonts w:ascii="Arial" w:hAnsi="Arial"/>
        <w:sz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20D6" w14:textId="77777777" w:rsidR="00EC1DA6" w:rsidRDefault="002973EC" w:rsidP="00EC1DA6">
    <w:pPr>
      <w:pStyle w:val="HeaderOdd"/>
    </w:pPr>
    <w:r>
      <w:fldChar w:fldCharType="begin"/>
    </w:r>
    <w:r>
      <w:instrText xml:space="preserve"> STYLEREF  "Heading 1"  \* MERGEFORMAT </w:instrText>
    </w:r>
    <w:r>
      <w:fldChar w:fldCharType="separate"/>
    </w:r>
    <w:r>
      <w:rPr>
        <w:noProof/>
      </w:rPr>
      <w:t>Assessment against Key Performance Indicators</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81AF" w14:textId="77777777" w:rsidR="00EC1DA6" w:rsidRDefault="002973EC" w:rsidP="00EC1DA6">
    <w:pPr>
      <w:pStyle w:val="HeaderEven"/>
    </w:pPr>
    <w:r>
      <w:fldChar w:fldCharType="begin"/>
    </w:r>
    <w:r>
      <w:instrText xml:space="preserve"> STYLEREF  "Heading 1"  \* MERGEFORMAT </w:instrText>
    </w:r>
    <w:r>
      <w:fldChar w:fldCharType="separate"/>
    </w:r>
    <w:r>
      <w:rPr>
        <w:noProof/>
      </w:rPr>
      <w:t>Assessment against Key Performance Indicators</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A9B86" w14:textId="77777777" w:rsidR="00EC1DA6" w:rsidRDefault="002973EC" w:rsidP="00EC1DA6">
    <w:pPr>
      <w:pStyle w:val="HeaderOdd"/>
    </w:pPr>
    <w:r>
      <w:fldChar w:fldCharType="begin"/>
    </w:r>
    <w:r>
      <w:instrText xml:space="preserve"> STYLEREF  "Heading 1"  \* MERGEFORMAT </w:instrText>
    </w:r>
    <w:r>
      <w:fldChar w:fldCharType="separate"/>
    </w:r>
    <w:r>
      <w:rPr>
        <w:noProof/>
      </w:rPr>
      <w:t>Assessment against Key Performance Indicators</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4939" w14:textId="77777777" w:rsidR="00EC1DA6" w:rsidRDefault="002973EC" w:rsidP="00EC1DA6">
    <w:pPr>
      <w:pStyle w:val="HeaderEven"/>
    </w:pPr>
    <w:r>
      <w:fldChar w:fldCharType="begin"/>
    </w:r>
    <w:r>
      <w:instrText xml:space="preserve"> STYLEREF  "Heading 1"  \* MERGEFORMAT </w:instrText>
    </w:r>
    <w:r>
      <w:fldChar w:fldCharType="separate"/>
    </w:r>
    <w:r>
      <w:rPr>
        <w:noProof/>
      </w:rPr>
      <w:t>Assessment against Key Performance Indicators</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86DA5" w14:textId="77777777" w:rsidR="00EC1DA6" w:rsidRDefault="002973EC" w:rsidP="00EC1DA6">
    <w:pPr>
      <w:pStyle w:val="HeaderOdd"/>
    </w:pPr>
    <w:r>
      <w:fldChar w:fldCharType="begin"/>
    </w:r>
    <w:r>
      <w:instrText xml:space="preserve"> STYLEREF  "Heading 1"  \* MERGEFORMAT </w:instrText>
    </w:r>
    <w:r>
      <w:fldChar w:fldCharType="separate"/>
    </w:r>
    <w:r>
      <w:rPr>
        <w:noProof/>
      </w:rPr>
      <w:t>Assessment against Key Performance Indicators</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655F" w14:textId="77777777" w:rsidR="00EC1DA6" w:rsidRDefault="002973EC" w:rsidP="00EC1DA6">
    <w:pPr>
      <w:pStyle w:val="HeaderEven"/>
    </w:pPr>
    <w:r>
      <w:fldChar w:fldCharType="begin"/>
    </w:r>
    <w:r>
      <w:instrText xml:space="preserve"> STYLEREF  "Heading 1"  \* MERGEFORMAT </w:instrText>
    </w:r>
    <w:r>
      <w:fldChar w:fldCharType="separate"/>
    </w:r>
    <w:r>
      <w:rPr>
        <w:noProof/>
      </w:rPr>
      <w:t>Assessment against Key Performance Indicators</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6B1F6" w14:textId="77777777" w:rsidR="00F3163E" w:rsidRPr="00662E5E" w:rsidRDefault="00F3163E" w:rsidP="002F48B1">
    <w:pPr>
      <w:pStyle w:val="SinglePara"/>
      <w:jc w:val="right"/>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7173E" w14:textId="77777777" w:rsidR="00420226" w:rsidRPr="00CD5D78" w:rsidRDefault="00420226" w:rsidP="001F342D">
    <w:pPr>
      <w:pStyle w:val="ChartGraphic"/>
      <w:jc w:val="left"/>
    </w:pPr>
    <w:r>
      <w:rPr>
        <w:noProof/>
      </w:rPr>
      <w:drawing>
        <wp:inline distT="0" distB="0" distL="0" distR="0" wp14:anchorId="703023C1" wp14:editId="01D897B5">
          <wp:extent cx="2731135"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542290"/>
                  </a:xfrm>
                  <a:prstGeom prst="rect">
                    <a:avLst/>
                  </a:prstGeom>
                  <a:noFill/>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EA16" w14:textId="77777777" w:rsidR="00F3163E" w:rsidRPr="00662E5E" w:rsidRDefault="00F3163E" w:rsidP="002F48B1">
    <w:pPr>
      <w:pStyle w:val="SinglePara"/>
      <w:jc w:val="right"/>
      <w:rPr>
        <w:rFonts w:ascii="Arial" w:hAnsi="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6CD31" w14:textId="77777777" w:rsidR="00420226" w:rsidRDefault="00420226" w:rsidP="002C6222">
    <w:pPr>
      <w:pStyle w:val="ChartGraphic"/>
      <w:jc w:val="left"/>
    </w:pPr>
    <w:r>
      <w:rPr>
        <w:noProof/>
      </w:rPr>
      <w:drawing>
        <wp:inline distT="0" distB="0" distL="0" distR="0" wp14:anchorId="6D40A024" wp14:editId="634C776B">
          <wp:extent cx="2731135"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54229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51AC" w14:textId="77777777" w:rsidR="00420226" w:rsidRPr="00C94797" w:rsidRDefault="00420226" w:rsidP="002F48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EE4C" w14:textId="77777777" w:rsidR="00420226" w:rsidRDefault="002973EC" w:rsidP="002F48B1">
    <w:pPr>
      <w:pStyle w:val="HeaderOdd"/>
    </w:pPr>
    <w:r>
      <w:fldChar w:fldCharType="begin"/>
    </w:r>
    <w:r>
      <w:instrText xml:space="preserve"> STYLEREF  "Heading 1"  \* MERGEFORMAT </w:instrText>
    </w:r>
    <w:r>
      <w:fldChar w:fldCharType="separate"/>
    </w:r>
    <w:r w:rsidR="00EC1DA6">
      <w:rPr>
        <w:noProof/>
      </w:rPr>
      <w:t>Introduction</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EA586" w14:textId="77777777" w:rsidR="00420226" w:rsidRPr="00662E5E" w:rsidRDefault="00420226" w:rsidP="002F48B1">
    <w:pPr>
      <w:pStyle w:val="SinglePara"/>
      <w:jc w:val="right"/>
      <w:rPr>
        <w:rFonts w:ascii="Arial" w:hAnsi="Arial"/>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CB01" w14:textId="77777777" w:rsidR="00F3163E" w:rsidRPr="00C94797" w:rsidRDefault="00F3163E" w:rsidP="002F48B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C83AC" w14:textId="77777777" w:rsidR="00F3163E" w:rsidRDefault="002973EC" w:rsidP="002F48B1">
    <w:pPr>
      <w:pStyle w:val="HeaderOdd"/>
    </w:pPr>
    <w:r>
      <w:fldChar w:fldCharType="begin"/>
    </w:r>
    <w:r>
      <w:instrText xml:space="preserve"> STYLEREF  "Heading 1"  \* MERGEFORMAT </w:instrText>
    </w:r>
    <w:r>
      <w:fldChar w:fldCharType="separate"/>
    </w:r>
    <w:r>
      <w:rPr>
        <w:noProof/>
      </w:rPr>
      <w:t>Introduction</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C4C7" w14:textId="77777777" w:rsidR="00F3163E" w:rsidRPr="00662E5E" w:rsidRDefault="00F3163E" w:rsidP="002F48B1">
    <w:pPr>
      <w:pStyle w:val="SinglePara"/>
      <w:jc w:val="right"/>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27A12"/>
    <w:lvl w:ilvl="0">
      <w:start w:val="1"/>
      <w:numFmt w:val="decimal"/>
      <w:lvlText w:val="%1."/>
      <w:lvlJc w:val="left"/>
      <w:pPr>
        <w:tabs>
          <w:tab w:val="num" w:pos="1492"/>
        </w:tabs>
        <w:ind w:left="1492" w:hanging="360"/>
      </w:pPr>
    </w:lvl>
  </w:abstractNum>
  <w:abstractNum w:abstractNumId="1">
    <w:nsid w:val="FFFFFF7D"/>
    <w:multiLevelType w:val="singleLevel"/>
    <w:tmpl w:val="D960D9E2"/>
    <w:lvl w:ilvl="0">
      <w:start w:val="1"/>
      <w:numFmt w:val="decimal"/>
      <w:lvlText w:val="%1."/>
      <w:lvlJc w:val="left"/>
      <w:pPr>
        <w:tabs>
          <w:tab w:val="num" w:pos="1209"/>
        </w:tabs>
        <w:ind w:left="1209" w:hanging="360"/>
      </w:pPr>
    </w:lvl>
  </w:abstractNum>
  <w:abstractNum w:abstractNumId="2">
    <w:nsid w:val="FFFFFF7E"/>
    <w:multiLevelType w:val="singleLevel"/>
    <w:tmpl w:val="B1F82E0C"/>
    <w:lvl w:ilvl="0">
      <w:start w:val="1"/>
      <w:numFmt w:val="decimal"/>
      <w:lvlText w:val="%1."/>
      <w:lvlJc w:val="left"/>
      <w:pPr>
        <w:tabs>
          <w:tab w:val="num" w:pos="926"/>
        </w:tabs>
        <w:ind w:left="926" w:hanging="360"/>
      </w:pPr>
    </w:lvl>
  </w:abstractNum>
  <w:abstractNum w:abstractNumId="3">
    <w:nsid w:val="FFFFFF7F"/>
    <w:multiLevelType w:val="singleLevel"/>
    <w:tmpl w:val="9A80BFB2"/>
    <w:lvl w:ilvl="0">
      <w:start w:val="1"/>
      <w:numFmt w:val="decimal"/>
      <w:lvlText w:val="%1."/>
      <w:lvlJc w:val="left"/>
      <w:pPr>
        <w:tabs>
          <w:tab w:val="num" w:pos="643"/>
        </w:tabs>
        <w:ind w:left="643" w:hanging="360"/>
      </w:pPr>
    </w:lvl>
  </w:abstractNum>
  <w:abstractNum w:abstractNumId="4">
    <w:nsid w:val="FFFFFF80"/>
    <w:multiLevelType w:val="singleLevel"/>
    <w:tmpl w:val="7F0421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477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08A3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EA28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F203AE"/>
    <w:lvl w:ilvl="0">
      <w:start w:val="1"/>
      <w:numFmt w:val="decimal"/>
      <w:lvlText w:val="%1."/>
      <w:lvlJc w:val="left"/>
      <w:pPr>
        <w:tabs>
          <w:tab w:val="num" w:pos="360"/>
        </w:tabs>
        <w:ind w:left="360" w:hanging="360"/>
      </w:pPr>
    </w:lvl>
  </w:abstractNum>
  <w:abstractNum w:abstractNumId="9">
    <w:nsid w:val="FFFFFF89"/>
    <w:multiLevelType w:val="singleLevel"/>
    <w:tmpl w:val="03F2950C"/>
    <w:lvl w:ilvl="0">
      <w:start w:val="1"/>
      <w:numFmt w:val="bullet"/>
      <w:lvlText w:val=""/>
      <w:lvlJc w:val="left"/>
      <w:pPr>
        <w:tabs>
          <w:tab w:val="num" w:pos="360"/>
        </w:tabs>
        <w:ind w:left="360" w:hanging="360"/>
      </w:pPr>
      <w:rPr>
        <w:rFonts w:ascii="Symbol" w:hAnsi="Symbol" w:hint="default"/>
      </w:rPr>
    </w:lvl>
  </w:abstractNum>
  <w:abstractNum w:abstractNumId="10">
    <w:nsid w:val="05E37A75"/>
    <w:multiLevelType w:val="multilevel"/>
    <w:tmpl w:val="76A41044"/>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6CC4E5D"/>
    <w:multiLevelType w:val="multilevel"/>
    <w:tmpl w:val="D10E9CF6"/>
    <w:numStyleLink w:val="OneLevelList"/>
  </w:abstractNum>
  <w:abstractNum w:abstractNumId="15">
    <w:nsid w:val="1ADF06BE"/>
    <w:multiLevelType w:val="multilevel"/>
    <w:tmpl w:val="17B4AC4E"/>
    <w:name w:val="StandardBulletedList"/>
    <w:lvl w:ilvl="0">
      <w:start w:val="1"/>
      <w:numFmt w:val="bullet"/>
      <w:lvlText w:val="•"/>
      <w:lvlJc w:val="left"/>
      <w:pPr>
        <w:tabs>
          <w:tab w:val="num" w:pos="378"/>
        </w:tabs>
        <w:ind w:left="378" w:hanging="378"/>
      </w:pPr>
      <w:rPr>
        <w:rFonts w:ascii="Times New Roman" w:hAnsi="Times New Roman" w:cs="Times New Roman"/>
      </w:rPr>
    </w:lvl>
    <w:lvl w:ilvl="1">
      <w:start w:val="1"/>
      <w:numFmt w:val="bullet"/>
      <w:lvlText w:val="–"/>
      <w:lvlJc w:val="left"/>
      <w:pPr>
        <w:tabs>
          <w:tab w:val="num" w:pos="756"/>
        </w:tabs>
        <w:ind w:left="756" w:hanging="378"/>
      </w:pPr>
      <w:rPr>
        <w:rFonts w:ascii="Times New Roman" w:hAnsi="Times New Roman" w:cs="Times New Roman"/>
      </w:rPr>
    </w:lvl>
    <w:lvl w:ilvl="2">
      <w:start w:val="1"/>
      <w:numFmt w:val="bullet"/>
      <w:lvlText w:val=":"/>
      <w:lvlJc w:val="left"/>
      <w:pPr>
        <w:tabs>
          <w:tab w:val="num" w:pos="1134"/>
        </w:tabs>
        <w:ind w:left="1134" w:hanging="378"/>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31C1BFC"/>
    <w:multiLevelType w:val="hybridMultilevel"/>
    <w:tmpl w:val="EC2CDBEE"/>
    <w:lvl w:ilvl="0" w:tplc="344CBDF4">
      <w:numFmt w:val="bullet"/>
      <w:lvlText w:val=""/>
      <w:lvlJc w:val="left"/>
      <w:pPr>
        <w:ind w:left="720" w:hanging="360"/>
      </w:pPr>
      <w:rPr>
        <w:rFonts w:ascii="Symbol" w:eastAsia="Calibri" w:hAnsi="Symbol" w:cs="Calibri" w:hint="default"/>
        <w:color w:val="1F497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5EA2A0F"/>
    <w:multiLevelType w:val="multilevel"/>
    <w:tmpl w:val="C96CE37C"/>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308C2710"/>
    <w:multiLevelType w:val="multilevel"/>
    <w:tmpl w:val="7026C81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5553ECC"/>
    <w:multiLevelType w:val="hybridMultilevel"/>
    <w:tmpl w:val="3BFE0D08"/>
    <w:lvl w:ilvl="0" w:tplc="3E06D738">
      <w:start w:val="1"/>
      <w:numFmt w:val="bullet"/>
      <w:pStyle w:val="TableTextDash"/>
      <w:lvlText w:val="-"/>
      <w:lvlJc w:val="left"/>
      <w:pPr>
        <w:tabs>
          <w:tab w:val="num" w:pos="567"/>
        </w:tabs>
        <w:ind w:left="567" w:hanging="283"/>
      </w:pPr>
      <w:rPr>
        <w:rFonts w:ascii="Courier New" w:hAnsi="Courier New"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5B0A7E"/>
    <w:multiLevelType w:val="multilevel"/>
    <w:tmpl w:val="EDEE4FB6"/>
    <w:numStyleLink w:val="RecommendationBulletList"/>
  </w:abstractNum>
  <w:abstractNum w:abstractNumId="25">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10D2021"/>
    <w:multiLevelType w:val="multilevel"/>
    <w:tmpl w:val="72F8140E"/>
    <w:numStyleLink w:val="OutlineList"/>
  </w:abstractNum>
  <w:abstractNum w:abstractNumId="27">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5F73129"/>
    <w:multiLevelType w:val="multilevel"/>
    <w:tmpl w:val="D9A8A212"/>
    <w:numStyleLink w:val="RomanNumeralList"/>
  </w:abstractNum>
  <w:abstractNum w:abstractNumId="29">
    <w:nsid w:val="755C099E"/>
    <w:multiLevelType w:val="multilevel"/>
    <w:tmpl w:val="20FE26EC"/>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Symbol" w:hAnsi="Symbol"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20"/>
  </w:num>
  <w:num w:numId="2">
    <w:abstractNumId w:val="11"/>
  </w:num>
  <w:num w:numId="3">
    <w:abstractNumId w:val="25"/>
  </w:num>
  <w:num w:numId="4">
    <w:abstractNumId w:val="22"/>
  </w:num>
  <w:num w:numId="5">
    <w:abstractNumId w:val="13"/>
  </w:num>
  <w:num w:numId="6">
    <w:abstractNumId w:val="16"/>
  </w:num>
  <w:num w:numId="7">
    <w:abstractNumId w:val="12"/>
  </w:num>
  <w:num w:numId="8">
    <w:abstractNumId w:val="14"/>
  </w:num>
  <w:num w:numId="9">
    <w:abstractNumId w:val="26"/>
  </w:num>
  <w:num w:numId="10">
    <w:abstractNumId w:val="24"/>
  </w:num>
  <w:num w:numId="11">
    <w:abstractNumId w:val="28"/>
  </w:num>
  <w:num w:numId="12">
    <w:abstractNumId w:val="21"/>
  </w:num>
  <w:num w:numId="13">
    <w:abstractNumId w:val="27"/>
  </w:num>
  <w:num w:numId="14">
    <w:abstractNumId w:val="18"/>
  </w:num>
  <w:num w:numId="15">
    <w:abstractNumId w:val="23"/>
  </w:num>
  <w:num w:numId="16">
    <w:abstractNumId w:val="17"/>
  </w:num>
  <w:num w:numId="17">
    <w:abstractNumId w:val="20"/>
  </w:num>
  <w:num w:numId="18">
    <w:abstractNumId w:val="29"/>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05"/>
    <w:rsid w:val="000005CB"/>
    <w:rsid w:val="00000A6C"/>
    <w:rsid w:val="000026FD"/>
    <w:rsid w:val="0000321F"/>
    <w:rsid w:val="00003543"/>
    <w:rsid w:val="00005359"/>
    <w:rsid w:val="000067DD"/>
    <w:rsid w:val="00010227"/>
    <w:rsid w:val="00010F3D"/>
    <w:rsid w:val="00014E0F"/>
    <w:rsid w:val="000239BE"/>
    <w:rsid w:val="00024320"/>
    <w:rsid w:val="0002619B"/>
    <w:rsid w:val="00031836"/>
    <w:rsid w:val="0003237E"/>
    <w:rsid w:val="000345FD"/>
    <w:rsid w:val="00034B50"/>
    <w:rsid w:val="00035013"/>
    <w:rsid w:val="0004065B"/>
    <w:rsid w:val="00043127"/>
    <w:rsid w:val="00045AA9"/>
    <w:rsid w:val="00047DD5"/>
    <w:rsid w:val="000521AC"/>
    <w:rsid w:val="000603E8"/>
    <w:rsid w:val="000644A3"/>
    <w:rsid w:val="00066231"/>
    <w:rsid w:val="000668FD"/>
    <w:rsid w:val="00067902"/>
    <w:rsid w:val="000743E5"/>
    <w:rsid w:val="00074967"/>
    <w:rsid w:val="00074CD9"/>
    <w:rsid w:val="00080AC6"/>
    <w:rsid w:val="000814C5"/>
    <w:rsid w:val="0008546B"/>
    <w:rsid w:val="0009016C"/>
    <w:rsid w:val="00092D21"/>
    <w:rsid w:val="000A1E59"/>
    <w:rsid w:val="000A1EA3"/>
    <w:rsid w:val="000A4F50"/>
    <w:rsid w:val="000A665A"/>
    <w:rsid w:val="000A6687"/>
    <w:rsid w:val="000A6770"/>
    <w:rsid w:val="000B02A2"/>
    <w:rsid w:val="000B168B"/>
    <w:rsid w:val="000B28DE"/>
    <w:rsid w:val="000B31CE"/>
    <w:rsid w:val="000B74C7"/>
    <w:rsid w:val="000C06E7"/>
    <w:rsid w:val="000C168D"/>
    <w:rsid w:val="000C5728"/>
    <w:rsid w:val="000C630D"/>
    <w:rsid w:val="000F2187"/>
    <w:rsid w:val="000F5EE5"/>
    <w:rsid w:val="000F617E"/>
    <w:rsid w:val="000F6D3D"/>
    <w:rsid w:val="00100544"/>
    <w:rsid w:val="00100E09"/>
    <w:rsid w:val="00103B62"/>
    <w:rsid w:val="00106DFA"/>
    <w:rsid w:val="0010721A"/>
    <w:rsid w:val="00111F5F"/>
    <w:rsid w:val="00115826"/>
    <w:rsid w:val="00116515"/>
    <w:rsid w:val="0012006F"/>
    <w:rsid w:val="00120809"/>
    <w:rsid w:val="0012207C"/>
    <w:rsid w:val="001222BE"/>
    <w:rsid w:val="00123C7B"/>
    <w:rsid w:val="001272FF"/>
    <w:rsid w:val="00131544"/>
    <w:rsid w:val="00135764"/>
    <w:rsid w:val="001362CA"/>
    <w:rsid w:val="00140AF5"/>
    <w:rsid w:val="00141CC8"/>
    <w:rsid w:val="001447C8"/>
    <w:rsid w:val="00144C7C"/>
    <w:rsid w:val="00145F16"/>
    <w:rsid w:val="00150A5D"/>
    <w:rsid w:val="00161100"/>
    <w:rsid w:val="0016157B"/>
    <w:rsid w:val="00161DBE"/>
    <w:rsid w:val="00162F22"/>
    <w:rsid w:val="00164301"/>
    <w:rsid w:val="00166873"/>
    <w:rsid w:val="00170C17"/>
    <w:rsid w:val="00177CD8"/>
    <w:rsid w:val="0018067B"/>
    <w:rsid w:val="00181E89"/>
    <w:rsid w:val="001831FD"/>
    <w:rsid w:val="001840F8"/>
    <w:rsid w:val="00187CAB"/>
    <w:rsid w:val="00190906"/>
    <w:rsid w:val="0019207A"/>
    <w:rsid w:val="00193333"/>
    <w:rsid w:val="001937C6"/>
    <w:rsid w:val="001948C4"/>
    <w:rsid w:val="00195802"/>
    <w:rsid w:val="00195A2B"/>
    <w:rsid w:val="00196724"/>
    <w:rsid w:val="001A6345"/>
    <w:rsid w:val="001A7441"/>
    <w:rsid w:val="001A7B38"/>
    <w:rsid w:val="001B07FB"/>
    <w:rsid w:val="001B23CE"/>
    <w:rsid w:val="001B708A"/>
    <w:rsid w:val="001C6843"/>
    <w:rsid w:val="001D2F0A"/>
    <w:rsid w:val="001D3302"/>
    <w:rsid w:val="001D68F8"/>
    <w:rsid w:val="001E5F6E"/>
    <w:rsid w:val="001E6183"/>
    <w:rsid w:val="001E7176"/>
    <w:rsid w:val="001E7D20"/>
    <w:rsid w:val="001F0034"/>
    <w:rsid w:val="001F0133"/>
    <w:rsid w:val="001F30C6"/>
    <w:rsid w:val="001F342D"/>
    <w:rsid w:val="001F555F"/>
    <w:rsid w:val="00200279"/>
    <w:rsid w:val="0020273D"/>
    <w:rsid w:val="00202C96"/>
    <w:rsid w:val="00204326"/>
    <w:rsid w:val="00204790"/>
    <w:rsid w:val="00205465"/>
    <w:rsid w:val="00206A5A"/>
    <w:rsid w:val="002075A6"/>
    <w:rsid w:val="00211164"/>
    <w:rsid w:val="002113EB"/>
    <w:rsid w:val="002117D1"/>
    <w:rsid w:val="00213573"/>
    <w:rsid w:val="00222236"/>
    <w:rsid w:val="002222CC"/>
    <w:rsid w:val="0022499A"/>
    <w:rsid w:val="00227E21"/>
    <w:rsid w:val="00230E5B"/>
    <w:rsid w:val="00232970"/>
    <w:rsid w:val="00232DB1"/>
    <w:rsid w:val="00234011"/>
    <w:rsid w:val="00234BA3"/>
    <w:rsid w:val="002351E3"/>
    <w:rsid w:val="00235316"/>
    <w:rsid w:val="00235F1B"/>
    <w:rsid w:val="00244BC7"/>
    <w:rsid w:val="00250D41"/>
    <w:rsid w:val="00251F5B"/>
    <w:rsid w:val="00255CAF"/>
    <w:rsid w:val="00255CBE"/>
    <w:rsid w:val="002565B0"/>
    <w:rsid w:val="00256992"/>
    <w:rsid w:val="00256D03"/>
    <w:rsid w:val="00257F4F"/>
    <w:rsid w:val="002600CE"/>
    <w:rsid w:val="00260DEA"/>
    <w:rsid w:val="002621B0"/>
    <w:rsid w:val="002654B5"/>
    <w:rsid w:val="0027041C"/>
    <w:rsid w:val="00270B48"/>
    <w:rsid w:val="002713B7"/>
    <w:rsid w:val="00273EB6"/>
    <w:rsid w:val="00273F9A"/>
    <w:rsid w:val="00280036"/>
    <w:rsid w:val="002837F9"/>
    <w:rsid w:val="00284CD8"/>
    <w:rsid w:val="00285BFC"/>
    <w:rsid w:val="00286A6D"/>
    <w:rsid w:val="002905F0"/>
    <w:rsid w:val="00293B2F"/>
    <w:rsid w:val="0029429C"/>
    <w:rsid w:val="0029483B"/>
    <w:rsid w:val="00296087"/>
    <w:rsid w:val="0029647F"/>
    <w:rsid w:val="002973EC"/>
    <w:rsid w:val="002976A4"/>
    <w:rsid w:val="002A284D"/>
    <w:rsid w:val="002A44A9"/>
    <w:rsid w:val="002B13C6"/>
    <w:rsid w:val="002B1CC5"/>
    <w:rsid w:val="002B24A3"/>
    <w:rsid w:val="002B4277"/>
    <w:rsid w:val="002B4637"/>
    <w:rsid w:val="002B48E1"/>
    <w:rsid w:val="002C19BD"/>
    <w:rsid w:val="002C432E"/>
    <w:rsid w:val="002C515E"/>
    <w:rsid w:val="002C6222"/>
    <w:rsid w:val="002C625A"/>
    <w:rsid w:val="002D216B"/>
    <w:rsid w:val="002D3137"/>
    <w:rsid w:val="002D3C4D"/>
    <w:rsid w:val="002D4F5A"/>
    <w:rsid w:val="002D5F20"/>
    <w:rsid w:val="002E40D6"/>
    <w:rsid w:val="002E4CE0"/>
    <w:rsid w:val="002E592B"/>
    <w:rsid w:val="002E693D"/>
    <w:rsid w:val="002F48B1"/>
    <w:rsid w:val="002F4FFA"/>
    <w:rsid w:val="002F5FD3"/>
    <w:rsid w:val="002F6448"/>
    <w:rsid w:val="002F7191"/>
    <w:rsid w:val="00301EB4"/>
    <w:rsid w:val="003034D9"/>
    <w:rsid w:val="00307108"/>
    <w:rsid w:val="0030717E"/>
    <w:rsid w:val="00311515"/>
    <w:rsid w:val="00311545"/>
    <w:rsid w:val="00313CA5"/>
    <w:rsid w:val="003141A4"/>
    <w:rsid w:val="00316096"/>
    <w:rsid w:val="00316D1C"/>
    <w:rsid w:val="00320AC0"/>
    <w:rsid w:val="00325749"/>
    <w:rsid w:val="0033147B"/>
    <w:rsid w:val="003335A1"/>
    <w:rsid w:val="0033400D"/>
    <w:rsid w:val="00335043"/>
    <w:rsid w:val="00335447"/>
    <w:rsid w:val="00340C7E"/>
    <w:rsid w:val="003418FA"/>
    <w:rsid w:val="00346AFF"/>
    <w:rsid w:val="003533DD"/>
    <w:rsid w:val="003537D2"/>
    <w:rsid w:val="00353D18"/>
    <w:rsid w:val="00357627"/>
    <w:rsid w:val="00364F10"/>
    <w:rsid w:val="003659B7"/>
    <w:rsid w:val="003662B7"/>
    <w:rsid w:val="003672B6"/>
    <w:rsid w:val="00367696"/>
    <w:rsid w:val="00371240"/>
    <w:rsid w:val="003715DF"/>
    <w:rsid w:val="00371C4E"/>
    <w:rsid w:val="0037316B"/>
    <w:rsid w:val="00375288"/>
    <w:rsid w:val="0038042E"/>
    <w:rsid w:val="00390AE1"/>
    <w:rsid w:val="00395FE8"/>
    <w:rsid w:val="003972CB"/>
    <w:rsid w:val="003A0D69"/>
    <w:rsid w:val="003A3D1F"/>
    <w:rsid w:val="003A5607"/>
    <w:rsid w:val="003A5911"/>
    <w:rsid w:val="003A5DB8"/>
    <w:rsid w:val="003A69A6"/>
    <w:rsid w:val="003B11B2"/>
    <w:rsid w:val="003B4926"/>
    <w:rsid w:val="003B51E4"/>
    <w:rsid w:val="003B75C3"/>
    <w:rsid w:val="003B75D4"/>
    <w:rsid w:val="003C3D34"/>
    <w:rsid w:val="003C7732"/>
    <w:rsid w:val="003C79C9"/>
    <w:rsid w:val="003D527E"/>
    <w:rsid w:val="003D5D9E"/>
    <w:rsid w:val="003D78AC"/>
    <w:rsid w:val="003E07D7"/>
    <w:rsid w:val="003E0CDA"/>
    <w:rsid w:val="003E338E"/>
    <w:rsid w:val="003E3B1F"/>
    <w:rsid w:val="003F3A79"/>
    <w:rsid w:val="003F5012"/>
    <w:rsid w:val="003F5297"/>
    <w:rsid w:val="003F71B6"/>
    <w:rsid w:val="00400EDD"/>
    <w:rsid w:val="0040352E"/>
    <w:rsid w:val="00411185"/>
    <w:rsid w:val="00412675"/>
    <w:rsid w:val="00413B30"/>
    <w:rsid w:val="00414E54"/>
    <w:rsid w:val="0041535E"/>
    <w:rsid w:val="00417433"/>
    <w:rsid w:val="00420226"/>
    <w:rsid w:val="00422472"/>
    <w:rsid w:val="004229FB"/>
    <w:rsid w:val="004232FB"/>
    <w:rsid w:val="00427AC4"/>
    <w:rsid w:val="00430BCC"/>
    <w:rsid w:val="00430BD7"/>
    <w:rsid w:val="00437595"/>
    <w:rsid w:val="004378FE"/>
    <w:rsid w:val="00437EA3"/>
    <w:rsid w:val="004415DA"/>
    <w:rsid w:val="00442FA8"/>
    <w:rsid w:val="00443F41"/>
    <w:rsid w:val="004534BB"/>
    <w:rsid w:val="00456E73"/>
    <w:rsid w:val="00457795"/>
    <w:rsid w:val="00457A1E"/>
    <w:rsid w:val="00460D98"/>
    <w:rsid w:val="0046276F"/>
    <w:rsid w:val="00463DF6"/>
    <w:rsid w:val="00464799"/>
    <w:rsid w:val="00464F00"/>
    <w:rsid w:val="004732B6"/>
    <w:rsid w:val="00473A80"/>
    <w:rsid w:val="00477A7B"/>
    <w:rsid w:val="0048161A"/>
    <w:rsid w:val="0048497B"/>
    <w:rsid w:val="0048777F"/>
    <w:rsid w:val="00492161"/>
    <w:rsid w:val="004946C8"/>
    <w:rsid w:val="00495F55"/>
    <w:rsid w:val="00496734"/>
    <w:rsid w:val="004A2192"/>
    <w:rsid w:val="004A5F49"/>
    <w:rsid w:val="004A69BF"/>
    <w:rsid w:val="004B06B2"/>
    <w:rsid w:val="004B41EA"/>
    <w:rsid w:val="004C1F60"/>
    <w:rsid w:val="004C2E83"/>
    <w:rsid w:val="004C3373"/>
    <w:rsid w:val="004C3585"/>
    <w:rsid w:val="004C426D"/>
    <w:rsid w:val="004D0F8A"/>
    <w:rsid w:val="004D1AC6"/>
    <w:rsid w:val="004D2F6A"/>
    <w:rsid w:val="004D3717"/>
    <w:rsid w:val="004D41B6"/>
    <w:rsid w:val="004D5110"/>
    <w:rsid w:val="004D6BB8"/>
    <w:rsid w:val="004D7CCE"/>
    <w:rsid w:val="004E16F2"/>
    <w:rsid w:val="004E247C"/>
    <w:rsid w:val="004E344A"/>
    <w:rsid w:val="004F0C12"/>
    <w:rsid w:val="004F102F"/>
    <w:rsid w:val="004F3EE8"/>
    <w:rsid w:val="004F609E"/>
    <w:rsid w:val="004F6DBA"/>
    <w:rsid w:val="005003E8"/>
    <w:rsid w:val="00501205"/>
    <w:rsid w:val="00507A84"/>
    <w:rsid w:val="00511E60"/>
    <w:rsid w:val="00516BD9"/>
    <w:rsid w:val="00517708"/>
    <w:rsid w:val="00522930"/>
    <w:rsid w:val="00523314"/>
    <w:rsid w:val="005241D3"/>
    <w:rsid w:val="0052463D"/>
    <w:rsid w:val="00525D5F"/>
    <w:rsid w:val="00527F57"/>
    <w:rsid w:val="005301D4"/>
    <w:rsid w:val="0053062D"/>
    <w:rsid w:val="0053161F"/>
    <w:rsid w:val="0053223A"/>
    <w:rsid w:val="0053376F"/>
    <w:rsid w:val="0053446D"/>
    <w:rsid w:val="005365D1"/>
    <w:rsid w:val="00540E07"/>
    <w:rsid w:val="005431C4"/>
    <w:rsid w:val="00547C9D"/>
    <w:rsid w:val="0055186B"/>
    <w:rsid w:val="00554693"/>
    <w:rsid w:val="00556550"/>
    <w:rsid w:val="00560863"/>
    <w:rsid w:val="005628D6"/>
    <w:rsid w:val="00562930"/>
    <w:rsid w:val="0056312E"/>
    <w:rsid w:val="00564577"/>
    <w:rsid w:val="00566658"/>
    <w:rsid w:val="00566E6D"/>
    <w:rsid w:val="005706C0"/>
    <w:rsid w:val="00572C2E"/>
    <w:rsid w:val="00576476"/>
    <w:rsid w:val="00577713"/>
    <w:rsid w:val="005813B9"/>
    <w:rsid w:val="00581950"/>
    <w:rsid w:val="00587A7F"/>
    <w:rsid w:val="00587ABD"/>
    <w:rsid w:val="00594C26"/>
    <w:rsid w:val="005A1682"/>
    <w:rsid w:val="005A2850"/>
    <w:rsid w:val="005A427A"/>
    <w:rsid w:val="005A5B2B"/>
    <w:rsid w:val="005B16C9"/>
    <w:rsid w:val="005B1C33"/>
    <w:rsid w:val="005B202C"/>
    <w:rsid w:val="005B2A50"/>
    <w:rsid w:val="005B7052"/>
    <w:rsid w:val="005B7147"/>
    <w:rsid w:val="005B7B4A"/>
    <w:rsid w:val="005C00A2"/>
    <w:rsid w:val="005D14BD"/>
    <w:rsid w:val="005D1E70"/>
    <w:rsid w:val="005D2362"/>
    <w:rsid w:val="005D34D0"/>
    <w:rsid w:val="005D4ED8"/>
    <w:rsid w:val="005E3415"/>
    <w:rsid w:val="005E3C56"/>
    <w:rsid w:val="005E5B9E"/>
    <w:rsid w:val="005E5CBF"/>
    <w:rsid w:val="005F4707"/>
    <w:rsid w:val="005F49E3"/>
    <w:rsid w:val="005F63B5"/>
    <w:rsid w:val="00600FEA"/>
    <w:rsid w:val="006017FE"/>
    <w:rsid w:val="0061050F"/>
    <w:rsid w:val="0061137D"/>
    <w:rsid w:val="00611444"/>
    <w:rsid w:val="00612F81"/>
    <w:rsid w:val="00615E6A"/>
    <w:rsid w:val="00620BE9"/>
    <w:rsid w:val="0062227E"/>
    <w:rsid w:val="00627C6D"/>
    <w:rsid w:val="00630E8C"/>
    <w:rsid w:val="00630EA2"/>
    <w:rsid w:val="00631C08"/>
    <w:rsid w:val="00634C23"/>
    <w:rsid w:val="00635609"/>
    <w:rsid w:val="006357D1"/>
    <w:rsid w:val="0064011E"/>
    <w:rsid w:val="0064265D"/>
    <w:rsid w:val="00643522"/>
    <w:rsid w:val="00647E7C"/>
    <w:rsid w:val="006543EE"/>
    <w:rsid w:val="006604FF"/>
    <w:rsid w:val="00671D8F"/>
    <w:rsid w:val="0067398C"/>
    <w:rsid w:val="006820BB"/>
    <w:rsid w:val="006855A8"/>
    <w:rsid w:val="00687C02"/>
    <w:rsid w:val="00690440"/>
    <w:rsid w:val="006909A2"/>
    <w:rsid w:val="006918E8"/>
    <w:rsid w:val="0069347F"/>
    <w:rsid w:val="00695BF3"/>
    <w:rsid w:val="00696722"/>
    <w:rsid w:val="0069723E"/>
    <w:rsid w:val="006A019B"/>
    <w:rsid w:val="006A2441"/>
    <w:rsid w:val="006A2F61"/>
    <w:rsid w:val="006A6438"/>
    <w:rsid w:val="006A7792"/>
    <w:rsid w:val="006B018E"/>
    <w:rsid w:val="006B319B"/>
    <w:rsid w:val="006B64CF"/>
    <w:rsid w:val="006B7510"/>
    <w:rsid w:val="006B777C"/>
    <w:rsid w:val="006C4763"/>
    <w:rsid w:val="006C4E40"/>
    <w:rsid w:val="006C7693"/>
    <w:rsid w:val="006C7DC9"/>
    <w:rsid w:val="006D1583"/>
    <w:rsid w:val="006D2622"/>
    <w:rsid w:val="006D4DC1"/>
    <w:rsid w:val="006D4EDC"/>
    <w:rsid w:val="006D7EDE"/>
    <w:rsid w:val="006E0F46"/>
    <w:rsid w:val="006F0414"/>
    <w:rsid w:val="006F290C"/>
    <w:rsid w:val="006F5528"/>
    <w:rsid w:val="0070032A"/>
    <w:rsid w:val="00704D7C"/>
    <w:rsid w:val="00706747"/>
    <w:rsid w:val="00706EE1"/>
    <w:rsid w:val="007070C7"/>
    <w:rsid w:val="00707B14"/>
    <w:rsid w:val="00725A33"/>
    <w:rsid w:val="0073679B"/>
    <w:rsid w:val="00736E8B"/>
    <w:rsid w:val="00737253"/>
    <w:rsid w:val="00742F65"/>
    <w:rsid w:val="007441A9"/>
    <w:rsid w:val="00744C8A"/>
    <w:rsid w:val="00746E94"/>
    <w:rsid w:val="007470D9"/>
    <w:rsid w:val="00753AC3"/>
    <w:rsid w:val="00754B9D"/>
    <w:rsid w:val="00755520"/>
    <w:rsid w:val="00756896"/>
    <w:rsid w:val="00757699"/>
    <w:rsid w:val="00763303"/>
    <w:rsid w:val="00766625"/>
    <w:rsid w:val="0076785C"/>
    <w:rsid w:val="00767E66"/>
    <w:rsid w:val="00767EA1"/>
    <w:rsid w:val="0077213B"/>
    <w:rsid w:val="00772F1A"/>
    <w:rsid w:val="00772F85"/>
    <w:rsid w:val="007740DF"/>
    <w:rsid w:val="00774850"/>
    <w:rsid w:val="00775B9B"/>
    <w:rsid w:val="00781D8C"/>
    <w:rsid w:val="00785062"/>
    <w:rsid w:val="00785CBE"/>
    <w:rsid w:val="0078625D"/>
    <w:rsid w:val="00786A8E"/>
    <w:rsid w:val="00786D3C"/>
    <w:rsid w:val="00787CF6"/>
    <w:rsid w:val="00790C3A"/>
    <w:rsid w:val="00793109"/>
    <w:rsid w:val="00795B03"/>
    <w:rsid w:val="007A06F9"/>
    <w:rsid w:val="007A12DD"/>
    <w:rsid w:val="007A1F26"/>
    <w:rsid w:val="007A3D88"/>
    <w:rsid w:val="007A4CBE"/>
    <w:rsid w:val="007A4DF1"/>
    <w:rsid w:val="007A700E"/>
    <w:rsid w:val="007B1156"/>
    <w:rsid w:val="007B2704"/>
    <w:rsid w:val="007B308D"/>
    <w:rsid w:val="007B4AF0"/>
    <w:rsid w:val="007B5051"/>
    <w:rsid w:val="007B50A7"/>
    <w:rsid w:val="007B6387"/>
    <w:rsid w:val="007B7706"/>
    <w:rsid w:val="007B7CB5"/>
    <w:rsid w:val="007B7E8A"/>
    <w:rsid w:val="007C27EB"/>
    <w:rsid w:val="007C3E18"/>
    <w:rsid w:val="007C3F72"/>
    <w:rsid w:val="007C475A"/>
    <w:rsid w:val="007C6510"/>
    <w:rsid w:val="007C7B85"/>
    <w:rsid w:val="007D03B4"/>
    <w:rsid w:val="007D4ED3"/>
    <w:rsid w:val="007E1855"/>
    <w:rsid w:val="007E1F8D"/>
    <w:rsid w:val="007E266B"/>
    <w:rsid w:val="007E78AA"/>
    <w:rsid w:val="007F1F73"/>
    <w:rsid w:val="007F72CC"/>
    <w:rsid w:val="00800C3C"/>
    <w:rsid w:val="00800F27"/>
    <w:rsid w:val="00802CAF"/>
    <w:rsid w:val="0080409F"/>
    <w:rsid w:val="0080481C"/>
    <w:rsid w:val="0080599B"/>
    <w:rsid w:val="00806414"/>
    <w:rsid w:val="0081017F"/>
    <w:rsid w:val="0081416C"/>
    <w:rsid w:val="008145E7"/>
    <w:rsid w:val="00814622"/>
    <w:rsid w:val="008157DB"/>
    <w:rsid w:val="0081607B"/>
    <w:rsid w:val="008227C6"/>
    <w:rsid w:val="00823700"/>
    <w:rsid w:val="00824115"/>
    <w:rsid w:val="00824734"/>
    <w:rsid w:val="0082572E"/>
    <w:rsid w:val="008259D2"/>
    <w:rsid w:val="0083346C"/>
    <w:rsid w:val="0083386C"/>
    <w:rsid w:val="00835FF7"/>
    <w:rsid w:val="00843FC3"/>
    <w:rsid w:val="008471E1"/>
    <w:rsid w:val="00853B2B"/>
    <w:rsid w:val="0085774D"/>
    <w:rsid w:val="008637FB"/>
    <w:rsid w:val="00866905"/>
    <w:rsid w:val="00870682"/>
    <w:rsid w:val="00871257"/>
    <w:rsid w:val="00875E19"/>
    <w:rsid w:val="00877CA7"/>
    <w:rsid w:val="0088205A"/>
    <w:rsid w:val="008841FA"/>
    <w:rsid w:val="00887E0E"/>
    <w:rsid w:val="00896384"/>
    <w:rsid w:val="008965D3"/>
    <w:rsid w:val="008A12DE"/>
    <w:rsid w:val="008A238A"/>
    <w:rsid w:val="008A3FDD"/>
    <w:rsid w:val="008A4D30"/>
    <w:rsid w:val="008A774B"/>
    <w:rsid w:val="008B166F"/>
    <w:rsid w:val="008B1822"/>
    <w:rsid w:val="008B3524"/>
    <w:rsid w:val="008B45CC"/>
    <w:rsid w:val="008B6750"/>
    <w:rsid w:val="008C036D"/>
    <w:rsid w:val="008C0463"/>
    <w:rsid w:val="008C24E1"/>
    <w:rsid w:val="008C35FF"/>
    <w:rsid w:val="008C4B6F"/>
    <w:rsid w:val="008C4E21"/>
    <w:rsid w:val="008C75CF"/>
    <w:rsid w:val="008C77EB"/>
    <w:rsid w:val="008D115C"/>
    <w:rsid w:val="008D160D"/>
    <w:rsid w:val="008D187B"/>
    <w:rsid w:val="008D21EC"/>
    <w:rsid w:val="008D37F7"/>
    <w:rsid w:val="008E7074"/>
    <w:rsid w:val="008E79A1"/>
    <w:rsid w:val="008E7F28"/>
    <w:rsid w:val="008F0DEC"/>
    <w:rsid w:val="008F17B2"/>
    <w:rsid w:val="008F1818"/>
    <w:rsid w:val="008F1B9B"/>
    <w:rsid w:val="008F2925"/>
    <w:rsid w:val="008F6DBB"/>
    <w:rsid w:val="008F7A78"/>
    <w:rsid w:val="00901E0A"/>
    <w:rsid w:val="00901E1F"/>
    <w:rsid w:val="00905631"/>
    <w:rsid w:val="0090770E"/>
    <w:rsid w:val="00907D81"/>
    <w:rsid w:val="00912282"/>
    <w:rsid w:val="00915E0A"/>
    <w:rsid w:val="00916BB5"/>
    <w:rsid w:val="0091756E"/>
    <w:rsid w:val="0092366E"/>
    <w:rsid w:val="00924051"/>
    <w:rsid w:val="009265DC"/>
    <w:rsid w:val="00926972"/>
    <w:rsid w:val="00927E6C"/>
    <w:rsid w:val="0093153B"/>
    <w:rsid w:val="009324AF"/>
    <w:rsid w:val="00933EB8"/>
    <w:rsid w:val="009373E9"/>
    <w:rsid w:val="00941852"/>
    <w:rsid w:val="00941E54"/>
    <w:rsid w:val="009421AE"/>
    <w:rsid w:val="00942397"/>
    <w:rsid w:val="00942C20"/>
    <w:rsid w:val="00944F44"/>
    <w:rsid w:val="00945757"/>
    <w:rsid w:val="00946446"/>
    <w:rsid w:val="00946B0D"/>
    <w:rsid w:val="00946EA4"/>
    <w:rsid w:val="00950698"/>
    <w:rsid w:val="009520DA"/>
    <w:rsid w:val="009549BC"/>
    <w:rsid w:val="00954A62"/>
    <w:rsid w:val="00955C26"/>
    <w:rsid w:val="00962799"/>
    <w:rsid w:val="00962D20"/>
    <w:rsid w:val="00963B2E"/>
    <w:rsid w:val="009649C2"/>
    <w:rsid w:val="00973C32"/>
    <w:rsid w:val="0097432E"/>
    <w:rsid w:val="009747B9"/>
    <w:rsid w:val="009844FA"/>
    <w:rsid w:val="00984F8C"/>
    <w:rsid w:val="00985084"/>
    <w:rsid w:val="009852ED"/>
    <w:rsid w:val="00985511"/>
    <w:rsid w:val="00985811"/>
    <w:rsid w:val="00985B0B"/>
    <w:rsid w:val="0098776D"/>
    <w:rsid w:val="009879BD"/>
    <w:rsid w:val="00991338"/>
    <w:rsid w:val="009921C1"/>
    <w:rsid w:val="0099298D"/>
    <w:rsid w:val="00993A23"/>
    <w:rsid w:val="00994E74"/>
    <w:rsid w:val="00994EA9"/>
    <w:rsid w:val="00994FD0"/>
    <w:rsid w:val="00995239"/>
    <w:rsid w:val="00995A12"/>
    <w:rsid w:val="00997D46"/>
    <w:rsid w:val="009A4743"/>
    <w:rsid w:val="009A5365"/>
    <w:rsid w:val="009B102D"/>
    <w:rsid w:val="009B5A83"/>
    <w:rsid w:val="009B6311"/>
    <w:rsid w:val="009B6416"/>
    <w:rsid w:val="009B6CBB"/>
    <w:rsid w:val="009C27CD"/>
    <w:rsid w:val="009C30A1"/>
    <w:rsid w:val="009C40D1"/>
    <w:rsid w:val="009D107C"/>
    <w:rsid w:val="009D2E5C"/>
    <w:rsid w:val="009D520D"/>
    <w:rsid w:val="009E089E"/>
    <w:rsid w:val="009E49C1"/>
    <w:rsid w:val="009E4C11"/>
    <w:rsid w:val="009E702D"/>
    <w:rsid w:val="009F1F71"/>
    <w:rsid w:val="009F5DE7"/>
    <w:rsid w:val="00A016FF"/>
    <w:rsid w:val="00A019D8"/>
    <w:rsid w:val="00A022F3"/>
    <w:rsid w:val="00A02471"/>
    <w:rsid w:val="00A03C4F"/>
    <w:rsid w:val="00A03E08"/>
    <w:rsid w:val="00A05B2F"/>
    <w:rsid w:val="00A104B5"/>
    <w:rsid w:val="00A1163B"/>
    <w:rsid w:val="00A1256D"/>
    <w:rsid w:val="00A127E2"/>
    <w:rsid w:val="00A146AA"/>
    <w:rsid w:val="00A20337"/>
    <w:rsid w:val="00A207B5"/>
    <w:rsid w:val="00A212E9"/>
    <w:rsid w:val="00A306A0"/>
    <w:rsid w:val="00A309A5"/>
    <w:rsid w:val="00A31479"/>
    <w:rsid w:val="00A31E29"/>
    <w:rsid w:val="00A33ACE"/>
    <w:rsid w:val="00A365DA"/>
    <w:rsid w:val="00A37C50"/>
    <w:rsid w:val="00A43453"/>
    <w:rsid w:val="00A43BA9"/>
    <w:rsid w:val="00A528B3"/>
    <w:rsid w:val="00A534E5"/>
    <w:rsid w:val="00A548B6"/>
    <w:rsid w:val="00A61047"/>
    <w:rsid w:val="00A62723"/>
    <w:rsid w:val="00A64BA5"/>
    <w:rsid w:val="00A64CDC"/>
    <w:rsid w:val="00A64E2E"/>
    <w:rsid w:val="00A74ED8"/>
    <w:rsid w:val="00A75EC1"/>
    <w:rsid w:val="00A764B9"/>
    <w:rsid w:val="00A77273"/>
    <w:rsid w:val="00A77436"/>
    <w:rsid w:val="00A77D7B"/>
    <w:rsid w:val="00A807AB"/>
    <w:rsid w:val="00A81B8B"/>
    <w:rsid w:val="00A83C0D"/>
    <w:rsid w:val="00A85AAC"/>
    <w:rsid w:val="00A943B8"/>
    <w:rsid w:val="00A953D4"/>
    <w:rsid w:val="00A96DB3"/>
    <w:rsid w:val="00AA6DA9"/>
    <w:rsid w:val="00AB7266"/>
    <w:rsid w:val="00AC0A73"/>
    <w:rsid w:val="00AC1884"/>
    <w:rsid w:val="00AC28B6"/>
    <w:rsid w:val="00AD0AA6"/>
    <w:rsid w:val="00AD0F99"/>
    <w:rsid w:val="00AD2B4D"/>
    <w:rsid w:val="00AD5E36"/>
    <w:rsid w:val="00AD6A5A"/>
    <w:rsid w:val="00AE061B"/>
    <w:rsid w:val="00AE2196"/>
    <w:rsid w:val="00AE76BF"/>
    <w:rsid w:val="00AF78FC"/>
    <w:rsid w:val="00B00D06"/>
    <w:rsid w:val="00B00E76"/>
    <w:rsid w:val="00B01358"/>
    <w:rsid w:val="00B01DF7"/>
    <w:rsid w:val="00B01F9D"/>
    <w:rsid w:val="00B03860"/>
    <w:rsid w:val="00B060FC"/>
    <w:rsid w:val="00B067FF"/>
    <w:rsid w:val="00B07534"/>
    <w:rsid w:val="00B1315F"/>
    <w:rsid w:val="00B132D0"/>
    <w:rsid w:val="00B139D6"/>
    <w:rsid w:val="00B13E05"/>
    <w:rsid w:val="00B1592D"/>
    <w:rsid w:val="00B214D3"/>
    <w:rsid w:val="00B22DEE"/>
    <w:rsid w:val="00B25CC0"/>
    <w:rsid w:val="00B2776F"/>
    <w:rsid w:val="00B300B1"/>
    <w:rsid w:val="00B30665"/>
    <w:rsid w:val="00B313D1"/>
    <w:rsid w:val="00B32D7A"/>
    <w:rsid w:val="00B33825"/>
    <w:rsid w:val="00B379FE"/>
    <w:rsid w:val="00B41FD5"/>
    <w:rsid w:val="00B434A1"/>
    <w:rsid w:val="00B44D66"/>
    <w:rsid w:val="00B461AE"/>
    <w:rsid w:val="00B53E57"/>
    <w:rsid w:val="00B54BDF"/>
    <w:rsid w:val="00B5752E"/>
    <w:rsid w:val="00B630B7"/>
    <w:rsid w:val="00B63968"/>
    <w:rsid w:val="00B64621"/>
    <w:rsid w:val="00B75B7D"/>
    <w:rsid w:val="00B77CD0"/>
    <w:rsid w:val="00B80D19"/>
    <w:rsid w:val="00B860CC"/>
    <w:rsid w:val="00B90E7B"/>
    <w:rsid w:val="00B92828"/>
    <w:rsid w:val="00B94688"/>
    <w:rsid w:val="00B94818"/>
    <w:rsid w:val="00B96517"/>
    <w:rsid w:val="00B9704A"/>
    <w:rsid w:val="00B97D2C"/>
    <w:rsid w:val="00BA3D7B"/>
    <w:rsid w:val="00BA5145"/>
    <w:rsid w:val="00BA6393"/>
    <w:rsid w:val="00BA7DE1"/>
    <w:rsid w:val="00BB1D54"/>
    <w:rsid w:val="00BB76C1"/>
    <w:rsid w:val="00BC181F"/>
    <w:rsid w:val="00BC5EA2"/>
    <w:rsid w:val="00BC5F58"/>
    <w:rsid w:val="00BC756A"/>
    <w:rsid w:val="00BD07F6"/>
    <w:rsid w:val="00BD0A18"/>
    <w:rsid w:val="00BD0FE2"/>
    <w:rsid w:val="00BD1326"/>
    <w:rsid w:val="00BD2D58"/>
    <w:rsid w:val="00BD4BC6"/>
    <w:rsid w:val="00BD5EDA"/>
    <w:rsid w:val="00BD6757"/>
    <w:rsid w:val="00BE1EC7"/>
    <w:rsid w:val="00BE2F14"/>
    <w:rsid w:val="00BE5370"/>
    <w:rsid w:val="00BF3A26"/>
    <w:rsid w:val="00BF4F8F"/>
    <w:rsid w:val="00BF5165"/>
    <w:rsid w:val="00C04BF3"/>
    <w:rsid w:val="00C101E3"/>
    <w:rsid w:val="00C16220"/>
    <w:rsid w:val="00C168CD"/>
    <w:rsid w:val="00C226E0"/>
    <w:rsid w:val="00C22FF8"/>
    <w:rsid w:val="00C250D9"/>
    <w:rsid w:val="00C25663"/>
    <w:rsid w:val="00C26088"/>
    <w:rsid w:val="00C266A5"/>
    <w:rsid w:val="00C3027D"/>
    <w:rsid w:val="00C31B32"/>
    <w:rsid w:val="00C33DE6"/>
    <w:rsid w:val="00C34975"/>
    <w:rsid w:val="00C35D44"/>
    <w:rsid w:val="00C360A9"/>
    <w:rsid w:val="00C374CD"/>
    <w:rsid w:val="00C37C68"/>
    <w:rsid w:val="00C40469"/>
    <w:rsid w:val="00C446DE"/>
    <w:rsid w:val="00C532C4"/>
    <w:rsid w:val="00C56DDB"/>
    <w:rsid w:val="00C57F04"/>
    <w:rsid w:val="00C63079"/>
    <w:rsid w:val="00C63B92"/>
    <w:rsid w:val="00C64327"/>
    <w:rsid w:val="00C66FCB"/>
    <w:rsid w:val="00C67E6F"/>
    <w:rsid w:val="00C75248"/>
    <w:rsid w:val="00C77157"/>
    <w:rsid w:val="00C776F8"/>
    <w:rsid w:val="00C82155"/>
    <w:rsid w:val="00C82E65"/>
    <w:rsid w:val="00C85DE5"/>
    <w:rsid w:val="00C90ED2"/>
    <w:rsid w:val="00C916DA"/>
    <w:rsid w:val="00C917FF"/>
    <w:rsid w:val="00C91AC9"/>
    <w:rsid w:val="00C91C54"/>
    <w:rsid w:val="00C9242A"/>
    <w:rsid w:val="00C94868"/>
    <w:rsid w:val="00CA5779"/>
    <w:rsid w:val="00CA5BEA"/>
    <w:rsid w:val="00CA655F"/>
    <w:rsid w:val="00CA71E9"/>
    <w:rsid w:val="00CB15B3"/>
    <w:rsid w:val="00CB17AC"/>
    <w:rsid w:val="00CB1D1D"/>
    <w:rsid w:val="00CB1F04"/>
    <w:rsid w:val="00CB5C38"/>
    <w:rsid w:val="00CC49F7"/>
    <w:rsid w:val="00CC50EE"/>
    <w:rsid w:val="00CC757E"/>
    <w:rsid w:val="00CD09B6"/>
    <w:rsid w:val="00CD0F69"/>
    <w:rsid w:val="00CD14E6"/>
    <w:rsid w:val="00CD18A4"/>
    <w:rsid w:val="00CD50C4"/>
    <w:rsid w:val="00CD5D78"/>
    <w:rsid w:val="00CD5E11"/>
    <w:rsid w:val="00CD6119"/>
    <w:rsid w:val="00CE1735"/>
    <w:rsid w:val="00CE194D"/>
    <w:rsid w:val="00CE3E58"/>
    <w:rsid w:val="00CE444A"/>
    <w:rsid w:val="00CF4AAA"/>
    <w:rsid w:val="00D0301A"/>
    <w:rsid w:val="00D03C09"/>
    <w:rsid w:val="00D0506B"/>
    <w:rsid w:val="00D06753"/>
    <w:rsid w:val="00D07833"/>
    <w:rsid w:val="00D1152E"/>
    <w:rsid w:val="00D116BF"/>
    <w:rsid w:val="00D146FE"/>
    <w:rsid w:val="00D1779B"/>
    <w:rsid w:val="00D2384D"/>
    <w:rsid w:val="00D23C00"/>
    <w:rsid w:val="00D247DF"/>
    <w:rsid w:val="00D25A5E"/>
    <w:rsid w:val="00D25C68"/>
    <w:rsid w:val="00D27ADD"/>
    <w:rsid w:val="00D3226E"/>
    <w:rsid w:val="00D34A61"/>
    <w:rsid w:val="00D36708"/>
    <w:rsid w:val="00D36ED3"/>
    <w:rsid w:val="00D36F30"/>
    <w:rsid w:val="00D37326"/>
    <w:rsid w:val="00D416DC"/>
    <w:rsid w:val="00D425C1"/>
    <w:rsid w:val="00D42CDA"/>
    <w:rsid w:val="00D43041"/>
    <w:rsid w:val="00D43877"/>
    <w:rsid w:val="00D45727"/>
    <w:rsid w:val="00D54F73"/>
    <w:rsid w:val="00D5636F"/>
    <w:rsid w:val="00D571FB"/>
    <w:rsid w:val="00D57613"/>
    <w:rsid w:val="00D57C65"/>
    <w:rsid w:val="00D6035F"/>
    <w:rsid w:val="00D63E54"/>
    <w:rsid w:val="00D657EA"/>
    <w:rsid w:val="00D65B48"/>
    <w:rsid w:val="00D7278A"/>
    <w:rsid w:val="00D733B4"/>
    <w:rsid w:val="00D75143"/>
    <w:rsid w:val="00D76307"/>
    <w:rsid w:val="00D76BC9"/>
    <w:rsid w:val="00D80876"/>
    <w:rsid w:val="00D81550"/>
    <w:rsid w:val="00D8447A"/>
    <w:rsid w:val="00D866A2"/>
    <w:rsid w:val="00D86CDD"/>
    <w:rsid w:val="00D87A6E"/>
    <w:rsid w:val="00D930D7"/>
    <w:rsid w:val="00D95C5F"/>
    <w:rsid w:val="00D95F5D"/>
    <w:rsid w:val="00DA3850"/>
    <w:rsid w:val="00DA3946"/>
    <w:rsid w:val="00DA5D39"/>
    <w:rsid w:val="00DA77FF"/>
    <w:rsid w:val="00DB138C"/>
    <w:rsid w:val="00DB767E"/>
    <w:rsid w:val="00DC2AD9"/>
    <w:rsid w:val="00DC30C5"/>
    <w:rsid w:val="00DC3A3E"/>
    <w:rsid w:val="00DC628E"/>
    <w:rsid w:val="00DD0D17"/>
    <w:rsid w:val="00DD13AB"/>
    <w:rsid w:val="00DD38B7"/>
    <w:rsid w:val="00DD7BD4"/>
    <w:rsid w:val="00DE0422"/>
    <w:rsid w:val="00DE11B0"/>
    <w:rsid w:val="00DE68BB"/>
    <w:rsid w:val="00DE7347"/>
    <w:rsid w:val="00DF2A13"/>
    <w:rsid w:val="00DF361F"/>
    <w:rsid w:val="00DF3D10"/>
    <w:rsid w:val="00DF41F4"/>
    <w:rsid w:val="00DF4A2A"/>
    <w:rsid w:val="00DF7910"/>
    <w:rsid w:val="00E06D57"/>
    <w:rsid w:val="00E13C5C"/>
    <w:rsid w:val="00E22E6B"/>
    <w:rsid w:val="00E3199B"/>
    <w:rsid w:val="00E31D97"/>
    <w:rsid w:val="00E33B8C"/>
    <w:rsid w:val="00E360EB"/>
    <w:rsid w:val="00E36FFA"/>
    <w:rsid w:val="00E37023"/>
    <w:rsid w:val="00E37886"/>
    <w:rsid w:val="00E37CCB"/>
    <w:rsid w:val="00E4040C"/>
    <w:rsid w:val="00E43116"/>
    <w:rsid w:val="00E45DB4"/>
    <w:rsid w:val="00E45E22"/>
    <w:rsid w:val="00E54DCF"/>
    <w:rsid w:val="00E61042"/>
    <w:rsid w:val="00E64EFA"/>
    <w:rsid w:val="00E6737F"/>
    <w:rsid w:val="00E679F6"/>
    <w:rsid w:val="00E727EB"/>
    <w:rsid w:val="00E72D87"/>
    <w:rsid w:val="00E7311F"/>
    <w:rsid w:val="00E738B0"/>
    <w:rsid w:val="00E73EB4"/>
    <w:rsid w:val="00E76365"/>
    <w:rsid w:val="00E765DD"/>
    <w:rsid w:val="00E774B1"/>
    <w:rsid w:val="00E77559"/>
    <w:rsid w:val="00E77CE1"/>
    <w:rsid w:val="00E80FAA"/>
    <w:rsid w:val="00E82A24"/>
    <w:rsid w:val="00E82F7A"/>
    <w:rsid w:val="00E83D75"/>
    <w:rsid w:val="00E848E8"/>
    <w:rsid w:val="00E9055E"/>
    <w:rsid w:val="00E905F8"/>
    <w:rsid w:val="00E91AA7"/>
    <w:rsid w:val="00E935AA"/>
    <w:rsid w:val="00E959E9"/>
    <w:rsid w:val="00E959F2"/>
    <w:rsid w:val="00E96962"/>
    <w:rsid w:val="00E97FE0"/>
    <w:rsid w:val="00EA01C6"/>
    <w:rsid w:val="00EA1A6E"/>
    <w:rsid w:val="00EA3215"/>
    <w:rsid w:val="00EA33E9"/>
    <w:rsid w:val="00EA552D"/>
    <w:rsid w:val="00EA55C5"/>
    <w:rsid w:val="00EA6210"/>
    <w:rsid w:val="00EB45BE"/>
    <w:rsid w:val="00EC04DD"/>
    <w:rsid w:val="00EC1DA6"/>
    <w:rsid w:val="00EC2693"/>
    <w:rsid w:val="00EC55AF"/>
    <w:rsid w:val="00EC79E6"/>
    <w:rsid w:val="00ED59E9"/>
    <w:rsid w:val="00ED6F9E"/>
    <w:rsid w:val="00EE123D"/>
    <w:rsid w:val="00EE2B25"/>
    <w:rsid w:val="00EE4610"/>
    <w:rsid w:val="00EE674C"/>
    <w:rsid w:val="00EE6757"/>
    <w:rsid w:val="00EF0637"/>
    <w:rsid w:val="00EF3104"/>
    <w:rsid w:val="00EF4A63"/>
    <w:rsid w:val="00EF52AB"/>
    <w:rsid w:val="00EF62E0"/>
    <w:rsid w:val="00F01BB0"/>
    <w:rsid w:val="00F0232C"/>
    <w:rsid w:val="00F05981"/>
    <w:rsid w:val="00F070FD"/>
    <w:rsid w:val="00F10307"/>
    <w:rsid w:val="00F10B68"/>
    <w:rsid w:val="00F1217A"/>
    <w:rsid w:val="00F12843"/>
    <w:rsid w:val="00F12A29"/>
    <w:rsid w:val="00F131B3"/>
    <w:rsid w:val="00F15AA1"/>
    <w:rsid w:val="00F16A23"/>
    <w:rsid w:val="00F16F65"/>
    <w:rsid w:val="00F22586"/>
    <w:rsid w:val="00F23DA9"/>
    <w:rsid w:val="00F24562"/>
    <w:rsid w:val="00F24972"/>
    <w:rsid w:val="00F27921"/>
    <w:rsid w:val="00F306D9"/>
    <w:rsid w:val="00F3163E"/>
    <w:rsid w:val="00F32B01"/>
    <w:rsid w:val="00F35114"/>
    <w:rsid w:val="00F359A9"/>
    <w:rsid w:val="00F4010C"/>
    <w:rsid w:val="00F40833"/>
    <w:rsid w:val="00F439AA"/>
    <w:rsid w:val="00F45B9A"/>
    <w:rsid w:val="00F53B37"/>
    <w:rsid w:val="00F560F0"/>
    <w:rsid w:val="00F576EA"/>
    <w:rsid w:val="00F6105D"/>
    <w:rsid w:val="00F62E37"/>
    <w:rsid w:val="00F63813"/>
    <w:rsid w:val="00F64827"/>
    <w:rsid w:val="00F64901"/>
    <w:rsid w:val="00F6527F"/>
    <w:rsid w:val="00F6528D"/>
    <w:rsid w:val="00F65C25"/>
    <w:rsid w:val="00F661DA"/>
    <w:rsid w:val="00F67387"/>
    <w:rsid w:val="00F706D0"/>
    <w:rsid w:val="00F71F57"/>
    <w:rsid w:val="00F74AF5"/>
    <w:rsid w:val="00F773CA"/>
    <w:rsid w:val="00F81F53"/>
    <w:rsid w:val="00F84C57"/>
    <w:rsid w:val="00F85D4B"/>
    <w:rsid w:val="00F95FEC"/>
    <w:rsid w:val="00F960D0"/>
    <w:rsid w:val="00FA15AE"/>
    <w:rsid w:val="00FA2DC7"/>
    <w:rsid w:val="00FA42A4"/>
    <w:rsid w:val="00FA6A26"/>
    <w:rsid w:val="00FA751C"/>
    <w:rsid w:val="00FB09BD"/>
    <w:rsid w:val="00FB0A86"/>
    <w:rsid w:val="00FB179C"/>
    <w:rsid w:val="00FB24D4"/>
    <w:rsid w:val="00FB3F81"/>
    <w:rsid w:val="00FC430D"/>
    <w:rsid w:val="00FC4A29"/>
    <w:rsid w:val="00FC5538"/>
    <w:rsid w:val="00FC728A"/>
    <w:rsid w:val="00FD00BD"/>
    <w:rsid w:val="00FD0F4F"/>
    <w:rsid w:val="00FD0FCE"/>
    <w:rsid w:val="00FD265C"/>
    <w:rsid w:val="00FD2B20"/>
    <w:rsid w:val="00FD4B97"/>
    <w:rsid w:val="00FE17A3"/>
    <w:rsid w:val="00FE25A3"/>
    <w:rsid w:val="00FE2981"/>
    <w:rsid w:val="00FE2CFC"/>
    <w:rsid w:val="00FE5A6B"/>
    <w:rsid w:val="00FE753D"/>
    <w:rsid w:val="00FE75A2"/>
    <w:rsid w:val="00FE77DD"/>
    <w:rsid w:val="00FF1AA4"/>
    <w:rsid w:val="00FF294B"/>
    <w:rsid w:val="00FF4864"/>
    <w:rsid w:val="00FF604E"/>
    <w:rsid w:val="00FF7810"/>
    <w:rsid w:val="00FF7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94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9B"/>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775B9B"/>
    <w:pPr>
      <w:pBdr>
        <w:bottom w:val="single" w:sz="4" w:space="14" w:color="1F497D" w:themeColor="text2"/>
      </w:pBdr>
      <w:spacing w:after="480"/>
      <w:outlineLvl w:val="0"/>
    </w:pPr>
    <w:rPr>
      <w:rFonts w:ascii="Calibri" w:hAnsi="Calibri" w:cs="Arial"/>
      <w:b/>
      <w:bCs/>
      <w:caps/>
      <w:color w:val="1F497D" w:themeColor="text2"/>
      <w:kern w:val="32"/>
      <w:sz w:val="44"/>
      <w:szCs w:val="36"/>
    </w:rPr>
  </w:style>
  <w:style w:type="paragraph" w:styleId="Heading2">
    <w:name w:val="heading 2"/>
    <w:basedOn w:val="HeadingBase"/>
    <w:next w:val="Normal"/>
    <w:link w:val="Heading2Char"/>
    <w:qFormat/>
    <w:rsid w:val="00775B9B"/>
    <w:pPr>
      <w:spacing w:before="240" w:after="180"/>
      <w:outlineLvl w:val="1"/>
    </w:pPr>
    <w:rPr>
      <w:rFonts w:ascii="Calibri" w:hAnsi="Calibri" w:cs="Arial"/>
      <w:b/>
      <w:bCs/>
      <w:iCs/>
      <w:smallCaps/>
      <w:color w:val="1F497D" w:themeColor="text2"/>
      <w:sz w:val="38"/>
      <w:szCs w:val="28"/>
    </w:rPr>
  </w:style>
  <w:style w:type="paragraph" w:styleId="Heading3">
    <w:name w:val="heading 3"/>
    <w:basedOn w:val="HeadingBase"/>
    <w:next w:val="Normal"/>
    <w:link w:val="Heading3Char"/>
    <w:qFormat/>
    <w:rsid w:val="009747B9"/>
    <w:pPr>
      <w:spacing w:before="300" w:after="240"/>
      <w:outlineLvl w:val="2"/>
    </w:pPr>
    <w:rPr>
      <w:rFonts w:ascii="Calibri" w:hAnsi="Calibri" w:cs="Arial"/>
      <w:b/>
      <w:bCs/>
      <w:color w:val="1F497D" w:themeColor="text2"/>
      <w:sz w:val="29"/>
      <w:szCs w:val="29"/>
    </w:rPr>
  </w:style>
  <w:style w:type="paragraph" w:styleId="Heading4">
    <w:name w:val="heading 4"/>
    <w:basedOn w:val="HeadingBase"/>
    <w:next w:val="Normal"/>
    <w:link w:val="Heading4Char"/>
    <w:qFormat/>
    <w:rsid w:val="001F342D"/>
    <w:pPr>
      <w:spacing w:before="120" w:after="120"/>
      <w:outlineLvl w:val="3"/>
    </w:pPr>
    <w:rPr>
      <w:b/>
      <w:bCs/>
      <w:i/>
      <w:sz w:val="22"/>
      <w:szCs w:val="22"/>
    </w:rPr>
  </w:style>
  <w:style w:type="paragraph" w:styleId="Heading5">
    <w:name w:val="heading 5"/>
    <w:basedOn w:val="HeadingBase"/>
    <w:next w:val="Normal"/>
    <w:link w:val="Heading5Char"/>
    <w:qFormat/>
    <w:rsid w:val="001F342D"/>
    <w:pPr>
      <w:spacing w:after="120"/>
      <w:outlineLvl w:val="4"/>
    </w:pPr>
    <w:rPr>
      <w:b/>
      <w:bCs/>
      <w:iCs/>
    </w:rPr>
  </w:style>
  <w:style w:type="paragraph" w:styleId="Heading6">
    <w:name w:val="heading 6"/>
    <w:basedOn w:val="HeadingBase"/>
    <w:next w:val="Normal"/>
    <w:link w:val="Heading6Char"/>
    <w:qFormat/>
    <w:rsid w:val="001F342D"/>
    <w:pPr>
      <w:spacing w:after="120"/>
      <w:outlineLvl w:val="5"/>
    </w:pPr>
    <w:rPr>
      <w:bCs/>
      <w:szCs w:val="22"/>
    </w:rPr>
  </w:style>
  <w:style w:type="paragraph" w:styleId="Heading7">
    <w:name w:val="heading 7"/>
    <w:basedOn w:val="HeadingBase"/>
    <w:next w:val="Normal"/>
    <w:link w:val="Heading7Char"/>
    <w:qFormat/>
    <w:rsid w:val="001F342D"/>
    <w:pPr>
      <w:spacing w:after="120"/>
      <w:outlineLvl w:val="6"/>
    </w:pPr>
    <w:rPr>
      <w:szCs w:val="24"/>
    </w:rPr>
  </w:style>
  <w:style w:type="paragraph" w:styleId="Heading8">
    <w:name w:val="heading 8"/>
    <w:basedOn w:val="HeadingBase"/>
    <w:next w:val="Normal"/>
    <w:link w:val="Heading8Char"/>
    <w:qFormat/>
    <w:rsid w:val="001F342D"/>
    <w:pPr>
      <w:spacing w:after="120"/>
      <w:outlineLvl w:val="7"/>
    </w:pPr>
    <w:rPr>
      <w:iCs/>
      <w:szCs w:val="24"/>
    </w:rPr>
  </w:style>
  <w:style w:type="paragraph" w:styleId="Heading9">
    <w:name w:val="heading 9"/>
    <w:basedOn w:val="HeadingBase"/>
    <w:next w:val="Normal"/>
    <w:link w:val="Heading9Char"/>
    <w:qFormat/>
    <w:rsid w:val="001F342D"/>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Main">
    <w:name w:val="Cover Title Main"/>
    <w:basedOn w:val="HeadingBase"/>
    <w:next w:val="Normal"/>
    <w:rsid w:val="00E37CCB"/>
    <w:pPr>
      <w:keepNext w:val="0"/>
      <w:pBdr>
        <w:bottom w:val="single" w:sz="8" w:space="14" w:color="1F497D" w:themeColor="text2"/>
      </w:pBdr>
      <w:spacing w:after="720"/>
      <w:jc w:val="right"/>
    </w:pPr>
    <w:rPr>
      <w:rFonts w:ascii="Calibri" w:hAnsi="Calibri"/>
      <w:b/>
      <w:color w:val="1F497D" w:themeColor="text2"/>
      <w:sz w:val="48"/>
    </w:rPr>
  </w:style>
  <w:style w:type="paragraph" w:customStyle="1" w:styleId="FooterEven">
    <w:name w:val="Footer Even"/>
    <w:basedOn w:val="FooterOdd"/>
    <w:rsid w:val="00824115"/>
    <w:pPr>
      <w:jc w:val="left"/>
    </w:pPr>
  </w:style>
  <w:style w:type="paragraph" w:customStyle="1" w:styleId="FooterOdd">
    <w:name w:val="Footer Odd"/>
    <w:basedOn w:val="Footer"/>
    <w:rsid w:val="00824115"/>
    <w:pPr>
      <w:jc w:val="right"/>
    </w:pPr>
    <w:rPr>
      <w:rFonts w:ascii="Arial" w:hAnsi="Arial"/>
      <w:color w:val="1F497D" w:themeColor="text2"/>
      <w:sz w:val="18"/>
    </w:rPr>
  </w:style>
  <w:style w:type="paragraph" w:styleId="Header">
    <w:name w:val="header"/>
    <w:basedOn w:val="HeadingBase"/>
    <w:link w:val="HeaderChar"/>
    <w:rsid w:val="001F342D"/>
    <w:rPr>
      <w:rFonts w:asciiTheme="minorHAnsi" w:hAnsiTheme="minorHAnsi"/>
      <w:sz w:val="22"/>
    </w:rPr>
  </w:style>
  <w:style w:type="character" w:customStyle="1" w:styleId="HeaderChar">
    <w:name w:val="Header Char"/>
    <w:basedOn w:val="DefaultParagraphFont"/>
    <w:link w:val="Header"/>
    <w:rsid w:val="001F342D"/>
    <w:rPr>
      <w:rFonts w:eastAsia="Times New Roman" w:cs="Times New Roman"/>
      <w:color w:val="4F81BD" w:themeColor="accent1"/>
      <w:szCs w:val="20"/>
      <w:lang w:eastAsia="en-AU"/>
    </w:rPr>
  </w:style>
  <w:style w:type="paragraph" w:customStyle="1" w:styleId="HeaderOdd">
    <w:name w:val="Header Odd"/>
    <w:basedOn w:val="Header"/>
    <w:rsid w:val="009879BD"/>
    <w:pPr>
      <w:jc w:val="right"/>
    </w:pPr>
    <w:rPr>
      <w:rFonts w:ascii="Arial" w:hAnsi="Arial"/>
      <w:color w:val="1F497D" w:themeColor="text2"/>
      <w:sz w:val="18"/>
    </w:rPr>
  </w:style>
  <w:style w:type="paragraph" w:styleId="Footer">
    <w:name w:val="footer"/>
    <w:basedOn w:val="HeadingBase"/>
    <w:link w:val="FooterChar"/>
    <w:rsid w:val="001F342D"/>
    <w:rPr>
      <w:rFonts w:asciiTheme="minorHAnsi" w:hAnsiTheme="minorHAnsi"/>
      <w:sz w:val="22"/>
    </w:rPr>
  </w:style>
  <w:style w:type="character" w:customStyle="1" w:styleId="FooterChar">
    <w:name w:val="Footer Char"/>
    <w:basedOn w:val="DefaultParagraphFont"/>
    <w:link w:val="Footer"/>
    <w:rsid w:val="001F342D"/>
    <w:rPr>
      <w:rFonts w:eastAsia="Times New Roman" w:cs="Times New Roman"/>
      <w:color w:val="4F81BD" w:themeColor="accent1"/>
      <w:szCs w:val="20"/>
      <w:lang w:eastAsia="en-AU"/>
    </w:rPr>
  </w:style>
  <w:style w:type="character" w:styleId="Hyperlink">
    <w:name w:val="Hyperlink"/>
    <w:basedOn w:val="DefaultParagraphFont"/>
    <w:uiPriority w:val="99"/>
    <w:rsid w:val="005E5CBF"/>
    <w:rPr>
      <w:b/>
      <w:color w:val="1F497D" w:themeColor="text2"/>
      <w:u w:val="none"/>
    </w:rPr>
  </w:style>
  <w:style w:type="paragraph" w:customStyle="1" w:styleId="ChartGraphic">
    <w:name w:val="Chart Graphic"/>
    <w:basedOn w:val="HeadingBase"/>
    <w:next w:val="Normal"/>
    <w:rsid w:val="001F342D"/>
    <w:pPr>
      <w:jc w:val="center"/>
    </w:pPr>
  </w:style>
  <w:style w:type="paragraph" w:customStyle="1" w:styleId="SinglePara">
    <w:name w:val="Single Para"/>
    <w:basedOn w:val="Normal"/>
    <w:rsid w:val="00BC5F58"/>
    <w:pPr>
      <w:spacing w:after="0" w:line="240" w:lineRule="auto"/>
    </w:pPr>
    <w:rPr>
      <w:rFonts w:ascii="Times New Roman" w:hAnsi="Times New Roman"/>
      <w:sz w:val="24"/>
    </w:rPr>
  </w:style>
  <w:style w:type="paragraph" w:styleId="BalloonText">
    <w:name w:val="Balloon Text"/>
    <w:basedOn w:val="Normal"/>
    <w:link w:val="BalloonTextChar"/>
    <w:semiHidden/>
    <w:rsid w:val="001F342D"/>
    <w:rPr>
      <w:rFonts w:ascii="Tahoma" w:hAnsi="Tahoma" w:cs="Tahoma"/>
      <w:sz w:val="16"/>
      <w:szCs w:val="16"/>
    </w:rPr>
  </w:style>
  <w:style w:type="character" w:customStyle="1" w:styleId="BalloonTextChar">
    <w:name w:val="Balloon Text Char"/>
    <w:basedOn w:val="DefaultParagraphFont"/>
    <w:link w:val="BalloonText"/>
    <w:semiHidden/>
    <w:rsid w:val="001F342D"/>
    <w:rPr>
      <w:rFonts w:ascii="Tahoma" w:eastAsia="Times New Roman" w:hAnsi="Tahoma" w:cs="Tahoma"/>
      <w:sz w:val="16"/>
      <w:szCs w:val="16"/>
      <w:lang w:eastAsia="en-AU"/>
    </w:rPr>
  </w:style>
  <w:style w:type="character" w:customStyle="1" w:styleId="Heading2Char">
    <w:name w:val="Heading 2 Char"/>
    <w:basedOn w:val="DefaultParagraphFont"/>
    <w:link w:val="Heading2"/>
    <w:rsid w:val="00775B9B"/>
    <w:rPr>
      <w:rFonts w:ascii="Calibri" w:eastAsia="Times New Roman" w:hAnsi="Calibri" w:cs="Arial"/>
      <w:b/>
      <w:bCs/>
      <w:iCs/>
      <w:smallCaps/>
      <w:color w:val="1F497D" w:themeColor="text2"/>
      <w:sz w:val="38"/>
      <w:szCs w:val="28"/>
      <w:lang w:eastAsia="en-AU"/>
    </w:rPr>
  </w:style>
  <w:style w:type="paragraph" w:customStyle="1" w:styleId="OutlineNumbered1">
    <w:name w:val="Outline Numbered 1"/>
    <w:basedOn w:val="Normal"/>
    <w:link w:val="OutlineNumbered1Char"/>
    <w:rsid w:val="00067902"/>
    <w:pPr>
      <w:numPr>
        <w:numId w:val="9"/>
      </w:numPr>
      <w:tabs>
        <w:tab w:val="clear" w:pos="851"/>
        <w:tab w:val="num" w:pos="425"/>
      </w:tabs>
      <w:ind w:left="425" w:hanging="425"/>
    </w:pPr>
  </w:style>
  <w:style w:type="character" w:customStyle="1" w:styleId="OutlineNumbered1Char">
    <w:name w:val="Outline Numbered 1 Char"/>
    <w:basedOn w:val="DefaultParagraphFont"/>
    <w:link w:val="OutlineNumbered1"/>
    <w:locked/>
    <w:rsid w:val="00067902"/>
    <w:rPr>
      <w:rFonts w:ascii="Calibri" w:eastAsia="Times New Roman" w:hAnsi="Calibri" w:cs="Times New Roman"/>
      <w:szCs w:val="20"/>
      <w:lang w:eastAsia="en-AU"/>
    </w:rPr>
  </w:style>
  <w:style w:type="paragraph" w:customStyle="1" w:styleId="OutlineNumbered2">
    <w:name w:val="Outline Numbered 2"/>
    <w:basedOn w:val="Normal"/>
    <w:rsid w:val="001F342D"/>
    <w:pPr>
      <w:numPr>
        <w:ilvl w:val="1"/>
        <w:numId w:val="9"/>
      </w:numPr>
    </w:pPr>
  </w:style>
  <w:style w:type="paragraph" w:customStyle="1" w:styleId="OutlineNumbered3">
    <w:name w:val="Outline Numbered 3"/>
    <w:basedOn w:val="Normal"/>
    <w:rsid w:val="001F342D"/>
    <w:pPr>
      <w:numPr>
        <w:ilvl w:val="2"/>
        <w:numId w:val="9"/>
      </w:numPr>
    </w:pPr>
  </w:style>
  <w:style w:type="paragraph" w:customStyle="1" w:styleId="Bullet">
    <w:name w:val="Bullet"/>
    <w:aliases w:val="b,b1,b + line,Body,level 1,Bullet + line"/>
    <w:basedOn w:val="Normal"/>
    <w:link w:val="BulletChar"/>
    <w:rsid w:val="00367696"/>
    <w:pPr>
      <w:numPr>
        <w:numId w:val="1"/>
      </w:numPr>
    </w:pPr>
  </w:style>
  <w:style w:type="character" w:customStyle="1" w:styleId="BulletChar">
    <w:name w:val="Bullet Char"/>
    <w:aliases w:val="b Char,b + line Char Char,b Char Char"/>
    <w:basedOn w:val="DefaultParagraphFont"/>
    <w:link w:val="Bullet"/>
    <w:locked/>
    <w:rsid w:val="00367696"/>
    <w:rPr>
      <w:rFonts w:ascii="Calibri" w:eastAsia="Times New Roman" w:hAnsi="Calibri" w:cs="Times New Roman"/>
      <w:szCs w:val="20"/>
      <w:lang w:eastAsia="en-AU"/>
    </w:rPr>
  </w:style>
  <w:style w:type="paragraph" w:customStyle="1" w:styleId="Dash">
    <w:name w:val="Dash"/>
    <w:basedOn w:val="Normal"/>
    <w:link w:val="DashChar"/>
    <w:rsid w:val="001F342D"/>
    <w:pPr>
      <w:numPr>
        <w:ilvl w:val="1"/>
        <w:numId w:val="1"/>
      </w:numPr>
    </w:pPr>
  </w:style>
  <w:style w:type="paragraph" w:customStyle="1" w:styleId="DoubleDot">
    <w:name w:val="Double Dot"/>
    <w:basedOn w:val="Normal"/>
    <w:rsid w:val="001F342D"/>
    <w:pPr>
      <w:numPr>
        <w:ilvl w:val="2"/>
        <w:numId w:val="1"/>
      </w:numPr>
    </w:pPr>
  </w:style>
  <w:style w:type="character" w:customStyle="1" w:styleId="Heading1Char">
    <w:name w:val="Heading 1 Char"/>
    <w:basedOn w:val="DefaultParagraphFont"/>
    <w:link w:val="Heading1"/>
    <w:rsid w:val="00775B9B"/>
    <w:rPr>
      <w:rFonts w:ascii="Calibri" w:eastAsia="Times New Roman" w:hAnsi="Calibri" w:cs="Arial"/>
      <w:b/>
      <w:bCs/>
      <w:caps/>
      <w:color w:val="1F497D" w:themeColor="text2"/>
      <w:kern w:val="32"/>
      <w:sz w:val="44"/>
      <w:szCs w:val="36"/>
      <w:lang w:eastAsia="en-AU"/>
    </w:rPr>
  </w:style>
  <w:style w:type="paragraph" w:styleId="FootnoteText">
    <w:name w:val="footnote text"/>
    <w:basedOn w:val="Normal"/>
    <w:link w:val="FootnoteTextChar"/>
    <w:rsid w:val="001F342D"/>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1F342D"/>
    <w:rPr>
      <w:rFonts w:eastAsia="Times New Roman" w:cs="Times New Roman"/>
      <w:sz w:val="18"/>
      <w:szCs w:val="20"/>
      <w:lang w:eastAsia="en-AU"/>
    </w:rPr>
  </w:style>
  <w:style w:type="character" w:styleId="FootnoteReference">
    <w:name w:val="footnote reference"/>
    <w:basedOn w:val="DefaultParagraphFont"/>
    <w:rsid w:val="001F342D"/>
    <w:rPr>
      <w:vertAlign w:val="superscript"/>
    </w:rPr>
  </w:style>
  <w:style w:type="paragraph" w:customStyle="1" w:styleId="Heading1noTOC">
    <w:name w:val="Heading 1 no TOC"/>
    <w:basedOn w:val="Heading1"/>
    <w:next w:val="Normal"/>
    <w:rsid w:val="00F6105D"/>
    <w:pPr>
      <w:outlineLvl w:val="9"/>
    </w:pPr>
    <w:rPr>
      <w:color w:val="003E74"/>
      <w:szCs w:val="48"/>
    </w:rPr>
  </w:style>
  <w:style w:type="paragraph" w:styleId="ListParagraph">
    <w:name w:val="List Paragraph"/>
    <w:basedOn w:val="Normal"/>
    <w:uiPriority w:val="34"/>
    <w:qFormat/>
    <w:rsid w:val="00FD2B20"/>
    <w:pPr>
      <w:ind w:left="720"/>
      <w:contextualSpacing/>
    </w:pPr>
  </w:style>
  <w:style w:type="character" w:customStyle="1" w:styleId="DashChar">
    <w:name w:val="Dash Char"/>
    <w:basedOn w:val="DefaultParagraphFont"/>
    <w:link w:val="Dash"/>
    <w:locked/>
    <w:rsid w:val="00FD2B20"/>
    <w:rPr>
      <w:rFonts w:ascii="Calibri" w:eastAsia="Times New Roman" w:hAnsi="Calibri" w:cs="Times New Roman"/>
      <w:szCs w:val="20"/>
      <w:lang w:eastAsia="en-AU"/>
    </w:rPr>
  </w:style>
  <w:style w:type="character" w:styleId="CommentReference">
    <w:name w:val="annotation reference"/>
    <w:basedOn w:val="DefaultParagraphFont"/>
    <w:semiHidden/>
    <w:rsid w:val="001F342D"/>
    <w:rPr>
      <w:sz w:val="16"/>
      <w:szCs w:val="16"/>
    </w:rPr>
  </w:style>
  <w:style w:type="paragraph" w:styleId="CommentText">
    <w:name w:val="annotation text"/>
    <w:basedOn w:val="Normal"/>
    <w:link w:val="CommentTextChar"/>
    <w:semiHidden/>
    <w:rsid w:val="001F342D"/>
  </w:style>
  <w:style w:type="character" w:customStyle="1" w:styleId="CommentTextChar">
    <w:name w:val="Comment Text Char"/>
    <w:basedOn w:val="DefaultParagraphFont"/>
    <w:link w:val="CommentText"/>
    <w:semiHidden/>
    <w:rsid w:val="001F342D"/>
    <w:rPr>
      <w:rFonts w:eastAsia="Times New Roman" w:cs="Times New Roman"/>
      <w:szCs w:val="20"/>
      <w:lang w:eastAsia="en-AU"/>
    </w:rPr>
  </w:style>
  <w:style w:type="paragraph" w:styleId="CommentSubject">
    <w:name w:val="annotation subject"/>
    <w:basedOn w:val="CommentText"/>
    <w:next w:val="CommentText"/>
    <w:link w:val="CommentSubjectChar"/>
    <w:semiHidden/>
    <w:rsid w:val="001F342D"/>
    <w:rPr>
      <w:b/>
      <w:bCs/>
    </w:rPr>
  </w:style>
  <w:style w:type="character" w:customStyle="1" w:styleId="CommentSubjectChar">
    <w:name w:val="Comment Subject Char"/>
    <w:basedOn w:val="CommentTextChar"/>
    <w:link w:val="CommentSubject"/>
    <w:semiHidden/>
    <w:rsid w:val="001F342D"/>
    <w:rPr>
      <w:rFonts w:eastAsia="Times New Roman" w:cs="Times New Roman"/>
      <w:b/>
      <w:bCs/>
      <w:szCs w:val="20"/>
      <w:lang w:eastAsia="en-AU"/>
    </w:rPr>
  </w:style>
  <w:style w:type="character" w:styleId="Emphasis">
    <w:name w:val="Emphasis"/>
    <w:basedOn w:val="DefaultParagraphFont"/>
    <w:uiPriority w:val="20"/>
    <w:qFormat/>
    <w:rsid w:val="0012006F"/>
    <w:rPr>
      <w:i/>
      <w:iCs/>
    </w:rPr>
  </w:style>
  <w:style w:type="table" w:styleId="TableGrid">
    <w:name w:val="Table Grid"/>
    <w:basedOn w:val="TableNormal"/>
    <w:rsid w:val="001F342D"/>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Default">
    <w:name w:val="Default"/>
    <w:rsid w:val="00E7311F"/>
    <w:pPr>
      <w:autoSpaceDE w:val="0"/>
      <w:autoSpaceDN w:val="0"/>
      <w:adjustRightInd w:val="0"/>
      <w:spacing w:after="0" w:line="240" w:lineRule="auto"/>
    </w:pPr>
    <w:rPr>
      <w:rFonts w:ascii="Book Antiqua" w:hAnsi="Book Antiqua" w:cs="Book Antiqua"/>
      <w:color w:val="000000"/>
      <w:sz w:val="24"/>
      <w:szCs w:val="24"/>
    </w:rPr>
  </w:style>
  <w:style w:type="paragraph" w:styleId="EndnoteText">
    <w:name w:val="endnote text"/>
    <w:basedOn w:val="Normal"/>
    <w:link w:val="EndnoteTextChar"/>
    <w:semiHidden/>
    <w:rsid w:val="001F342D"/>
  </w:style>
  <w:style w:type="character" w:customStyle="1" w:styleId="EndnoteTextChar">
    <w:name w:val="Endnote Text Char"/>
    <w:basedOn w:val="DefaultParagraphFont"/>
    <w:link w:val="EndnoteText"/>
    <w:semiHidden/>
    <w:rsid w:val="001F342D"/>
    <w:rPr>
      <w:rFonts w:eastAsia="Times New Roman" w:cs="Times New Roman"/>
      <w:szCs w:val="20"/>
      <w:lang w:eastAsia="en-AU"/>
    </w:rPr>
  </w:style>
  <w:style w:type="character" w:styleId="EndnoteReference">
    <w:name w:val="endnote reference"/>
    <w:basedOn w:val="DefaultParagraphFont"/>
    <w:semiHidden/>
    <w:rsid w:val="001F342D"/>
    <w:rPr>
      <w:vertAlign w:val="superscript"/>
    </w:rPr>
  </w:style>
  <w:style w:type="paragraph" w:customStyle="1" w:styleId="p1">
    <w:name w:val="p1"/>
    <w:basedOn w:val="Normal"/>
    <w:rsid w:val="001F0034"/>
    <w:pPr>
      <w:spacing w:after="0" w:line="240" w:lineRule="auto"/>
    </w:pPr>
    <w:rPr>
      <w:rFonts w:ascii=".SF UI Text" w:eastAsiaTheme="minorHAnsi" w:hAnsi=".SF UI Text"/>
      <w:color w:val="454545"/>
      <w:sz w:val="26"/>
      <w:szCs w:val="26"/>
    </w:rPr>
  </w:style>
  <w:style w:type="paragraph" w:customStyle="1" w:styleId="p2">
    <w:name w:val="p2"/>
    <w:basedOn w:val="Normal"/>
    <w:rsid w:val="001F0034"/>
    <w:pPr>
      <w:spacing w:after="0" w:line="240" w:lineRule="auto"/>
    </w:pPr>
    <w:rPr>
      <w:rFonts w:ascii=".SF UI Text" w:eastAsiaTheme="minorHAnsi" w:hAnsi=".SF UI Text"/>
      <w:color w:val="454545"/>
      <w:sz w:val="26"/>
      <w:szCs w:val="26"/>
    </w:rPr>
  </w:style>
  <w:style w:type="character" w:customStyle="1" w:styleId="s1">
    <w:name w:val="s1"/>
    <w:basedOn w:val="DefaultParagraphFont"/>
    <w:rsid w:val="001F0034"/>
    <w:rPr>
      <w:rFonts w:ascii=".SFUIText" w:hAnsi=".SFUIText" w:hint="default"/>
      <w:b w:val="0"/>
      <w:bCs w:val="0"/>
      <w:i w:val="0"/>
      <w:iCs w:val="0"/>
      <w:sz w:val="34"/>
      <w:szCs w:val="34"/>
    </w:rPr>
  </w:style>
  <w:style w:type="paragraph" w:styleId="BodyText">
    <w:name w:val="Body Text"/>
    <w:link w:val="BodyTextChar"/>
    <w:qFormat/>
    <w:rsid w:val="00E738B0"/>
    <w:pPr>
      <w:spacing w:after="120"/>
      <w:jc w:val="both"/>
    </w:pPr>
    <w:rPr>
      <w:rFonts w:ascii="Calibri" w:eastAsiaTheme="minorEastAsia" w:hAnsi="Calibri"/>
      <w:sz w:val="21"/>
      <w:lang w:val="en-GB" w:eastAsia="en-GB"/>
    </w:rPr>
  </w:style>
  <w:style w:type="character" w:customStyle="1" w:styleId="BodyTextChar">
    <w:name w:val="Body Text Char"/>
    <w:basedOn w:val="DefaultParagraphFont"/>
    <w:link w:val="BodyText"/>
    <w:rsid w:val="00E738B0"/>
    <w:rPr>
      <w:rFonts w:ascii="Calibri" w:eastAsiaTheme="minorEastAsia" w:hAnsi="Calibri"/>
      <w:sz w:val="21"/>
      <w:lang w:val="en-GB" w:eastAsia="en-GB"/>
    </w:rPr>
  </w:style>
  <w:style w:type="paragraph" w:styleId="Revision">
    <w:name w:val="Revision"/>
    <w:hidden/>
    <w:uiPriority w:val="99"/>
    <w:semiHidden/>
    <w:rsid w:val="00AC1884"/>
    <w:pPr>
      <w:spacing w:after="0" w:line="240" w:lineRule="auto"/>
    </w:pPr>
    <w:rPr>
      <w:rFonts w:ascii="Book Antiqua" w:eastAsia="Times New Roman" w:hAnsi="Book Antiqua" w:cs="Times New Roman"/>
      <w:color w:val="000000"/>
      <w:sz w:val="20"/>
      <w:szCs w:val="20"/>
      <w:lang w:eastAsia="en-AU"/>
    </w:rPr>
  </w:style>
  <w:style w:type="character" w:customStyle="1" w:styleId="Heading8Char">
    <w:name w:val="Heading 8 Char"/>
    <w:basedOn w:val="DefaultParagraphFont"/>
    <w:link w:val="Heading8"/>
    <w:rsid w:val="001F342D"/>
    <w:rPr>
      <w:rFonts w:asciiTheme="majorHAnsi" w:eastAsia="Times New Roman" w:hAnsiTheme="majorHAnsi" w:cs="Times New Roman"/>
      <w:iCs/>
      <w:color w:val="4F81BD" w:themeColor="accent1"/>
      <w:sz w:val="20"/>
      <w:szCs w:val="24"/>
      <w:lang w:eastAsia="en-AU"/>
    </w:rPr>
  </w:style>
  <w:style w:type="character" w:customStyle="1" w:styleId="Heading3Char">
    <w:name w:val="Heading 3 Char"/>
    <w:basedOn w:val="DefaultParagraphFont"/>
    <w:link w:val="Heading3"/>
    <w:rsid w:val="009747B9"/>
    <w:rPr>
      <w:rFonts w:ascii="Calibri" w:eastAsia="Times New Roman" w:hAnsi="Calibri" w:cs="Arial"/>
      <w:b/>
      <w:bCs/>
      <w:color w:val="1F497D" w:themeColor="text2"/>
      <w:sz w:val="29"/>
      <w:szCs w:val="29"/>
      <w:lang w:eastAsia="en-AU"/>
    </w:rPr>
  </w:style>
  <w:style w:type="paragraph" w:styleId="NormalWeb">
    <w:name w:val="Normal (Web)"/>
    <w:basedOn w:val="Normal"/>
    <w:rsid w:val="001F342D"/>
    <w:pPr>
      <w:spacing w:line="312" w:lineRule="atLeast"/>
    </w:pPr>
    <w:rPr>
      <w:sz w:val="24"/>
      <w:szCs w:val="24"/>
    </w:rPr>
  </w:style>
  <w:style w:type="paragraph" w:styleId="TOCHeading">
    <w:name w:val="TOC Heading"/>
    <w:basedOn w:val="Heading1"/>
    <w:next w:val="Normal"/>
    <w:uiPriority w:val="39"/>
    <w:unhideWhenUsed/>
    <w:qFormat/>
    <w:rsid w:val="00C374CD"/>
    <w:pPr>
      <w:spacing w:line="276" w:lineRule="auto"/>
      <w:outlineLvl w:val="9"/>
    </w:pPr>
    <w:rPr>
      <w:lang w:val="en-US" w:eastAsia="ja-JP"/>
    </w:rPr>
  </w:style>
  <w:style w:type="paragraph" w:styleId="TOC2">
    <w:name w:val="toc 2"/>
    <w:basedOn w:val="HeadingBase"/>
    <w:next w:val="Normal"/>
    <w:uiPriority w:val="39"/>
    <w:rsid w:val="00695BF3"/>
    <w:pPr>
      <w:tabs>
        <w:tab w:val="right" w:leader="dot" w:pos="9072"/>
      </w:tabs>
      <w:spacing w:before="80" w:after="60"/>
      <w:ind w:left="882" w:right="804" w:hanging="655"/>
    </w:pPr>
    <w:rPr>
      <w:rFonts w:ascii="Calibri" w:hAnsi="Calibri"/>
      <w:noProof/>
      <w:color w:val="auto"/>
      <w:sz w:val="22"/>
      <w:szCs w:val="21"/>
    </w:rPr>
  </w:style>
  <w:style w:type="paragraph" w:styleId="TOC1">
    <w:name w:val="toc 1"/>
    <w:basedOn w:val="HeadingBase"/>
    <w:next w:val="Normal"/>
    <w:uiPriority w:val="39"/>
    <w:rsid w:val="00775B9B"/>
    <w:pPr>
      <w:tabs>
        <w:tab w:val="right" w:leader="dot" w:pos="9072"/>
      </w:tabs>
      <w:spacing w:before="180"/>
      <w:ind w:right="851"/>
    </w:pPr>
    <w:rPr>
      <w:rFonts w:ascii="Calibri" w:hAnsi="Calibri"/>
      <w:b/>
      <w:caps/>
      <w:color w:val="1F497D" w:themeColor="text2"/>
      <w:sz w:val="24"/>
      <w:szCs w:val="22"/>
    </w:rPr>
  </w:style>
  <w:style w:type="paragraph" w:styleId="TOC3">
    <w:name w:val="toc 3"/>
    <w:basedOn w:val="Normal"/>
    <w:next w:val="Normal"/>
    <w:rsid w:val="001F342D"/>
    <w:pPr>
      <w:tabs>
        <w:tab w:val="right" w:leader="dot" w:pos="9072"/>
      </w:tabs>
      <w:spacing w:before="20" w:after="0" w:line="240" w:lineRule="auto"/>
      <w:ind w:left="284" w:right="851"/>
    </w:pPr>
  </w:style>
  <w:style w:type="character" w:customStyle="1" w:styleId="Heading4Char">
    <w:name w:val="Heading 4 Char"/>
    <w:basedOn w:val="DefaultParagraphFont"/>
    <w:link w:val="Heading4"/>
    <w:rsid w:val="001F342D"/>
    <w:rPr>
      <w:rFonts w:asciiTheme="majorHAnsi" w:eastAsia="Times New Roman" w:hAnsiTheme="majorHAnsi" w:cs="Times New Roman"/>
      <w:b/>
      <w:bCs/>
      <w:i/>
      <w:color w:val="4F81BD" w:themeColor="accent1"/>
      <w:lang w:eastAsia="en-AU"/>
    </w:rPr>
  </w:style>
  <w:style w:type="character" w:customStyle="1" w:styleId="Heading5Char">
    <w:name w:val="Heading 5 Char"/>
    <w:basedOn w:val="DefaultParagraphFont"/>
    <w:link w:val="Heading5"/>
    <w:rsid w:val="001F342D"/>
    <w:rPr>
      <w:rFonts w:asciiTheme="majorHAnsi" w:eastAsia="Times New Roman" w:hAnsiTheme="majorHAnsi" w:cs="Times New Roman"/>
      <w:b/>
      <w:bCs/>
      <w:iCs/>
      <w:color w:val="4F81BD" w:themeColor="accent1"/>
      <w:sz w:val="20"/>
      <w:szCs w:val="20"/>
      <w:lang w:eastAsia="en-AU"/>
    </w:rPr>
  </w:style>
  <w:style w:type="character" w:customStyle="1" w:styleId="Heading6Char">
    <w:name w:val="Heading 6 Char"/>
    <w:basedOn w:val="DefaultParagraphFont"/>
    <w:link w:val="Heading6"/>
    <w:rsid w:val="001F342D"/>
    <w:rPr>
      <w:rFonts w:asciiTheme="majorHAnsi" w:eastAsia="Times New Roman" w:hAnsiTheme="majorHAnsi" w:cs="Times New Roman"/>
      <w:bCs/>
      <w:color w:val="4F81BD" w:themeColor="accent1"/>
      <w:sz w:val="20"/>
      <w:lang w:eastAsia="en-AU"/>
    </w:rPr>
  </w:style>
  <w:style w:type="character" w:customStyle="1" w:styleId="Heading7Char">
    <w:name w:val="Heading 7 Char"/>
    <w:basedOn w:val="DefaultParagraphFont"/>
    <w:link w:val="Heading7"/>
    <w:rsid w:val="001F342D"/>
    <w:rPr>
      <w:rFonts w:asciiTheme="majorHAnsi" w:eastAsia="Times New Roman" w:hAnsiTheme="majorHAnsi" w:cs="Times New Roman"/>
      <w:color w:val="4F81BD" w:themeColor="accent1"/>
      <w:sz w:val="20"/>
      <w:szCs w:val="24"/>
      <w:lang w:eastAsia="en-AU"/>
    </w:rPr>
  </w:style>
  <w:style w:type="character" w:customStyle="1" w:styleId="Heading9Char">
    <w:name w:val="Heading 9 Char"/>
    <w:basedOn w:val="DefaultParagraphFont"/>
    <w:link w:val="Heading9"/>
    <w:rsid w:val="001F342D"/>
    <w:rPr>
      <w:rFonts w:asciiTheme="majorHAnsi" w:eastAsia="Times New Roman" w:hAnsiTheme="majorHAnsi" w:cs="Arial"/>
      <w:color w:val="4F81BD" w:themeColor="accent1"/>
      <w:sz w:val="20"/>
      <w:lang w:eastAsia="en-AU"/>
    </w:rPr>
  </w:style>
  <w:style w:type="paragraph" w:customStyle="1" w:styleId="HeadingBase">
    <w:name w:val="Heading Base"/>
    <w:next w:val="Normal"/>
    <w:rsid w:val="001F342D"/>
    <w:pPr>
      <w:keepNext/>
      <w:spacing w:after="0" w:line="240" w:lineRule="auto"/>
    </w:pPr>
    <w:rPr>
      <w:rFonts w:asciiTheme="majorHAnsi" w:eastAsia="Times New Roman" w:hAnsiTheme="majorHAnsi" w:cs="Times New Roman"/>
      <w:color w:val="4F81BD" w:themeColor="accent1"/>
      <w:sz w:val="20"/>
      <w:szCs w:val="20"/>
      <w:lang w:eastAsia="en-AU"/>
    </w:rPr>
  </w:style>
  <w:style w:type="paragraph" w:customStyle="1" w:styleId="TableGraphic">
    <w:name w:val="Table Graphic"/>
    <w:basedOn w:val="HeadingBase"/>
    <w:next w:val="Normal"/>
    <w:rsid w:val="001F342D"/>
  </w:style>
  <w:style w:type="paragraph" w:customStyle="1" w:styleId="AlphaParagraph">
    <w:name w:val="Alpha Paragraph"/>
    <w:basedOn w:val="Normal"/>
    <w:qFormat/>
    <w:rsid w:val="001F342D"/>
    <w:pPr>
      <w:numPr>
        <w:numId w:val="3"/>
      </w:numPr>
    </w:pPr>
  </w:style>
  <w:style w:type="paragraph" w:customStyle="1" w:styleId="AppendixHeading">
    <w:name w:val="Appendix Heading"/>
    <w:basedOn w:val="HeadingBase"/>
    <w:next w:val="Normal"/>
    <w:rsid w:val="001F342D"/>
    <w:pPr>
      <w:spacing w:before="720" w:after="360"/>
      <w:outlineLvl w:val="0"/>
    </w:pPr>
    <w:rPr>
      <w:sz w:val="36"/>
      <w:szCs w:val="36"/>
    </w:rPr>
  </w:style>
  <w:style w:type="character" w:customStyle="1" w:styleId="Bold">
    <w:name w:val="Bold"/>
    <w:basedOn w:val="DefaultParagraphFont"/>
    <w:rsid w:val="001F342D"/>
    <w:rPr>
      <w:b/>
    </w:rPr>
  </w:style>
  <w:style w:type="paragraph" w:customStyle="1" w:styleId="BoxTextBase">
    <w:name w:val="Box Text Base"/>
    <w:basedOn w:val="Normal"/>
    <w:rsid w:val="001F342D"/>
  </w:style>
  <w:style w:type="paragraph" w:customStyle="1" w:styleId="BoxBullet">
    <w:name w:val="Box Bullet"/>
    <w:basedOn w:val="BoxTextBase"/>
    <w:rsid w:val="001F342D"/>
    <w:pPr>
      <w:numPr>
        <w:numId w:val="2"/>
      </w:numPr>
    </w:pPr>
  </w:style>
  <w:style w:type="paragraph" w:customStyle="1" w:styleId="BoxDash">
    <w:name w:val="Box Dash"/>
    <w:basedOn w:val="Normal"/>
    <w:rsid w:val="001F342D"/>
    <w:pPr>
      <w:numPr>
        <w:ilvl w:val="1"/>
        <w:numId w:val="2"/>
      </w:numPr>
    </w:pPr>
  </w:style>
  <w:style w:type="paragraph" w:customStyle="1" w:styleId="BoxDoubleDot">
    <w:name w:val="Box Double Dot"/>
    <w:basedOn w:val="BoxTextBase"/>
    <w:rsid w:val="001F342D"/>
    <w:pPr>
      <w:numPr>
        <w:ilvl w:val="2"/>
        <w:numId w:val="2"/>
      </w:numPr>
    </w:pPr>
  </w:style>
  <w:style w:type="paragraph" w:customStyle="1" w:styleId="BoxHeading">
    <w:name w:val="Box Heading"/>
    <w:basedOn w:val="HeadingBase"/>
    <w:next w:val="Normal"/>
    <w:rsid w:val="001F342D"/>
    <w:pPr>
      <w:spacing w:before="240" w:after="120"/>
    </w:pPr>
    <w:rPr>
      <w:b/>
      <w:sz w:val="22"/>
    </w:rPr>
  </w:style>
  <w:style w:type="paragraph" w:customStyle="1" w:styleId="BoxText">
    <w:name w:val="Box Text"/>
    <w:basedOn w:val="BoxTextBase"/>
    <w:rsid w:val="001F342D"/>
  </w:style>
  <w:style w:type="paragraph" w:styleId="NormalIndent">
    <w:name w:val="Normal Indent"/>
    <w:basedOn w:val="Normal"/>
    <w:rsid w:val="001F342D"/>
    <w:pPr>
      <w:ind w:left="567"/>
    </w:pPr>
  </w:style>
  <w:style w:type="paragraph" w:customStyle="1" w:styleId="ChartandTableFootnoteAlpha">
    <w:name w:val="Chart and Table Footnote Alpha"/>
    <w:rsid w:val="001F342D"/>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1F342D"/>
    <w:pPr>
      <w:spacing w:after="20"/>
      <w:jc w:val="center"/>
    </w:pPr>
    <w:rPr>
      <w:b/>
      <w:sz w:val="24"/>
    </w:rPr>
  </w:style>
  <w:style w:type="paragraph" w:customStyle="1" w:styleId="ChartorTableNote">
    <w:name w:val="Chart or Table Note"/>
    <w:next w:val="Normal"/>
    <w:rsid w:val="001F342D"/>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1F342D"/>
    <w:pPr>
      <w:spacing w:after="20"/>
      <w:jc w:val="center"/>
    </w:pPr>
  </w:style>
  <w:style w:type="paragraph" w:customStyle="1" w:styleId="Classification">
    <w:name w:val="Classification"/>
    <w:basedOn w:val="HeadingBase"/>
    <w:next w:val="Footer"/>
    <w:rsid w:val="001F342D"/>
    <w:pPr>
      <w:spacing w:after="120"/>
      <w:jc w:val="center"/>
    </w:pPr>
    <w:rPr>
      <w:b/>
      <w:smallCaps/>
    </w:rPr>
  </w:style>
  <w:style w:type="paragraph" w:customStyle="1" w:styleId="ContentsHeading">
    <w:name w:val="Contents Heading"/>
    <w:basedOn w:val="HeadingBase"/>
    <w:next w:val="Normal"/>
    <w:rsid w:val="001F342D"/>
    <w:pPr>
      <w:spacing w:after="360"/>
    </w:pPr>
    <w:rPr>
      <w:sz w:val="36"/>
      <w:szCs w:val="36"/>
    </w:rPr>
  </w:style>
  <w:style w:type="paragraph" w:customStyle="1" w:styleId="CoverTitleSub">
    <w:name w:val="Cover Title Sub"/>
    <w:basedOn w:val="CoverTitleMain"/>
    <w:rsid w:val="00775B9B"/>
    <w:pPr>
      <w:pBdr>
        <w:bottom w:val="none" w:sz="0" w:space="0" w:color="auto"/>
      </w:pBdr>
      <w:spacing w:before="240"/>
    </w:pPr>
    <w:rPr>
      <w:sz w:val="62"/>
    </w:rPr>
  </w:style>
  <w:style w:type="paragraph" w:customStyle="1" w:styleId="Covertitlelevel3">
    <w:name w:val="Cover title level 3"/>
    <w:basedOn w:val="CoverTitleSub"/>
    <w:rsid w:val="001F342D"/>
    <w:pPr>
      <w:spacing w:after="120"/>
    </w:pPr>
    <w:rPr>
      <w:sz w:val="28"/>
      <w:szCs w:val="28"/>
    </w:rPr>
  </w:style>
  <w:style w:type="paragraph" w:customStyle="1" w:styleId="Figuregraphic">
    <w:name w:val="Figure graphic"/>
    <w:basedOn w:val="Normal"/>
    <w:rsid w:val="001F342D"/>
    <w:pPr>
      <w:spacing w:line="240" w:lineRule="auto"/>
      <w:jc w:val="center"/>
    </w:pPr>
  </w:style>
  <w:style w:type="paragraph" w:customStyle="1" w:styleId="FigureHeading">
    <w:name w:val="Figure Heading"/>
    <w:basedOn w:val="HeadingBase"/>
    <w:next w:val="Figuregraphic"/>
    <w:rsid w:val="001F342D"/>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1F342D"/>
    <w:pPr>
      <w:spacing w:after="20"/>
      <w:jc w:val="center"/>
    </w:pPr>
  </w:style>
  <w:style w:type="paragraph" w:customStyle="1" w:styleId="TableMainHeading">
    <w:name w:val="Table Main Heading"/>
    <w:basedOn w:val="HeadingBase"/>
    <w:next w:val="TableGraphic"/>
    <w:rsid w:val="001F342D"/>
    <w:pPr>
      <w:spacing w:after="20"/>
    </w:pPr>
    <w:rPr>
      <w:b/>
      <w:sz w:val="22"/>
    </w:rPr>
  </w:style>
  <w:style w:type="paragraph" w:customStyle="1" w:styleId="FooterCentered">
    <w:name w:val="Footer Centered"/>
    <w:basedOn w:val="Footer"/>
    <w:rsid w:val="001F342D"/>
    <w:pPr>
      <w:jc w:val="center"/>
    </w:pPr>
  </w:style>
  <w:style w:type="character" w:customStyle="1" w:styleId="FramedFooter">
    <w:name w:val="Framed Footer"/>
    <w:rsid w:val="001F342D"/>
    <w:rPr>
      <w:rFonts w:ascii="Arial" w:hAnsi="Arial"/>
      <w:sz w:val="18"/>
    </w:rPr>
  </w:style>
  <w:style w:type="character" w:customStyle="1" w:styleId="FramedHeader">
    <w:name w:val="Framed Header"/>
    <w:basedOn w:val="DefaultParagraphFont"/>
    <w:rsid w:val="001F342D"/>
    <w:rPr>
      <w:rFonts w:ascii="Arial" w:hAnsi="Arial"/>
      <w:dstrike w:val="0"/>
      <w:color w:val="auto"/>
      <w:sz w:val="18"/>
      <w:vertAlign w:val="baseline"/>
    </w:rPr>
  </w:style>
  <w:style w:type="paragraph" w:customStyle="1" w:styleId="HeaderEven">
    <w:name w:val="Header Even"/>
    <w:basedOn w:val="Header"/>
    <w:rsid w:val="00824115"/>
    <w:rPr>
      <w:rFonts w:ascii="Arial" w:hAnsi="Arial"/>
      <w:color w:val="1F497D" w:themeColor="text2"/>
      <w:sz w:val="18"/>
    </w:rPr>
  </w:style>
  <w:style w:type="character" w:customStyle="1" w:styleId="italic">
    <w:name w:val="italic"/>
    <w:basedOn w:val="DefaultParagraphFont"/>
    <w:rsid w:val="001F342D"/>
    <w:rPr>
      <w:i/>
    </w:rPr>
  </w:style>
  <w:style w:type="paragraph" w:customStyle="1" w:styleId="NormalIndentItalics">
    <w:name w:val="Normal Indent Italics"/>
    <w:basedOn w:val="NormalIndent"/>
    <w:rsid w:val="001F342D"/>
    <w:rPr>
      <w:i/>
    </w:rPr>
  </w:style>
  <w:style w:type="paragraph" w:customStyle="1" w:styleId="OneLevelNumberedParagraph">
    <w:name w:val="One Level Numbered Paragraph"/>
    <w:basedOn w:val="Normal"/>
    <w:rsid w:val="001F342D"/>
    <w:pPr>
      <w:numPr>
        <w:numId w:val="8"/>
      </w:numPr>
    </w:pPr>
  </w:style>
  <w:style w:type="character" w:styleId="PageNumber">
    <w:name w:val="page number"/>
    <w:basedOn w:val="DefaultParagraphFont"/>
    <w:rsid w:val="001F342D"/>
    <w:rPr>
      <w:rFonts w:ascii="Arial" w:hAnsi="Arial"/>
      <w:sz w:val="18"/>
    </w:rPr>
  </w:style>
  <w:style w:type="paragraph" w:customStyle="1" w:styleId="Principle">
    <w:name w:val="Principle"/>
    <w:basedOn w:val="Normal"/>
    <w:rsid w:val="001F342D"/>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1F342D"/>
    <w:rPr>
      <w:i/>
    </w:rPr>
  </w:style>
  <w:style w:type="paragraph" w:customStyle="1" w:styleId="RecommendationBullet">
    <w:name w:val="Recommendation Bullet"/>
    <w:basedOn w:val="RecommendationTextBase"/>
    <w:rsid w:val="001F342D"/>
    <w:pPr>
      <w:numPr>
        <w:numId w:val="10"/>
      </w:numPr>
    </w:pPr>
  </w:style>
  <w:style w:type="paragraph" w:customStyle="1" w:styleId="RecommendationDash">
    <w:name w:val="Recommendation Dash"/>
    <w:basedOn w:val="RecommendationTextBase"/>
    <w:rsid w:val="001F342D"/>
    <w:pPr>
      <w:numPr>
        <w:ilvl w:val="1"/>
        <w:numId w:val="10"/>
      </w:numPr>
    </w:pPr>
  </w:style>
  <w:style w:type="paragraph" w:customStyle="1" w:styleId="RecommendationDoubleDot">
    <w:name w:val="Recommendation Double Dot"/>
    <w:basedOn w:val="RecommendationTextBase"/>
    <w:rsid w:val="001F342D"/>
    <w:pPr>
      <w:numPr>
        <w:ilvl w:val="2"/>
        <w:numId w:val="10"/>
      </w:numPr>
    </w:pPr>
  </w:style>
  <w:style w:type="paragraph" w:customStyle="1" w:styleId="RecommendationHeading">
    <w:name w:val="Recommendation Heading"/>
    <w:basedOn w:val="HeadingBase"/>
    <w:next w:val="Normal"/>
    <w:rsid w:val="001F342D"/>
    <w:pPr>
      <w:spacing w:before="120" w:after="240"/>
    </w:pPr>
    <w:rPr>
      <w:b/>
      <w:sz w:val="22"/>
    </w:rPr>
  </w:style>
  <w:style w:type="paragraph" w:customStyle="1" w:styleId="RecommendationText">
    <w:name w:val="Recommendation Text"/>
    <w:basedOn w:val="RecommendationTextBase"/>
    <w:rsid w:val="001F342D"/>
  </w:style>
  <w:style w:type="paragraph" w:customStyle="1" w:styleId="Romannumeral">
    <w:name w:val="Roman numeral"/>
    <w:basedOn w:val="Normal"/>
    <w:rsid w:val="001F342D"/>
    <w:pPr>
      <w:numPr>
        <w:numId w:val="11"/>
      </w:numPr>
    </w:pPr>
  </w:style>
  <w:style w:type="paragraph" w:customStyle="1" w:styleId="SingleParagraph">
    <w:name w:val="Single Paragraph"/>
    <w:basedOn w:val="Normal"/>
    <w:rsid w:val="001F342D"/>
    <w:pPr>
      <w:spacing w:after="0"/>
    </w:pPr>
  </w:style>
  <w:style w:type="paragraph" w:customStyle="1" w:styleId="SingleParagraphIndent">
    <w:name w:val="Single Paragraph Indent"/>
    <w:basedOn w:val="SingleParagraph"/>
    <w:rsid w:val="001F342D"/>
    <w:pPr>
      <w:ind w:left="567"/>
    </w:pPr>
  </w:style>
  <w:style w:type="paragraph" w:customStyle="1" w:styleId="TableSecondHeading">
    <w:name w:val="Table Second Heading"/>
    <w:basedOn w:val="HeadingBase"/>
    <w:next w:val="TableGraphic"/>
    <w:rsid w:val="001F342D"/>
    <w:pPr>
      <w:spacing w:after="20"/>
    </w:pPr>
  </w:style>
  <w:style w:type="paragraph" w:customStyle="1" w:styleId="TableTextBase">
    <w:name w:val="Table Text Base"/>
    <w:rsid w:val="001F342D"/>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Left"/>
    <w:rsid w:val="00EC04DD"/>
    <w:pPr>
      <w:jc w:val="center"/>
    </w:pPr>
    <w:rPr>
      <w:lang w:eastAsia="en-US"/>
    </w:rPr>
  </w:style>
  <w:style w:type="paragraph" w:customStyle="1" w:styleId="TableColumnHeadingBase">
    <w:name w:val="Table Column Heading Base"/>
    <w:basedOn w:val="Normal"/>
    <w:rsid w:val="001F342D"/>
    <w:pPr>
      <w:spacing w:before="40" w:after="40" w:line="240" w:lineRule="auto"/>
    </w:pPr>
    <w:rPr>
      <w:rFonts w:ascii="Arial" w:hAnsi="Arial"/>
      <w:b/>
      <w:sz w:val="16"/>
    </w:rPr>
  </w:style>
  <w:style w:type="paragraph" w:customStyle="1" w:styleId="TableColumnHeadingLeft">
    <w:name w:val="Table Column Heading Left"/>
    <w:basedOn w:val="TableColumnHeadingBase"/>
    <w:rsid w:val="002C432E"/>
    <w:pPr>
      <w:spacing w:before="100" w:after="100" w:line="240" w:lineRule="exact"/>
    </w:pPr>
    <w:rPr>
      <w:rFonts w:ascii="Calibri" w:hAnsi="Calibri"/>
      <w:sz w:val="20"/>
    </w:rPr>
  </w:style>
  <w:style w:type="paragraph" w:customStyle="1" w:styleId="TableColumnHeadingRight">
    <w:name w:val="Table Column Heading Right"/>
    <w:basedOn w:val="TableColumnHeadingBase"/>
    <w:rsid w:val="001F342D"/>
    <w:pPr>
      <w:jc w:val="right"/>
    </w:pPr>
  </w:style>
  <w:style w:type="paragraph" w:customStyle="1" w:styleId="TableMainHeadingContd">
    <w:name w:val="Table Main Heading Contd"/>
    <w:basedOn w:val="HeadingBase"/>
    <w:next w:val="TableGraphic"/>
    <w:rsid w:val="001F342D"/>
    <w:pPr>
      <w:pageBreakBefore/>
      <w:spacing w:after="20"/>
    </w:pPr>
    <w:rPr>
      <w:b/>
      <w:sz w:val="22"/>
    </w:rPr>
  </w:style>
  <w:style w:type="paragraph" w:customStyle="1" w:styleId="TableTextCentered">
    <w:name w:val="Table Text Centered"/>
    <w:basedOn w:val="TableTextLeft"/>
    <w:rsid w:val="00EC04DD"/>
    <w:pPr>
      <w:jc w:val="center"/>
    </w:pPr>
    <w:rPr>
      <w:lang w:eastAsia="en-US"/>
    </w:rPr>
  </w:style>
  <w:style w:type="paragraph" w:customStyle="1" w:styleId="TableTextIndented">
    <w:name w:val="Table Text Indented"/>
    <w:basedOn w:val="TableTextBase"/>
    <w:rsid w:val="001F342D"/>
    <w:pPr>
      <w:ind w:left="284"/>
    </w:pPr>
  </w:style>
  <w:style w:type="paragraph" w:customStyle="1" w:styleId="TableTextLeft">
    <w:name w:val="Table Text Left"/>
    <w:basedOn w:val="TableTextBase"/>
    <w:rsid w:val="00EC04DD"/>
    <w:pPr>
      <w:spacing w:before="80" w:after="80" w:line="240" w:lineRule="exact"/>
    </w:pPr>
    <w:rPr>
      <w:rFonts w:ascii="Calibri" w:hAnsi="Calibri"/>
      <w:sz w:val="20"/>
    </w:rPr>
  </w:style>
  <w:style w:type="paragraph" w:customStyle="1" w:styleId="TableTextRight">
    <w:name w:val="Table Text Right"/>
    <w:basedOn w:val="TableTextBase"/>
    <w:rsid w:val="001F342D"/>
    <w:pPr>
      <w:jc w:val="right"/>
    </w:pPr>
  </w:style>
  <w:style w:type="paragraph" w:styleId="TOC4">
    <w:name w:val="toc 4"/>
    <w:basedOn w:val="Normal"/>
    <w:next w:val="Normal"/>
    <w:rsid w:val="001F342D"/>
    <w:pPr>
      <w:tabs>
        <w:tab w:val="right" w:leader="dot" w:pos="9072"/>
      </w:tabs>
      <w:spacing w:after="0" w:line="240" w:lineRule="auto"/>
      <w:ind w:left="284" w:right="851"/>
    </w:pPr>
  </w:style>
  <w:style w:type="paragraph" w:styleId="BodyTextIndent2">
    <w:name w:val="Body Text Indent 2"/>
    <w:basedOn w:val="Normal"/>
    <w:link w:val="BodyTextIndent2Char"/>
    <w:rsid w:val="001F342D"/>
    <w:pPr>
      <w:spacing w:after="120" w:line="480" w:lineRule="auto"/>
      <w:ind w:left="283"/>
    </w:pPr>
  </w:style>
  <w:style w:type="character" w:customStyle="1" w:styleId="BodyTextIndent2Char">
    <w:name w:val="Body Text Indent 2 Char"/>
    <w:basedOn w:val="DefaultParagraphFont"/>
    <w:link w:val="BodyTextIndent2"/>
    <w:rsid w:val="001F342D"/>
    <w:rPr>
      <w:rFonts w:eastAsia="Times New Roman" w:cs="Times New Roman"/>
      <w:szCs w:val="20"/>
      <w:lang w:eastAsia="en-AU"/>
    </w:rPr>
  </w:style>
  <w:style w:type="character" w:customStyle="1" w:styleId="BoldandItalic">
    <w:name w:val="Bold and Italic"/>
    <w:basedOn w:val="DefaultParagraphFont"/>
    <w:rsid w:val="001F342D"/>
    <w:rPr>
      <w:rFonts w:ascii="Arial" w:hAnsi="Arial"/>
      <w:b/>
      <w:i/>
    </w:rPr>
  </w:style>
  <w:style w:type="paragraph" w:styleId="Caption">
    <w:name w:val="caption"/>
    <w:basedOn w:val="Normal"/>
    <w:next w:val="Normal"/>
    <w:qFormat/>
    <w:rsid w:val="001F342D"/>
    <w:rPr>
      <w:b/>
      <w:bCs/>
    </w:rPr>
  </w:style>
  <w:style w:type="paragraph" w:styleId="DocumentMap">
    <w:name w:val="Document Map"/>
    <w:basedOn w:val="Normal"/>
    <w:link w:val="DocumentMapChar"/>
    <w:semiHidden/>
    <w:rsid w:val="001F342D"/>
    <w:pPr>
      <w:shd w:val="clear" w:color="auto" w:fill="00CCFF"/>
    </w:pPr>
    <w:rPr>
      <w:rFonts w:ascii="Tahoma" w:hAnsi="Tahoma" w:cs="Tahoma"/>
    </w:rPr>
  </w:style>
  <w:style w:type="character" w:customStyle="1" w:styleId="DocumentMapChar">
    <w:name w:val="Document Map Char"/>
    <w:basedOn w:val="DefaultParagraphFont"/>
    <w:link w:val="DocumentMap"/>
    <w:semiHidden/>
    <w:rsid w:val="001F342D"/>
    <w:rPr>
      <w:rFonts w:ascii="Tahoma" w:eastAsia="Times New Roman" w:hAnsi="Tahoma" w:cs="Tahoma"/>
      <w:szCs w:val="20"/>
      <w:shd w:val="clear" w:color="auto" w:fill="00CCFF"/>
      <w:lang w:eastAsia="en-AU"/>
    </w:rPr>
  </w:style>
  <w:style w:type="character" w:styleId="FollowedHyperlink">
    <w:name w:val="FollowedHyperlink"/>
    <w:basedOn w:val="DefaultParagraphFont"/>
    <w:rsid w:val="001F342D"/>
    <w:rPr>
      <w:color w:val="auto"/>
      <w:u w:val="none"/>
    </w:rPr>
  </w:style>
  <w:style w:type="paragraph" w:styleId="Index1">
    <w:name w:val="index 1"/>
    <w:basedOn w:val="Normal"/>
    <w:next w:val="Normal"/>
    <w:autoRedefine/>
    <w:semiHidden/>
    <w:rsid w:val="001F342D"/>
    <w:pPr>
      <w:ind w:left="200" w:hanging="200"/>
    </w:pPr>
  </w:style>
  <w:style w:type="paragraph" w:styleId="Index2">
    <w:name w:val="index 2"/>
    <w:basedOn w:val="Normal"/>
    <w:next w:val="Normal"/>
    <w:autoRedefine/>
    <w:semiHidden/>
    <w:rsid w:val="001F342D"/>
    <w:pPr>
      <w:ind w:left="400" w:hanging="200"/>
    </w:pPr>
  </w:style>
  <w:style w:type="paragraph" w:styleId="Index3">
    <w:name w:val="index 3"/>
    <w:basedOn w:val="Normal"/>
    <w:next w:val="Normal"/>
    <w:autoRedefine/>
    <w:semiHidden/>
    <w:rsid w:val="001F342D"/>
    <w:pPr>
      <w:ind w:left="600" w:hanging="200"/>
    </w:pPr>
  </w:style>
  <w:style w:type="paragraph" w:styleId="Index4">
    <w:name w:val="index 4"/>
    <w:basedOn w:val="Normal"/>
    <w:next w:val="Normal"/>
    <w:autoRedefine/>
    <w:semiHidden/>
    <w:rsid w:val="001F342D"/>
    <w:pPr>
      <w:ind w:left="800" w:hanging="200"/>
    </w:pPr>
  </w:style>
  <w:style w:type="paragraph" w:styleId="Index5">
    <w:name w:val="index 5"/>
    <w:basedOn w:val="Normal"/>
    <w:next w:val="Normal"/>
    <w:autoRedefine/>
    <w:semiHidden/>
    <w:rsid w:val="001F342D"/>
    <w:pPr>
      <w:ind w:left="1000" w:hanging="200"/>
    </w:pPr>
  </w:style>
  <w:style w:type="paragraph" w:styleId="Index6">
    <w:name w:val="index 6"/>
    <w:basedOn w:val="Normal"/>
    <w:next w:val="Normal"/>
    <w:autoRedefine/>
    <w:semiHidden/>
    <w:rsid w:val="001F342D"/>
    <w:pPr>
      <w:ind w:left="1200" w:hanging="200"/>
    </w:pPr>
  </w:style>
  <w:style w:type="paragraph" w:styleId="Index7">
    <w:name w:val="index 7"/>
    <w:basedOn w:val="Normal"/>
    <w:next w:val="Normal"/>
    <w:autoRedefine/>
    <w:semiHidden/>
    <w:rsid w:val="001F342D"/>
    <w:pPr>
      <w:ind w:left="1400" w:hanging="200"/>
    </w:pPr>
  </w:style>
  <w:style w:type="paragraph" w:styleId="Index8">
    <w:name w:val="index 8"/>
    <w:basedOn w:val="Normal"/>
    <w:next w:val="Normal"/>
    <w:autoRedefine/>
    <w:semiHidden/>
    <w:rsid w:val="001F342D"/>
    <w:pPr>
      <w:ind w:left="1600" w:hanging="200"/>
    </w:pPr>
  </w:style>
  <w:style w:type="paragraph" w:styleId="Index9">
    <w:name w:val="index 9"/>
    <w:basedOn w:val="Normal"/>
    <w:next w:val="Normal"/>
    <w:autoRedefine/>
    <w:semiHidden/>
    <w:rsid w:val="001F342D"/>
    <w:pPr>
      <w:ind w:left="1800" w:hanging="200"/>
    </w:pPr>
  </w:style>
  <w:style w:type="paragraph" w:styleId="IndexHeading">
    <w:name w:val="index heading"/>
    <w:basedOn w:val="Normal"/>
    <w:next w:val="Index1"/>
    <w:semiHidden/>
    <w:rsid w:val="001F342D"/>
    <w:rPr>
      <w:rFonts w:ascii="Arial" w:hAnsi="Arial" w:cs="Arial"/>
      <w:b/>
      <w:bCs/>
    </w:rPr>
  </w:style>
  <w:style w:type="paragraph" w:styleId="MacroText">
    <w:name w:val="macro"/>
    <w:link w:val="MacroTextChar"/>
    <w:semiHidden/>
    <w:rsid w:val="001F342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1F342D"/>
    <w:rPr>
      <w:rFonts w:ascii="Courier New" w:eastAsia="Times New Roman" w:hAnsi="Courier New" w:cs="Courier New"/>
      <w:color w:val="000000"/>
      <w:sz w:val="20"/>
      <w:szCs w:val="20"/>
      <w:lang w:eastAsia="en-AU"/>
    </w:rPr>
  </w:style>
  <w:style w:type="numbering" w:customStyle="1" w:styleId="OutlineList">
    <w:name w:val="OutlineList"/>
    <w:uiPriority w:val="99"/>
    <w:rsid w:val="001F342D"/>
    <w:pPr>
      <w:numPr>
        <w:numId w:val="5"/>
      </w:numPr>
    </w:pPr>
  </w:style>
  <w:style w:type="paragraph" w:customStyle="1" w:styleId="PictureCentred">
    <w:name w:val="Picture Centred"/>
    <w:basedOn w:val="Normal"/>
    <w:rsid w:val="001F342D"/>
    <w:pPr>
      <w:spacing w:before="120" w:line="240" w:lineRule="atLeast"/>
      <w:jc w:val="center"/>
    </w:pPr>
  </w:style>
  <w:style w:type="paragraph" w:customStyle="1" w:styleId="PictureLeft">
    <w:name w:val="Picture Left"/>
    <w:basedOn w:val="PictureCentred"/>
    <w:rsid w:val="001F342D"/>
    <w:pPr>
      <w:jc w:val="left"/>
    </w:pPr>
  </w:style>
  <w:style w:type="paragraph" w:customStyle="1" w:styleId="PictureIndent">
    <w:name w:val="Picture Indent"/>
    <w:basedOn w:val="PictureLeft"/>
    <w:rsid w:val="001F342D"/>
    <w:pPr>
      <w:ind w:left="284"/>
    </w:pPr>
  </w:style>
  <w:style w:type="paragraph" w:styleId="TableofAuthorities">
    <w:name w:val="table of authorities"/>
    <w:basedOn w:val="Normal"/>
    <w:next w:val="Normal"/>
    <w:rsid w:val="001F342D"/>
    <w:pPr>
      <w:ind w:left="200" w:hanging="200"/>
    </w:pPr>
  </w:style>
  <w:style w:type="paragraph" w:styleId="TableofFigures">
    <w:name w:val="table of figures"/>
    <w:basedOn w:val="Normal"/>
    <w:next w:val="Normal"/>
    <w:rsid w:val="001F342D"/>
  </w:style>
  <w:style w:type="paragraph" w:styleId="TOAHeading">
    <w:name w:val="toa heading"/>
    <w:basedOn w:val="Normal"/>
    <w:next w:val="Normal"/>
    <w:semiHidden/>
    <w:rsid w:val="001F342D"/>
    <w:pPr>
      <w:spacing w:before="120"/>
    </w:pPr>
    <w:rPr>
      <w:rFonts w:ascii="Arial" w:hAnsi="Arial" w:cs="Arial"/>
      <w:b/>
      <w:bCs/>
      <w:sz w:val="24"/>
      <w:szCs w:val="24"/>
    </w:rPr>
  </w:style>
  <w:style w:type="paragraph" w:styleId="TOC5">
    <w:name w:val="toc 5"/>
    <w:basedOn w:val="Normal"/>
    <w:next w:val="Normal"/>
    <w:autoRedefine/>
    <w:semiHidden/>
    <w:rsid w:val="001F342D"/>
    <w:pPr>
      <w:ind w:left="800"/>
    </w:pPr>
  </w:style>
  <w:style w:type="paragraph" w:styleId="TOC6">
    <w:name w:val="toc 6"/>
    <w:basedOn w:val="Normal"/>
    <w:next w:val="Normal"/>
    <w:autoRedefine/>
    <w:semiHidden/>
    <w:rsid w:val="001F342D"/>
    <w:pPr>
      <w:ind w:left="1000"/>
    </w:pPr>
  </w:style>
  <w:style w:type="paragraph" w:styleId="TOC7">
    <w:name w:val="toc 7"/>
    <w:basedOn w:val="Normal"/>
    <w:next w:val="Normal"/>
    <w:autoRedefine/>
    <w:semiHidden/>
    <w:rsid w:val="001F342D"/>
    <w:pPr>
      <w:ind w:left="1200"/>
    </w:pPr>
  </w:style>
  <w:style w:type="paragraph" w:styleId="TOC8">
    <w:name w:val="toc 8"/>
    <w:basedOn w:val="Normal"/>
    <w:next w:val="Normal"/>
    <w:autoRedefine/>
    <w:semiHidden/>
    <w:rsid w:val="001F342D"/>
    <w:pPr>
      <w:ind w:left="1400"/>
    </w:pPr>
  </w:style>
  <w:style w:type="paragraph" w:styleId="TOC9">
    <w:name w:val="toc 9"/>
    <w:basedOn w:val="Normal"/>
    <w:next w:val="Normal"/>
    <w:autoRedefine/>
    <w:semiHidden/>
    <w:rsid w:val="001F342D"/>
    <w:pPr>
      <w:ind w:left="1600"/>
    </w:pPr>
  </w:style>
  <w:style w:type="numbering" w:customStyle="1" w:styleId="BulletedList">
    <w:name w:val="Bulleted List"/>
    <w:uiPriority w:val="99"/>
    <w:rsid w:val="001F342D"/>
    <w:pPr>
      <w:numPr>
        <w:numId w:val="1"/>
      </w:numPr>
    </w:pPr>
  </w:style>
  <w:style w:type="numbering" w:customStyle="1" w:styleId="BoxBulletedList">
    <w:name w:val="Box Bulleted List"/>
    <w:uiPriority w:val="99"/>
    <w:rsid w:val="001F342D"/>
    <w:pPr>
      <w:numPr>
        <w:numId w:val="2"/>
      </w:numPr>
    </w:pPr>
  </w:style>
  <w:style w:type="numbering" w:customStyle="1" w:styleId="AlphaParagraphList">
    <w:name w:val="Alpha Paragraph List"/>
    <w:uiPriority w:val="99"/>
    <w:rsid w:val="001F342D"/>
    <w:pPr>
      <w:numPr>
        <w:numId w:val="3"/>
      </w:numPr>
    </w:pPr>
  </w:style>
  <w:style w:type="numbering" w:customStyle="1" w:styleId="OneLevelList">
    <w:name w:val="OneLevelList"/>
    <w:uiPriority w:val="99"/>
    <w:rsid w:val="001F342D"/>
    <w:pPr>
      <w:numPr>
        <w:numId w:val="4"/>
      </w:numPr>
    </w:pPr>
  </w:style>
  <w:style w:type="numbering" w:customStyle="1" w:styleId="RecommendationBulletList">
    <w:name w:val="RecommendationBulletList"/>
    <w:uiPriority w:val="99"/>
    <w:rsid w:val="001F342D"/>
    <w:pPr>
      <w:numPr>
        <w:numId w:val="6"/>
      </w:numPr>
    </w:pPr>
  </w:style>
  <w:style w:type="numbering" w:customStyle="1" w:styleId="RomanNumeralList">
    <w:name w:val="RomanNumeralList"/>
    <w:uiPriority w:val="99"/>
    <w:rsid w:val="001F342D"/>
    <w:pPr>
      <w:numPr>
        <w:numId w:val="7"/>
      </w:numPr>
    </w:pPr>
  </w:style>
  <w:style w:type="numbering" w:customStyle="1" w:styleId="ChartandTableFootnoteAlphaList">
    <w:name w:val="ChartandTableFootnoteAlphaList"/>
    <w:uiPriority w:val="99"/>
    <w:rsid w:val="001F342D"/>
    <w:pPr>
      <w:numPr>
        <w:numId w:val="12"/>
      </w:numPr>
    </w:pPr>
  </w:style>
  <w:style w:type="paragraph" w:customStyle="1" w:styleId="TableTextBullet">
    <w:name w:val="Table Text Bullet"/>
    <w:basedOn w:val="TableTextBase"/>
    <w:rsid w:val="00EC04DD"/>
    <w:pPr>
      <w:numPr>
        <w:numId w:val="14"/>
      </w:numPr>
      <w:spacing w:before="80" w:after="80" w:line="240" w:lineRule="exact"/>
    </w:pPr>
    <w:rPr>
      <w:rFonts w:ascii="Calibri" w:hAnsi="Calibri"/>
      <w:sz w:val="20"/>
    </w:rPr>
  </w:style>
  <w:style w:type="numbering" w:customStyle="1" w:styleId="TableTestBulletList">
    <w:name w:val="Table Test Bullet List"/>
    <w:uiPriority w:val="99"/>
    <w:rsid w:val="001F342D"/>
    <w:pPr>
      <w:numPr>
        <w:numId w:val="13"/>
      </w:numPr>
    </w:pPr>
  </w:style>
  <w:style w:type="numbering" w:customStyle="1" w:styleId="TableTextBulletList">
    <w:name w:val="Table Text Bullet List"/>
    <w:uiPriority w:val="99"/>
    <w:rsid w:val="001F342D"/>
    <w:pPr>
      <w:numPr>
        <w:numId w:val="14"/>
      </w:numPr>
    </w:pPr>
  </w:style>
  <w:style w:type="paragraph" w:customStyle="1" w:styleId="StyleTableTextBulletLinespacingExactly13pt">
    <w:name w:val="Style Table Text Bullet + Line spacing:  Exactly 13 pt"/>
    <w:basedOn w:val="TableTextBullet"/>
    <w:rsid w:val="001F342D"/>
    <w:pPr>
      <w:numPr>
        <w:numId w:val="0"/>
      </w:numPr>
      <w:spacing w:line="260" w:lineRule="exact"/>
    </w:pPr>
  </w:style>
  <w:style w:type="paragraph" w:customStyle="1" w:styleId="Heading2NotNumbered">
    <w:name w:val="Heading 2 Not Numbered"/>
    <w:basedOn w:val="Heading2"/>
    <w:next w:val="Normal"/>
    <w:rsid w:val="005E5CBF"/>
    <w:pPr>
      <w:spacing w:before="300"/>
    </w:pPr>
    <w:rPr>
      <w:b w:val="0"/>
      <w:smallCaps w:val="0"/>
      <w:sz w:val="36"/>
    </w:rPr>
  </w:style>
  <w:style w:type="paragraph" w:customStyle="1" w:styleId="TableTextDash">
    <w:name w:val="Table Text Dash"/>
    <w:basedOn w:val="TableTextBullet"/>
    <w:rsid w:val="002C19BD"/>
    <w:pPr>
      <w:numPr>
        <w:numId w:val="15"/>
      </w:numPr>
    </w:pPr>
  </w:style>
  <w:style w:type="character" w:styleId="Strong">
    <w:name w:val="Strong"/>
    <w:basedOn w:val="DefaultParagraphFont"/>
    <w:uiPriority w:val="22"/>
    <w:qFormat/>
    <w:rsid w:val="00A309A5"/>
    <w:rPr>
      <w:b/>
      <w:bCs/>
    </w:rPr>
  </w:style>
  <w:style w:type="paragraph" w:customStyle="1" w:styleId="CoverTitleSubDate">
    <w:name w:val="Cover Title Sub Date"/>
    <w:basedOn w:val="CoverTitleSub"/>
    <w:rsid w:val="00775B9B"/>
    <w:rPr>
      <w:caps/>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9B"/>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775B9B"/>
    <w:pPr>
      <w:pBdr>
        <w:bottom w:val="single" w:sz="4" w:space="14" w:color="1F497D" w:themeColor="text2"/>
      </w:pBdr>
      <w:spacing w:after="480"/>
      <w:outlineLvl w:val="0"/>
    </w:pPr>
    <w:rPr>
      <w:rFonts w:ascii="Calibri" w:hAnsi="Calibri" w:cs="Arial"/>
      <w:b/>
      <w:bCs/>
      <w:caps/>
      <w:color w:val="1F497D" w:themeColor="text2"/>
      <w:kern w:val="32"/>
      <w:sz w:val="44"/>
      <w:szCs w:val="36"/>
    </w:rPr>
  </w:style>
  <w:style w:type="paragraph" w:styleId="Heading2">
    <w:name w:val="heading 2"/>
    <w:basedOn w:val="HeadingBase"/>
    <w:next w:val="Normal"/>
    <w:link w:val="Heading2Char"/>
    <w:qFormat/>
    <w:rsid w:val="00775B9B"/>
    <w:pPr>
      <w:spacing w:before="240" w:after="180"/>
      <w:outlineLvl w:val="1"/>
    </w:pPr>
    <w:rPr>
      <w:rFonts w:ascii="Calibri" w:hAnsi="Calibri" w:cs="Arial"/>
      <w:b/>
      <w:bCs/>
      <w:iCs/>
      <w:smallCaps/>
      <w:color w:val="1F497D" w:themeColor="text2"/>
      <w:sz w:val="38"/>
      <w:szCs w:val="28"/>
    </w:rPr>
  </w:style>
  <w:style w:type="paragraph" w:styleId="Heading3">
    <w:name w:val="heading 3"/>
    <w:basedOn w:val="HeadingBase"/>
    <w:next w:val="Normal"/>
    <w:link w:val="Heading3Char"/>
    <w:qFormat/>
    <w:rsid w:val="009747B9"/>
    <w:pPr>
      <w:spacing w:before="300" w:after="240"/>
      <w:outlineLvl w:val="2"/>
    </w:pPr>
    <w:rPr>
      <w:rFonts w:ascii="Calibri" w:hAnsi="Calibri" w:cs="Arial"/>
      <w:b/>
      <w:bCs/>
      <w:color w:val="1F497D" w:themeColor="text2"/>
      <w:sz w:val="29"/>
      <w:szCs w:val="29"/>
    </w:rPr>
  </w:style>
  <w:style w:type="paragraph" w:styleId="Heading4">
    <w:name w:val="heading 4"/>
    <w:basedOn w:val="HeadingBase"/>
    <w:next w:val="Normal"/>
    <w:link w:val="Heading4Char"/>
    <w:qFormat/>
    <w:rsid w:val="001F342D"/>
    <w:pPr>
      <w:spacing w:before="120" w:after="120"/>
      <w:outlineLvl w:val="3"/>
    </w:pPr>
    <w:rPr>
      <w:b/>
      <w:bCs/>
      <w:i/>
      <w:sz w:val="22"/>
      <w:szCs w:val="22"/>
    </w:rPr>
  </w:style>
  <w:style w:type="paragraph" w:styleId="Heading5">
    <w:name w:val="heading 5"/>
    <w:basedOn w:val="HeadingBase"/>
    <w:next w:val="Normal"/>
    <w:link w:val="Heading5Char"/>
    <w:qFormat/>
    <w:rsid w:val="001F342D"/>
    <w:pPr>
      <w:spacing w:after="120"/>
      <w:outlineLvl w:val="4"/>
    </w:pPr>
    <w:rPr>
      <w:b/>
      <w:bCs/>
      <w:iCs/>
    </w:rPr>
  </w:style>
  <w:style w:type="paragraph" w:styleId="Heading6">
    <w:name w:val="heading 6"/>
    <w:basedOn w:val="HeadingBase"/>
    <w:next w:val="Normal"/>
    <w:link w:val="Heading6Char"/>
    <w:qFormat/>
    <w:rsid w:val="001F342D"/>
    <w:pPr>
      <w:spacing w:after="120"/>
      <w:outlineLvl w:val="5"/>
    </w:pPr>
    <w:rPr>
      <w:bCs/>
      <w:szCs w:val="22"/>
    </w:rPr>
  </w:style>
  <w:style w:type="paragraph" w:styleId="Heading7">
    <w:name w:val="heading 7"/>
    <w:basedOn w:val="HeadingBase"/>
    <w:next w:val="Normal"/>
    <w:link w:val="Heading7Char"/>
    <w:qFormat/>
    <w:rsid w:val="001F342D"/>
    <w:pPr>
      <w:spacing w:after="120"/>
      <w:outlineLvl w:val="6"/>
    </w:pPr>
    <w:rPr>
      <w:szCs w:val="24"/>
    </w:rPr>
  </w:style>
  <w:style w:type="paragraph" w:styleId="Heading8">
    <w:name w:val="heading 8"/>
    <w:basedOn w:val="HeadingBase"/>
    <w:next w:val="Normal"/>
    <w:link w:val="Heading8Char"/>
    <w:qFormat/>
    <w:rsid w:val="001F342D"/>
    <w:pPr>
      <w:spacing w:after="120"/>
      <w:outlineLvl w:val="7"/>
    </w:pPr>
    <w:rPr>
      <w:iCs/>
      <w:szCs w:val="24"/>
    </w:rPr>
  </w:style>
  <w:style w:type="paragraph" w:styleId="Heading9">
    <w:name w:val="heading 9"/>
    <w:basedOn w:val="HeadingBase"/>
    <w:next w:val="Normal"/>
    <w:link w:val="Heading9Char"/>
    <w:qFormat/>
    <w:rsid w:val="001F342D"/>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Main">
    <w:name w:val="Cover Title Main"/>
    <w:basedOn w:val="HeadingBase"/>
    <w:next w:val="Normal"/>
    <w:rsid w:val="00E37CCB"/>
    <w:pPr>
      <w:keepNext w:val="0"/>
      <w:pBdr>
        <w:bottom w:val="single" w:sz="8" w:space="14" w:color="1F497D" w:themeColor="text2"/>
      </w:pBdr>
      <w:spacing w:after="720"/>
      <w:jc w:val="right"/>
    </w:pPr>
    <w:rPr>
      <w:rFonts w:ascii="Calibri" w:hAnsi="Calibri"/>
      <w:b/>
      <w:color w:val="1F497D" w:themeColor="text2"/>
      <w:sz w:val="48"/>
    </w:rPr>
  </w:style>
  <w:style w:type="paragraph" w:customStyle="1" w:styleId="FooterEven">
    <w:name w:val="Footer Even"/>
    <w:basedOn w:val="FooterOdd"/>
    <w:rsid w:val="00824115"/>
    <w:pPr>
      <w:jc w:val="left"/>
    </w:pPr>
  </w:style>
  <w:style w:type="paragraph" w:customStyle="1" w:styleId="FooterOdd">
    <w:name w:val="Footer Odd"/>
    <w:basedOn w:val="Footer"/>
    <w:rsid w:val="00824115"/>
    <w:pPr>
      <w:jc w:val="right"/>
    </w:pPr>
    <w:rPr>
      <w:rFonts w:ascii="Arial" w:hAnsi="Arial"/>
      <w:color w:val="1F497D" w:themeColor="text2"/>
      <w:sz w:val="18"/>
    </w:rPr>
  </w:style>
  <w:style w:type="paragraph" w:styleId="Header">
    <w:name w:val="header"/>
    <w:basedOn w:val="HeadingBase"/>
    <w:link w:val="HeaderChar"/>
    <w:rsid w:val="001F342D"/>
    <w:rPr>
      <w:rFonts w:asciiTheme="minorHAnsi" w:hAnsiTheme="minorHAnsi"/>
      <w:sz w:val="22"/>
    </w:rPr>
  </w:style>
  <w:style w:type="character" w:customStyle="1" w:styleId="HeaderChar">
    <w:name w:val="Header Char"/>
    <w:basedOn w:val="DefaultParagraphFont"/>
    <w:link w:val="Header"/>
    <w:rsid w:val="001F342D"/>
    <w:rPr>
      <w:rFonts w:eastAsia="Times New Roman" w:cs="Times New Roman"/>
      <w:color w:val="4F81BD" w:themeColor="accent1"/>
      <w:szCs w:val="20"/>
      <w:lang w:eastAsia="en-AU"/>
    </w:rPr>
  </w:style>
  <w:style w:type="paragraph" w:customStyle="1" w:styleId="HeaderOdd">
    <w:name w:val="Header Odd"/>
    <w:basedOn w:val="Header"/>
    <w:rsid w:val="009879BD"/>
    <w:pPr>
      <w:jc w:val="right"/>
    </w:pPr>
    <w:rPr>
      <w:rFonts w:ascii="Arial" w:hAnsi="Arial"/>
      <w:color w:val="1F497D" w:themeColor="text2"/>
      <w:sz w:val="18"/>
    </w:rPr>
  </w:style>
  <w:style w:type="paragraph" w:styleId="Footer">
    <w:name w:val="footer"/>
    <w:basedOn w:val="HeadingBase"/>
    <w:link w:val="FooterChar"/>
    <w:rsid w:val="001F342D"/>
    <w:rPr>
      <w:rFonts w:asciiTheme="minorHAnsi" w:hAnsiTheme="minorHAnsi"/>
      <w:sz w:val="22"/>
    </w:rPr>
  </w:style>
  <w:style w:type="character" w:customStyle="1" w:styleId="FooterChar">
    <w:name w:val="Footer Char"/>
    <w:basedOn w:val="DefaultParagraphFont"/>
    <w:link w:val="Footer"/>
    <w:rsid w:val="001F342D"/>
    <w:rPr>
      <w:rFonts w:eastAsia="Times New Roman" w:cs="Times New Roman"/>
      <w:color w:val="4F81BD" w:themeColor="accent1"/>
      <w:szCs w:val="20"/>
      <w:lang w:eastAsia="en-AU"/>
    </w:rPr>
  </w:style>
  <w:style w:type="character" w:styleId="Hyperlink">
    <w:name w:val="Hyperlink"/>
    <w:basedOn w:val="DefaultParagraphFont"/>
    <w:uiPriority w:val="99"/>
    <w:rsid w:val="005E5CBF"/>
    <w:rPr>
      <w:b/>
      <w:color w:val="1F497D" w:themeColor="text2"/>
      <w:u w:val="none"/>
    </w:rPr>
  </w:style>
  <w:style w:type="paragraph" w:customStyle="1" w:styleId="ChartGraphic">
    <w:name w:val="Chart Graphic"/>
    <w:basedOn w:val="HeadingBase"/>
    <w:next w:val="Normal"/>
    <w:rsid w:val="001F342D"/>
    <w:pPr>
      <w:jc w:val="center"/>
    </w:pPr>
  </w:style>
  <w:style w:type="paragraph" w:customStyle="1" w:styleId="SinglePara">
    <w:name w:val="Single Para"/>
    <w:basedOn w:val="Normal"/>
    <w:rsid w:val="00BC5F58"/>
    <w:pPr>
      <w:spacing w:after="0" w:line="240" w:lineRule="auto"/>
    </w:pPr>
    <w:rPr>
      <w:rFonts w:ascii="Times New Roman" w:hAnsi="Times New Roman"/>
      <w:sz w:val="24"/>
    </w:rPr>
  </w:style>
  <w:style w:type="paragraph" w:styleId="BalloonText">
    <w:name w:val="Balloon Text"/>
    <w:basedOn w:val="Normal"/>
    <w:link w:val="BalloonTextChar"/>
    <w:semiHidden/>
    <w:rsid w:val="001F342D"/>
    <w:rPr>
      <w:rFonts w:ascii="Tahoma" w:hAnsi="Tahoma" w:cs="Tahoma"/>
      <w:sz w:val="16"/>
      <w:szCs w:val="16"/>
    </w:rPr>
  </w:style>
  <w:style w:type="character" w:customStyle="1" w:styleId="BalloonTextChar">
    <w:name w:val="Balloon Text Char"/>
    <w:basedOn w:val="DefaultParagraphFont"/>
    <w:link w:val="BalloonText"/>
    <w:semiHidden/>
    <w:rsid w:val="001F342D"/>
    <w:rPr>
      <w:rFonts w:ascii="Tahoma" w:eastAsia="Times New Roman" w:hAnsi="Tahoma" w:cs="Tahoma"/>
      <w:sz w:val="16"/>
      <w:szCs w:val="16"/>
      <w:lang w:eastAsia="en-AU"/>
    </w:rPr>
  </w:style>
  <w:style w:type="character" w:customStyle="1" w:styleId="Heading2Char">
    <w:name w:val="Heading 2 Char"/>
    <w:basedOn w:val="DefaultParagraphFont"/>
    <w:link w:val="Heading2"/>
    <w:rsid w:val="00775B9B"/>
    <w:rPr>
      <w:rFonts w:ascii="Calibri" w:eastAsia="Times New Roman" w:hAnsi="Calibri" w:cs="Arial"/>
      <w:b/>
      <w:bCs/>
      <w:iCs/>
      <w:smallCaps/>
      <w:color w:val="1F497D" w:themeColor="text2"/>
      <w:sz w:val="38"/>
      <w:szCs w:val="28"/>
      <w:lang w:eastAsia="en-AU"/>
    </w:rPr>
  </w:style>
  <w:style w:type="paragraph" w:customStyle="1" w:styleId="OutlineNumbered1">
    <w:name w:val="Outline Numbered 1"/>
    <w:basedOn w:val="Normal"/>
    <w:link w:val="OutlineNumbered1Char"/>
    <w:rsid w:val="00067902"/>
    <w:pPr>
      <w:numPr>
        <w:numId w:val="9"/>
      </w:numPr>
      <w:tabs>
        <w:tab w:val="clear" w:pos="851"/>
        <w:tab w:val="num" w:pos="425"/>
      </w:tabs>
      <w:ind w:left="425" w:hanging="425"/>
    </w:pPr>
  </w:style>
  <w:style w:type="character" w:customStyle="1" w:styleId="OutlineNumbered1Char">
    <w:name w:val="Outline Numbered 1 Char"/>
    <w:basedOn w:val="DefaultParagraphFont"/>
    <w:link w:val="OutlineNumbered1"/>
    <w:locked/>
    <w:rsid w:val="00067902"/>
    <w:rPr>
      <w:rFonts w:ascii="Calibri" w:eastAsia="Times New Roman" w:hAnsi="Calibri" w:cs="Times New Roman"/>
      <w:szCs w:val="20"/>
      <w:lang w:eastAsia="en-AU"/>
    </w:rPr>
  </w:style>
  <w:style w:type="paragraph" w:customStyle="1" w:styleId="OutlineNumbered2">
    <w:name w:val="Outline Numbered 2"/>
    <w:basedOn w:val="Normal"/>
    <w:rsid w:val="001F342D"/>
    <w:pPr>
      <w:numPr>
        <w:ilvl w:val="1"/>
        <w:numId w:val="9"/>
      </w:numPr>
    </w:pPr>
  </w:style>
  <w:style w:type="paragraph" w:customStyle="1" w:styleId="OutlineNumbered3">
    <w:name w:val="Outline Numbered 3"/>
    <w:basedOn w:val="Normal"/>
    <w:rsid w:val="001F342D"/>
    <w:pPr>
      <w:numPr>
        <w:ilvl w:val="2"/>
        <w:numId w:val="9"/>
      </w:numPr>
    </w:pPr>
  </w:style>
  <w:style w:type="paragraph" w:customStyle="1" w:styleId="Bullet">
    <w:name w:val="Bullet"/>
    <w:aliases w:val="b,b1,b + line,Body,level 1,Bullet + line"/>
    <w:basedOn w:val="Normal"/>
    <w:link w:val="BulletChar"/>
    <w:rsid w:val="00367696"/>
    <w:pPr>
      <w:numPr>
        <w:numId w:val="1"/>
      </w:numPr>
    </w:pPr>
  </w:style>
  <w:style w:type="character" w:customStyle="1" w:styleId="BulletChar">
    <w:name w:val="Bullet Char"/>
    <w:aliases w:val="b Char,b + line Char Char,b Char Char"/>
    <w:basedOn w:val="DefaultParagraphFont"/>
    <w:link w:val="Bullet"/>
    <w:locked/>
    <w:rsid w:val="00367696"/>
    <w:rPr>
      <w:rFonts w:ascii="Calibri" w:eastAsia="Times New Roman" w:hAnsi="Calibri" w:cs="Times New Roman"/>
      <w:szCs w:val="20"/>
      <w:lang w:eastAsia="en-AU"/>
    </w:rPr>
  </w:style>
  <w:style w:type="paragraph" w:customStyle="1" w:styleId="Dash">
    <w:name w:val="Dash"/>
    <w:basedOn w:val="Normal"/>
    <w:link w:val="DashChar"/>
    <w:rsid w:val="001F342D"/>
    <w:pPr>
      <w:numPr>
        <w:ilvl w:val="1"/>
        <w:numId w:val="1"/>
      </w:numPr>
    </w:pPr>
  </w:style>
  <w:style w:type="paragraph" w:customStyle="1" w:styleId="DoubleDot">
    <w:name w:val="Double Dot"/>
    <w:basedOn w:val="Normal"/>
    <w:rsid w:val="001F342D"/>
    <w:pPr>
      <w:numPr>
        <w:ilvl w:val="2"/>
        <w:numId w:val="1"/>
      </w:numPr>
    </w:pPr>
  </w:style>
  <w:style w:type="character" w:customStyle="1" w:styleId="Heading1Char">
    <w:name w:val="Heading 1 Char"/>
    <w:basedOn w:val="DefaultParagraphFont"/>
    <w:link w:val="Heading1"/>
    <w:rsid w:val="00775B9B"/>
    <w:rPr>
      <w:rFonts w:ascii="Calibri" w:eastAsia="Times New Roman" w:hAnsi="Calibri" w:cs="Arial"/>
      <w:b/>
      <w:bCs/>
      <w:caps/>
      <w:color w:val="1F497D" w:themeColor="text2"/>
      <w:kern w:val="32"/>
      <w:sz w:val="44"/>
      <w:szCs w:val="36"/>
      <w:lang w:eastAsia="en-AU"/>
    </w:rPr>
  </w:style>
  <w:style w:type="paragraph" w:styleId="FootnoteText">
    <w:name w:val="footnote text"/>
    <w:basedOn w:val="Normal"/>
    <w:link w:val="FootnoteTextChar"/>
    <w:rsid w:val="001F342D"/>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1F342D"/>
    <w:rPr>
      <w:rFonts w:eastAsia="Times New Roman" w:cs="Times New Roman"/>
      <w:sz w:val="18"/>
      <w:szCs w:val="20"/>
      <w:lang w:eastAsia="en-AU"/>
    </w:rPr>
  </w:style>
  <w:style w:type="character" w:styleId="FootnoteReference">
    <w:name w:val="footnote reference"/>
    <w:basedOn w:val="DefaultParagraphFont"/>
    <w:rsid w:val="001F342D"/>
    <w:rPr>
      <w:vertAlign w:val="superscript"/>
    </w:rPr>
  </w:style>
  <w:style w:type="paragraph" w:customStyle="1" w:styleId="Heading1noTOC">
    <w:name w:val="Heading 1 no TOC"/>
    <w:basedOn w:val="Heading1"/>
    <w:next w:val="Normal"/>
    <w:rsid w:val="00F6105D"/>
    <w:pPr>
      <w:outlineLvl w:val="9"/>
    </w:pPr>
    <w:rPr>
      <w:color w:val="003E74"/>
      <w:szCs w:val="48"/>
    </w:rPr>
  </w:style>
  <w:style w:type="paragraph" w:styleId="ListParagraph">
    <w:name w:val="List Paragraph"/>
    <w:basedOn w:val="Normal"/>
    <w:uiPriority w:val="34"/>
    <w:qFormat/>
    <w:rsid w:val="00FD2B20"/>
    <w:pPr>
      <w:ind w:left="720"/>
      <w:contextualSpacing/>
    </w:pPr>
  </w:style>
  <w:style w:type="character" w:customStyle="1" w:styleId="DashChar">
    <w:name w:val="Dash Char"/>
    <w:basedOn w:val="DefaultParagraphFont"/>
    <w:link w:val="Dash"/>
    <w:locked/>
    <w:rsid w:val="00FD2B20"/>
    <w:rPr>
      <w:rFonts w:ascii="Calibri" w:eastAsia="Times New Roman" w:hAnsi="Calibri" w:cs="Times New Roman"/>
      <w:szCs w:val="20"/>
      <w:lang w:eastAsia="en-AU"/>
    </w:rPr>
  </w:style>
  <w:style w:type="character" w:styleId="CommentReference">
    <w:name w:val="annotation reference"/>
    <w:basedOn w:val="DefaultParagraphFont"/>
    <w:semiHidden/>
    <w:rsid w:val="001F342D"/>
    <w:rPr>
      <w:sz w:val="16"/>
      <w:szCs w:val="16"/>
    </w:rPr>
  </w:style>
  <w:style w:type="paragraph" w:styleId="CommentText">
    <w:name w:val="annotation text"/>
    <w:basedOn w:val="Normal"/>
    <w:link w:val="CommentTextChar"/>
    <w:semiHidden/>
    <w:rsid w:val="001F342D"/>
  </w:style>
  <w:style w:type="character" w:customStyle="1" w:styleId="CommentTextChar">
    <w:name w:val="Comment Text Char"/>
    <w:basedOn w:val="DefaultParagraphFont"/>
    <w:link w:val="CommentText"/>
    <w:semiHidden/>
    <w:rsid w:val="001F342D"/>
    <w:rPr>
      <w:rFonts w:eastAsia="Times New Roman" w:cs="Times New Roman"/>
      <w:szCs w:val="20"/>
      <w:lang w:eastAsia="en-AU"/>
    </w:rPr>
  </w:style>
  <w:style w:type="paragraph" w:styleId="CommentSubject">
    <w:name w:val="annotation subject"/>
    <w:basedOn w:val="CommentText"/>
    <w:next w:val="CommentText"/>
    <w:link w:val="CommentSubjectChar"/>
    <w:semiHidden/>
    <w:rsid w:val="001F342D"/>
    <w:rPr>
      <w:b/>
      <w:bCs/>
    </w:rPr>
  </w:style>
  <w:style w:type="character" w:customStyle="1" w:styleId="CommentSubjectChar">
    <w:name w:val="Comment Subject Char"/>
    <w:basedOn w:val="CommentTextChar"/>
    <w:link w:val="CommentSubject"/>
    <w:semiHidden/>
    <w:rsid w:val="001F342D"/>
    <w:rPr>
      <w:rFonts w:eastAsia="Times New Roman" w:cs="Times New Roman"/>
      <w:b/>
      <w:bCs/>
      <w:szCs w:val="20"/>
      <w:lang w:eastAsia="en-AU"/>
    </w:rPr>
  </w:style>
  <w:style w:type="character" w:styleId="Emphasis">
    <w:name w:val="Emphasis"/>
    <w:basedOn w:val="DefaultParagraphFont"/>
    <w:uiPriority w:val="20"/>
    <w:qFormat/>
    <w:rsid w:val="0012006F"/>
    <w:rPr>
      <w:i/>
      <w:iCs/>
    </w:rPr>
  </w:style>
  <w:style w:type="table" w:styleId="TableGrid">
    <w:name w:val="Table Grid"/>
    <w:basedOn w:val="TableNormal"/>
    <w:rsid w:val="001F342D"/>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Default">
    <w:name w:val="Default"/>
    <w:rsid w:val="00E7311F"/>
    <w:pPr>
      <w:autoSpaceDE w:val="0"/>
      <w:autoSpaceDN w:val="0"/>
      <w:adjustRightInd w:val="0"/>
      <w:spacing w:after="0" w:line="240" w:lineRule="auto"/>
    </w:pPr>
    <w:rPr>
      <w:rFonts w:ascii="Book Antiqua" w:hAnsi="Book Antiqua" w:cs="Book Antiqua"/>
      <w:color w:val="000000"/>
      <w:sz w:val="24"/>
      <w:szCs w:val="24"/>
    </w:rPr>
  </w:style>
  <w:style w:type="paragraph" w:styleId="EndnoteText">
    <w:name w:val="endnote text"/>
    <w:basedOn w:val="Normal"/>
    <w:link w:val="EndnoteTextChar"/>
    <w:semiHidden/>
    <w:rsid w:val="001F342D"/>
  </w:style>
  <w:style w:type="character" w:customStyle="1" w:styleId="EndnoteTextChar">
    <w:name w:val="Endnote Text Char"/>
    <w:basedOn w:val="DefaultParagraphFont"/>
    <w:link w:val="EndnoteText"/>
    <w:semiHidden/>
    <w:rsid w:val="001F342D"/>
    <w:rPr>
      <w:rFonts w:eastAsia="Times New Roman" w:cs="Times New Roman"/>
      <w:szCs w:val="20"/>
      <w:lang w:eastAsia="en-AU"/>
    </w:rPr>
  </w:style>
  <w:style w:type="character" w:styleId="EndnoteReference">
    <w:name w:val="endnote reference"/>
    <w:basedOn w:val="DefaultParagraphFont"/>
    <w:semiHidden/>
    <w:rsid w:val="001F342D"/>
    <w:rPr>
      <w:vertAlign w:val="superscript"/>
    </w:rPr>
  </w:style>
  <w:style w:type="paragraph" w:customStyle="1" w:styleId="p1">
    <w:name w:val="p1"/>
    <w:basedOn w:val="Normal"/>
    <w:rsid w:val="001F0034"/>
    <w:pPr>
      <w:spacing w:after="0" w:line="240" w:lineRule="auto"/>
    </w:pPr>
    <w:rPr>
      <w:rFonts w:ascii=".SF UI Text" w:eastAsiaTheme="minorHAnsi" w:hAnsi=".SF UI Text"/>
      <w:color w:val="454545"/>
      <w:sz w:val="26"/>
      <w:szCs w:val="26"/>
    </w:rPr>
  </w:style>
  <w:style w:type="paragraph" w:customStyle="1" w:styleId="p2">
    <w:name w:val="p2"/>
    <w:basedOn w:val="Normal"/>
    <w:rsid w:val="001F0034"/>
    <w:pPr>
      <w:spacing w:after="0" w:line="240" w:lineRule="auto"/>
    </w:pPr>
    <w:rPr>
      <w:rFonts w:ascii=".SF UI Text" w:eastAsiaTheme="minorHAnsi" w:hAnsi=".SF UI Text"/>
      <w:color w:val="454545"/>
      <w:sz w:val="26"/>
      <w:szCs w:val="26"/>
    </w:rPr>
  </w:style>
  <w:style w:type="character" w:customStyle="1" w:styleId="s1">
    <w:name w:val="s1"/>
    <w:basedOn w:val="DefaultParagraphFont"/>
    <w:rsid w:val="001F0034"/>
    <w:rPr>
      <w:rFonts w:ascii=".SFUIText" w:hAnsi=".SFUIText" w:hint="default"/>
      <w:b w:val="0"/>
      <w:bCs w:val="0"/>
      <w:i w:val="0"/>
      <w:iCs w:val="0"/>
      <w:sz w:val="34"/>
      <w:szCs w:val="34"/>
    </w:rPr>
  </w:style>
  <w:style w:type="paragraph" w:styleId="BodyText">
    <w:name w:val="Body Text"/>
    <w:link w:val="BodyTextChar"/>
    <w:qFormat/>
    <w:rsid w:val="00E738B0"/>
    <w:pPr>
      <w:spacing w:after="120"/>
      <w:jc w:val="both"/>
    </w:pPr>
    <w:rPr>
      <w:rFonts w:ascii="Calibri" w:eastAsiaTheme="minorEastAsia" w:hAnsi="Calibri"/>
      <w:sz w:val="21"/>
      <w:lang w:val="en-GB" w:eastAsia="en-GB"/>
    </w:rPr>
  </w:style>
  <w:style w:type="character" w:customStyle="1" w:styleId="BodyTextChar">
    <w:name w:val="Body Text Char"/>
    <w:basedOn w:val="DefaultParagraphFont"/>
    <w:link w:val="BodyText"/>
    <w:rsid w:val="00E738B0"/>
    <w:rPr>
      <w:rFonts w:ascii="Calibri" w:eastAsiaTheme="minorEastAsia" w:hAnsi="Calibri"/>
      <w:sz w:val="21"/>
      <w:lang w:val="en-GB" w:eastAsia="en-GB"/>
    </w:rPr>
  </w:style>
  <w:style w:type="paragraph" w:styleId="Revision">
    <w:name w:val="Revision"/>
    <w:hidden/>
    <w:uiPriority w:val="99"/>
    <w:semiHidden/>
    <w:rsid w:val="00AC1884"/>
    <w:pPr>
      <w:spacing w:after="0" w:line="240" w:lineRule="auto"/>
    </w:pPr>
    <w:rPr>
      <w:rFonts w:ascii="Book Antiqua" w:eastAsia="Times New Roman" w:hAnsi="Book Antiqua" w:cs="Times New Roman"/>
      <w:color w:val="000000"/>
      <w:sz w:val="20"/>
      <w:szCs w:val="20"/>
      <w:lang w:eastAsia="en-AU"/>
    </w:rPr>
  </w:style>
  <w:style w:type="character" w:customStyle="1" w:styleId="Heading8Char">
    <w:name w:val="Heading 8 Char"/>
    <w:basedOn w:val="DefaultParagraphFont"/>
    <w:link w:val="Heading8"/>
    <w:rsid w:val="001F342D"/>
    <w:rPr>
      <w:rFonts w:asciiTheme="majorHAnsi" w:eastAsia="Times New Roman" w:hAnsiTheme="majorHAnsi" w:cs="Times New Roman"/>
      <w:iCs/>
      <w:color w:val="4F81BD" w:themeColor="accent1"/>
      <w:sz w:val="20"/>
      <w:szCs w:val="24"/>
      <w:lang w:eastAsia="en-AU"/>
    </w:rPr>
  </w:style>
  <w:style w:type="character" w:customStyle="1" w:styleId="Heading3Char">
    <w:name w:val="Heading 3 Char"/>
    <w:basedOn w:val="DefaultParagraphFont"/>
    <w:link w:val="Heading3"/>
    <w:rsid w:val="009747B9"/>
    <w:rPr>
      <w:rFonts w:ascii="Calibri" w:eastAsia="Times New Roman" w:hAnsi="Calibri" w:cs="Arial"/>
      <w:b/>
      <w:bCs/>
      <w:color w:val="1F497D" w:themeColor="text2"/>
      <w:sz w:val="29"/>
      <w:szCs w:val="29"/>
      <w:lang w:eastAsia="en-AU"/>
    </w:rPr>
  </w:style>
  <w:style w:type="paragraph" w:styleId="NormalWeb">
    <w:name w:val="Normal (Web)"/>
    <w:basedOn w:val="Normal"/>
    <w:rsid w:val="001F342D"/>
    <w:pPr>
      <w:spacing w:line="312" w:lineRule="atLeast"/>
    </w:pPr>
    <w:rPr>
      <w:sz w:val="24"/>
      <w:szCs w:val="24"/>
    </w:rPr>
  </w:style>
  <w:style w:type="paragraph" w:styleId="TOCHeading">
    <w:name w:val="TOC Heading"/>
    <w:basedOn w:val="Heading1"/>
    <w:next w:val="Normal"/>
    <w:uiPriority w:val="39"/>
    <w:unhideWhenUsed/>
    <w:qFormat/>
    <w:rsid w:val="00C374CD"/>
    <w:pPr>
      <w:spacing w:line="276" w:lineRule="auto"/>
      <w:outlineLvl w:val="9"/>
    </w:pPr>
    <w:rPr>
      <w:lang w:val="en-US" w:eastAsia="ja-JP"/>
    </w:rPr>
  </w:style>
  <w:style w:type="paragraph" w:styleId="TOC2">
    <w:name w:val="toc 2"/>
    <w:basedOn w:val="HeadingBase"/>
    <w:next w:val="Normal"/>
    <w:uiPriority w:val="39"/>
    <w:rsid w:val="00695BF3"/>
    <w:pPr>
      <w:tabs>
        <w:tab w:val="right" w:leader="dot" w:pos="9072"/>
      </w:tabs>
      <w:spacing w:before="80" w:after="60"/>
      <w:ind w:left="882" w:right="804" w:hanging="655"/>
    </w:pPr>
    <w:rPr>
      <w:rFonts w:ascii="Calibri" w:hAnsi="Calibri"/>
      <w:noProof/>
      <w:color w:val="auto"/>
      <w:sz w:val="22"/>
      <w:szCs w:val="21"/>
    </w:rPr>
  </w:style>
  <w:style w:type="paragraph" w:styleId="TOC1">
    <w:name w:val="toc 1"/>
    <w:basedOn w:val="HeadingBase"/>
    <w:next w:val="Normal"/>
    <w:uiPriority w:val="39"/>
    <w:rsid w:val="00775B9B"/>
    <w:pPr>
      <w:tabs>
        <w:tab w:val="right" w:leader="dot" w:pos="9072"/>
      </w:tabs>
      <w:spacing w:before="180"/>
      <w:ind w:right="851"/>
    </w:pPr>
    <w:rPr>
      <w:rFonts w:ascii="Calibri" w:hAnsi="Calibri"/>
      <w:b/>
      <w:caps/>
      <w:color w:val="1F497D" w:themeColor="text2"/>
      <w:sz w:val="24"/>
      <w:szCs w:val="22"/>
    </w:rPr>
  </w:style>
  <w:style w:type="paragraph" w:styleId="TOC3">
    <w:name w:val="toc 3"/>
    <w:basedOn w:val="Normal"/>
    <w:next w:val="Normal"/>
    <w:rsid w:val="001F342D"/>
    <w:pPr>
      <w:tabs>
        <w:tab w:val="right" w:leader="dot" w:pos="9072"/>
      </w:tabs>
      <w:spacing w:before="20" w:after="0" w:line="240" w:lineRule="auto"/>
      <w:ind w:left="284" w:right="851"/>
    </w:pPr>
  </w:style>
  <w:style w:type="character" w:customStyle="1" w:styleId="Heading4Char">
    <w:name w:val="Heading 4 Char"/>
    <w:basedOn w:val="DefaultParagraphFont"/>
    <w:link w:val="Heading4"/>
    <w:rsid w:val="001F342D"/>
    <w:rPr>
      <w:rFonts w:asciiTheme="majorHAnsi" w:eastAsia="Times New Roman" w:hAnsiTheme="majorHAnsi" w:cs="Times New Roman"/>
      <w:b/>
      <w:bCs/>
      <w:i/>
      <w:color w:val="4F81BD" w:themeColor="accent1"/>
      <w:lang w:eastAsia="en-AU"/>
    </w:rPr>
  </w:style>
  <w:style w:type="character" w:customStyle="1" w:styleId="Heading5Char">
    <w:name w:val="Heading 5 Char"/>
    <w:basedOn w:val="DefaultParagraphFont"/>
    <w:link w:val="Heading5"/>
    <w:rsid w:val="001F342D"/>
    <w:rPr>
      <w:rFonts w:asciiTheme="majorHAnsi" w:eastAsia="Times New Roman" w:hAnsiTheme="majorHAnsi" w:cs="Times New Roman"/>
      <w:b/>
      <w:bCs/>
      <w:iCs/>
      <w:color w:val="4F81BD" w:themeColor="accent1"/>
      <w:sz w:val="20"/>
      <w:szCs w:val="20"/>
      <w:lang w:eastAsia="en-AU"/>
    </w:rPr>
  </w:style>
  <w:style w:type="character" w:customStyle="1" w:styleId="Heading6Char">
    <w:name w:val="Heading 6 Char"/>
    <w:basedOn w:val="DefaultParagraphFont"/>
    <w:link w:val="Heading6"/>
    <w:rsid w:val="001F342D"/>
    <w:rPr>
      <w:rFonts w:asciiTheme="majorHAnsi" w:eastAsia="Times New Roman" w:hAnsiTheme="majorHAnsi" w:cs="Times New Roman"/>
      <w:bCs/>
      <w:color w:val="4F81BD" w:themeColor="accent1"/>
      <w:sz w:val="20"/>
      <w:lang w:eastAsia="en-AU"/>
    </w:rPr>
  </w:style>
  <w:style w:type="character" w:customStyle="1" w:styleId="Heading7Char">
    <w:name w:val="Heading 7 Char"/>
    <w:basedOn w:val="DefaultParagraphFont"/>
    <w:link w:val="Heading7"/>
    <w:rsid w:val="001F342D"/>
    <w:rPr>
      <w:rFonts w:asciiTheme="majorHAnsi" w:eastAsia="Times New Roman" w:hAnsiTheme="majorHAnsi" w:cs="Times New Roman"/>
      <w:color w:val="4F81BD" w:themeColor="accent1"/>
      <w:sz w:val="20"/>
      <w:szCs w:val="24"/>
      <w:lang w:eastAsia="en-AU"/>
    </w:rPr>
  </w:style>
  <w:style w:type="character" w:customStyle="1" w:styleId="Heading9Char">
    <w:name w:val="Heading 9 Char"/>
    <w:basedOn w:val="DefaultParagraphFont"/>
    <w:link w:val="Heading9"/>
    <w:rsid w:val="001F342D"/>
    <w:rPr>
      <w:rFonts w:asciiTheme="majorHAnsi" w:eastAsia="Times New Roman" w:hAnsiTheme="majorHAnsi" w:cs="Arial"/>
      <w:color w:val="4F81BD" w:themeColor="accent1"/>
      <w:sz w:val="20"/>
      <w:lang w:eastAsia="en-AU"/>
    </w:rPr>
  </w:style>
  <w:style w:type="paragraph" w:customStyle="1" w:styleId="HeadingBase">
    <w:name w:val="Heading Base"/>
    <w:next w:val="Normal"/>
    <w:rsid w:val="001F342D"/>
    <w:pPr>
      <w:keepNext/>
      <w:spacing w:after="0" w:line="240" w:lineRule="auto"/>
    </w:pPr>
    <w:rPr>
      <w:rFonts w:asciiTheme="majorHAnsi" w:eastAsia="Times New Roman" w:hAnsiTheme="majorHAnsi" w:cs="Times New Roman"/>
      <w:color w:val="4F81BD" w:themeColor="accent1"/>
      <w:sz w:val="20"/>
      <w:szCs w:val="20"/>
      <w:lang w:eastAsia="en-AU"/>
    </w:rPr>
  </w:style>
  <w:style w:type="paragraph" w:customStyle="1" w:styleId="TableGraphic">
    <w:name w:val="Table Graphic"/>
    <w:basedOn w:val="HeadingBase"/>
    <w:next w:val="Normal"/>
    <w:rsid w:val="001F342D"/>
  </w:style>
  <w:style w:type="paragraph" w:customStyle="1" w:styleId="AlphaParagraph">
    <w:name w:val="Alpha Paragraph"/>
    <w:basedOn w:val="Normal"/>
    <w:qFormat/>
    <w:rsid w:val="001F342D"/>
    <w:pPr>
      <w:numPr>
        <w:numId w:val="3"/>
      </w:numPr>
    </w:pPr>
  </w:style>
  <w:style w:type="paragraph" w:customStyle="1" w:styleId="AppendixHeading">
    <w:name w:val="Appendix Heading"/>
    <w:basedOn w:val="HeadingBase"/>
    <w:next w:val="Normal"/>
    <w:rsid w:val="001F342D"/>
    <w:pPr>
      <w:spacing w:before="720" w:after="360"/>
      <w:outlineLvl w:val="0"/>
    </w:pPr>
    <w:rPr>
      <w:sz w:val="36"/>
      <w:szCs w:val="36"/>
    </w:rPr>
  </w:style>
  <w:style w:type="character" w:customStyle="1" w:styleId="Bold">
    <w:name w:val="Bold"/>
    <w:basedOn w:val="DefaultParagraphFont"/>
    <w:rsid w:val="001F342D"/>
    <w:rPr>
      <w:b/>
    </w:rPr>
  </w:style>
  <w:style w:type="paragraph" w:customStyle="1" w:styleId="BoxTextBase">
    <w:name w:val="Box Text Base"/>
    <w:basedOn w:val="Normal"/>
    <w:rsid w:val="001F342D"/>
  </w:style>
  <w:style w:type="paragraph" w:customStyle="1" w:styleId="BoxBullet">
    <w:name w:val="Box Bullet"/>
    <w:basedOn w:val="BoxTextBase"/>
    <w:rsid w:val="001F342D"/>
    <w:pPr>
      <w:numPr>
        <w:numId w:val="2"/>
      </w:numPr>
    </w:pPr>
  </w:style>
  <w:style w:type="paragraph" w:customStyle="1" w:styleId="BoxDash">
    <w:name w:val="Box Dash"/>
    <w:basedOn w:val="Normal"/>
    <w:rsid w:val="001F342D"/>
    <w:pPr>
      <w:numPr>
        <w:ilvl w:val="1"/>
        <w:numId w:val="2"/>
      </w:numPr>
    </w:pPr>
  </w:style>
  <w:style w:type="paragraph" w:customStyle="1" w:styleId="BoxDoubleDot">
    <w:name w:val="Box Double Dot"/>
    <w:basedOn w:val="BoxTextBase"/>
    <w:rsid w:val="001F342D"/>
    <w:pPr>
      <w:numPr>
        <w:ilvl w:val="2"/>
        <w:numId w:val="2"/>
      </w:numPr>
    </w:pPr>
  </w:style>
  <w:style w:type="paragraph" w:customStyle="1" w:styleId="BoxHeading">
    <w:name w:val="Box Heading"/>
    <w:basedOn w:val="HeadingBase"/>
    <w:next w:val="Normal"/>
    <w:rsid w:val="001F342D"/>
    <w:pPr>
      <w:spacing w:before="240" w:after="120"/>
    </w:pPr>
    <w:rPr>
      <w:b/>
      <w:sz w:val="22"/>
    </w:rPr>
  </w:style>
  <w:style w:type="paragraph" w:customStyle="1" w:styleId="BoxText">
    <w:name w:val="Box Text"/>
    <w:basedOn w:val="BoxTextBase"/>
    <w:rsid w:val="001F342D"/>
  </w:style>
  <w:style w:type="paragraph" w:styleId="NormalIndent">
    <w:name w:val="Normal Indent"/>
    <w:basedOn w:val="Normal"/>
    <w:rsid w:val="001F342D"/>
    <w:pPr>
      <w:ind w:left="567"/>
    </w:pPr>
  </w:style>
  <w:style w:type="paragraph" w:customStyle="1" w:styleId="ChartandTableFootnoteAlpha">
    <w:name w:val="Chart and Table Footnote Alpha"/>
    <w:rsid w:val="001F342D"/>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1F342D"/>
    <w:pPr>
      <w:spacing w:after="20"/>
      <w:jc w:val="center"/>
    </w:pPr>
    <w:rPr>
      <w:b/>
      <w:sz w:val="24"/>
    </w:rPr>
  </w:style>
  <w:style w:type="paragraph" w:customStyle="1" w:styleId="ChartorTableNote">
    <w:name w:val="Chart or Table Note"/>
    <w:next w:val="Normal"/>
    <w:rsid w:val="001F342D"/>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1F342D"/>
    <w:pPr>
      <w:spacing w:after="20"/>
      <w:jc w:val="center"/>
    </w:pPr>
  </w:style>
  <w:style w:type="paragraph" w:customStyle="1" w:styleId="Classification">
    <w:name w:val="Classification"/>
    <w:basedOn w:val="HeadingBase"/>
    <w:next w:val="Footer"/>
    <w:rsid w:val="001F342D"/>
    <w:pPr>
      <w:spacing w:after="120"/>
      <w:jc w:val="center"/>
    </w:pPr>
    <w:rPr>
      <w:b/>
      <w:smallCaps/>
    </w:rPr>
  </w:style>
  <w:style w:type="paragraph" w:customStyle="1" w:styleId="ContentsHeading">
    <w:name w:val="Contents Heading"/>
    <w:basedOn w:val="HeadingBase"/>
    <w:next w:val="Normal"/>
    <w:rsid w:val="001F342D"/>
    <w:pPr>
      <w:spacing w:after="360"/>
    </w:pPr>
    <w:rPr>
      <w:sz w:val="36"/>
      <w:szCs w:val="36"/>
    </w:rPr>
  </w:style>
  <w:style w:type="paragraph" w:customStyle="1" w:styleId="CoverTitleSub">
    <w:name w:val="Cover Title Sub"/>
    <w:basedOn w:val="CoverTitleMain"/>
    <w:rsid w:val="00775B9B"/>
    <w:pPr>
      <w:pBdr>
        <w:bottom w:val="none" w:sz="0" w:space="0" w:color="auto"/>
      </w:pBdr>
      <w:spacing w:before="240"/>
    </w:pPr>
    <w:rPr>
      <w:sz w:val="62"/>
    </w:rPr>
  </w:style>
  <w:style w:type="paragraph" w:customStyle="1" w:styleId="Covertitlelevel3">
    <w:name w:val="Cover title level 3"/>
    <w:basedOn w:val="CoverTitleSub"/>
    <w:rsid w:val="001F342D"/>
    <w:pPr>
      <w:spacing w:after="120"/>
    </w:pPr>
    <w:rPr>
      <w:sz w:val="28"/>
      <w:szCs w:val="28"/>
    </w:rPr>
  </w:style>
  <w:style w:type="paragraph" w:customStyle="1" w:styleId="Figuregraphic">
    <w:name w:val="Figure graphic"/>
    <w:basedOn w:val="Normal"/>
    <w:rsid w:val="001F342D"/>
    <w:pPr>
      <w:spacing w:line="240" w:lineRule="auto"/>
      <w:jc w:val="center"/>
    </w:pPr>
  </w:style>
  <w:style w:type="paragraph" w:customStyle="1" w:styleId="FigureHeading">
    <w:name w:val="Figure Heading"/>
    <w:basedOn w:val="HeadingBase"/>
    <w:next w:val="Figuregraphic"/>
    <w:rsid w:val="001F342D"/>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1F342D"/>
    <w:pPr>
      <w:spacing w:after="20"/>
      <w:jc w:val="center"/>
    </w:pPr>
  </w:style>
  <w:style w:type="paragraph" w:customStyle="1" w:styleId="TableMainHeading">
    <w:name w:val="Table Main Heading"/>
    <w:basedOn w:val="HeadingBase"/>
    <w:next w:val="TableGraphic"/>
    <w:rsid w:val="001F342D"/>
    <w:pPr>
      <w:spacing w:after="20"/>
    </w:pPr>
    <w:rPr>
      <w:b/>
      <w:sz w:val="22"/>
    </w:rPr>
  </w:style>
  <w:style w:type="paragraph" w:customStyle="1" w:styleId="FooterCentered">
    <w:name w:val="Footer Centered"/>
    <w:basedOn w:val="Footer"/>
    <w:rsid w:val="001F342D"/>
    <w:pPr>
      <w:jc w:val="center"/>
    </w:pPr>
  </w:style>
  <w:style w:type="character" w:customStyle="1" w:styleId="FramedFooter">
    <w:name w:val="Framed Footer"/>
    <w:rsid w:val="001F342D"/>
    <w:rPr>
      <w:rFonts w:ascii="Arial" w:hAnsi="Arial"/>
      <w:sz w:val="18"/>
    </w:rPr>
  </w:style>
  <w:style w:type="character" w:customStyle="1" w:styleId="FramedHeader">
    <w:name w:val="Framed Header"/>
    <w:basedOn w:val="DefaultParagraphFont"/>
    <w:rsid w:val="001F342D"/>
    <w:rPr>
      <w:rFonts w:ascii="Arial" w:hAnsi="Arial"/>
      <w:dstrike w:val="0"/>
      <w:color w:val="auto"/>
      <w:sz w:val="18"/>
      <w:vertAlign w:val="baseline"/>
    </w:rPr>
  </w:style>
  <w:style w:type="paragraph" w:customStyle="1" w:styleId="HeaderEven">
    <w:name w:val="Header Even"/>
    <w:basedOn w:val="Header"/>
    <w:rsid w:val="00824115"/>
    <w:rPr>
      <w:rFonts w:ascii="Arial" w:hAnsi="Arial"/>
      <w:color w:val="1F497D" w:themeColor="text2"/>
      <w:sz w:val="18"/>
    </w:rPr>
  </w:style>
  <w:style w:type="character" w:customStyle="1" w:styleId="italic">
    <w:name w:val="italic"/>
    <w:basedOn w:val="DefaultParagraphFont"/>
    <w:rsid w:val="001F342D"/>
    <w:rPr>
      <w:i/>
    </w:rPr>
  </w:style>
  <w:style w:type="paragraph" w:customStyle="1" w:styleId="NormalIndentItalics">
    <w:name w:val="Normal Indent Italics"/>
    <w:basedOn w:val="NormalIndent"/>
    <w:rsid w:val="001F342D"/>
    <w:rPr>
      <w:i/>
    </w:rPr>
  </w:style>
  <w:style w:type="paragraph" w:customStyle="1" w:styleId="OneLevelNumberedParagraph">
    <w:name w:val="One Level Numbered Paragraph"/>
    <w:basedOn w:val="Normal"/>
    <w:rsid w:val="001F342D"/>
    <w:pPr>
      <w:numPr>
        <w:numId w:val="8"/>
      </w:numPr>
    </w:pPr>
  </w:style>
  <w:style w:type="character" w:styleId="PageNumber">
    <w:name w:val="page number"/>
    <w:basedOn w:val="DefaultParagraphFont"/>
    <w:rsid w:val="001F342D"/>
    <w:rPr>
      <w:rFonts w:ascii="Arial" w:hAnsi="Arial"/>
      <w:sz w:val="18"/>
    </w:rPr>
  </w:style>
  <w:style w:type="paragraph" w:customStyle="1" w:styleId="Principle">
    <w:name w:val="Principle"/>
    <w:basedOn w:val="Normal"/>
    <w:rsid w:val="001F342D"/>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1F342D"/>
    <w:rPr>
      <w:i/>
    </w:rPr>
  </w:style>
  <w:style w:type="paragraph" w:customStyle="1" w:styleId="RecommendationBullet">
    <w:name w:val="Recommendation Bullet"/>
    <w:basedOn w:val="RecommendationTextBase"/>
    <w:rsid w:val="001F342D"/>
    <w:pPr>
      <w:numPr>
        <w:numId w:val="10"/>
      </w:numPr>
    </w:pPr>
  </w:style>
  <w:style w:type="paragraph" w:customStyle="1" w:styleId="RecommendationDash">
    <w:name w:val="Recommendation Dash"/>
    <w:basedOn w:val="RecommendationTextBase"/>
    <w:rsid w:val="001F342D"/>
    <w:pPr>
      <w:numPr>
        <w:ilvl w:val="1"/>
        <w:numId w:val="10"/>
      </w:numPr>
    </w:pPr>
  </w:style>
  <w:style w:type="paragraph" w:customStyle="1" w:styleId="RecommendationDoubleDot">
    <w:name w:val="Recommendation Double Dot"/>
    <w:basedOn w:val="RecommendationTextBase"/>
    <w:rsid w:val="001F342D"/>
    <w:pPr>
      <w:numPr>
        <w:ilvl w:val="2"/>
        <w:numId w:val="10"/>
      </w:numPr>
    </w:pPr>
  </w:style>
  <w:style w:type="paragraph" w:customStyle="1" w:styleId="RecommendationHeading">
    <w:name w:val="Recommendation Heading"/>
    <w:basedOn w:val="HeadingBase"/>
    <w:next w:val="Normal"/>
    <w:rsid w:val="001F342D"/>
    <w:pPr>
      <w:spacing w:before="120" w:after="240"/>
    </w:pPr>
    <w:rPr>
      <w:b/>
      <w:sz w:val="22"/>
    </w:rPr>
  </w:style>
  <w:style w:type="paragraph" w:customStyle="1" w:styleId="RecommendationText">
    <w:name w:val="Recommendation Text"/>
    <w:basedOn w:val="RecommendationTextBase"/>
    <w:rsid w:val="001F342D"/>
  </w:style>
  <w:style w:type="paragraph" w:customStyle="1" w:styleId="Romannumeral">
    <w:name w:val="Roman numeral"/>
    <w:basedOn w:val="Normal"/>
    <w:rsid w:val="001F342D"/>
    <w:pPr>
      <w:numPr>
        <w:numId w:val="11"/>
      </w:numPr>
    </w:pPr>
  </w:style>
  <w:style w:type="paragraph" w:customStyle="1" w:styleId="SingleParagraph">
    <w:name w:val="Single Paragraph"/>
    <w:basedOn w:val="Normal"/>
    <w:rsid w:val="001F342D"/>
    <w:pPr>
      <w:spacing w:after="0"/>
    </w:pPr>
  </w:style>
  <w:style w:type="paragraph" w:customStyle="1" w:styleId="SingleParagraphIndent">
    <w:name w:val="Single Paragraph Indent"/>
    <w:basedOn w:val="SingleParagraph"/>
    <w:rsid w:val="001F342D"/>
    <w:pPr>
      <w:ind w:left="567"/>
    </w:pPr>
  </w:style>
  <w:style w:type="paragraph" w:customStyle="1" w:styleId="TableSecondHeading">
    <w:name w:val="Table Second Heading"/>
    <w:basedOn w:val="HeadingBase"/>
    <w:next w:val="TableGraphic"/>
    <w:rsid w:val="001F342D"/>
    <w:pPr>
      <w:spacing w:after="20"/>
    </w:pPr>
  </w:style>
  <w:style w:type="paragraph" w:customStyle="1" w:styleId="TableTextBase">
    <w:name w:val="Table Text Base"/>
    <w:rsid w:val="001F342D"/>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Left"/>
    <w:rsid w:val="00EC04DD"/>
    <w:pPr>
      <w:jc w:val="center"/>
    </w:pPr>
    <w:rPr>
      <w:lang w:eastAsia="en-US"/>
    </w:rPr>
  </w:style>
  <w:style w:type="paragraph" w:customStyle="1" w:styleId="TableColumnHeadingBase">
    <w:name w:val="Table Column Heading Base"/>
    <w:basedOn w:val="Normal"/>
    <w:rsid w:val="001F342D"/>
    <w:pPr>
      <w:spacing w:before="40" w:after="40" w:line="240" w:lineRule="auto"/>
    </w:pPr>
    <w:rPr>
      <w:rFonts w:ascii="Arial" w:hAnsi="Arial"/>
      <w:b/>
      <w:sz w:val="16"/>
    </w:rPr>
  </w:style>
  <w:style w:type="paragraph" w:customStyle="1" w:styleId="TableColumnHeadingLeft">
    <w:name w:val="Table Column Heading Left"/>
    <w:basedOn w:val="TableColumnHeadingBase"/>
    <w:rsid w:val="002C432E"/>
    <w:pPr>
      <w:spacing w:before="100" w:after="100" w:line="240" w:lineRule="exact"/>
    </w:pPr>
    <w:rPr>
      <w:rFonts w:ascii="Calibri" w:hAnsi="Calibri"/>
      <w:sz w:val="20"/>
    </w:rPr>
  </w:style>
  <w:style w:type="paragraph" w:customStyle="1" w:styleId="TableColumnHeadingRight">
    <w:name w:val="Table Column Heading Right"/>
    <w:basedOn w:val="TableColumnHeadingBase"/>
    <w:rsid w:val="001F342D"/>
    <w:pPr>
      <w:jc w:val="right"/>
    </w:pPr>
  </w:style>
  <w:style w:type="paragraph" w:customStyle="1" w:styleId="TableMainHeadingContd">
    <w:name w:val="Table Main Heading Contd"/>
    <w:basedOn w:val="HeadingBase"/>
    <w:next w:val="TableGraphic"/>
    <w:rsid w:val="001F342D"/>
    <w:pPr>
      <w:pageBreakBefore/>
      <w:spacing w:after="20"/>
    </w:pPr>
    <w:rPr>
      <w:b/>
      <w:sz w:val="22"/>
    </w:rPr>
  </w:style>
  <w:style w:type="paragraph" w:customStyle="1" w:styleId="TableTextCentered">
    <w:name w:val="Table Text Centered"/>
    <w:basedOn w:val="TableTextLeft"/>
    <w:rsid w:val="00EC04DD"/>
    <w:pPr>
      <w:jc w:val="center"/>
    </w:pPr>
    <w:rPr>
      <w:lang w:eastAsia="en-US"/>
    </w:rPr>
  </w:style>
  <w:style w:type="paragraph" w:customStyle="1" w:styleId="TableTextIndented">
    <w:name w:val="Table Text Indented"/>
    <w:basedOn w:val="TableTextBase"/>
    <w:rsid w:val="001F342D"/>
    <w:pPr>
      <w:ind w:left="284"/>
    </w:pPr>
  </w:style>
  <w:style w:type="paragraph" w:customStyle="1" w:styleId="TableTextLeft">
    <w:name w:val="Table Text Left"/>
    <w:basedOn w:val="TableTextBase"/>
    <w:rsid w:val="00EC04DD"/>
    <w:pPr>
      <w:spacing w:before="80" w:after="80" w:line="240" w:lineRule="exact"/>
    </w:pPr>
    <w:rPr>
      <w:rFonts w:ascii="Calibri" w:hAnsi="Calibri"/>
      <w:sz w:val="20"/>
    </w:rPr>
  </w:style>
  <w:style w:type="paragraph" w:customStyle="1" w:styleId="TableTextRight">
    <w:name w:val="Table Text Right"/>
    <w:basedOn w:val="TableTextBase"/>
    <w:rsid w:val="001F342D"/>
    <w:pPr>
      <w:jc w:val="right"/>
    </w:pPr>
  </w:style>
  <w:style w:type="paragraph" w:styleId="TOC4">
    <w:name w:val="toc 4"/>
    <w:basedOn w:val="Normal"/>
    <w:next w:val="Normal"/>
    <w:rsid w:val="001F342D"/>
    <w:pPr>
      <w:tabs>
        <w:tab w:val="right" w:leader="dot" w:pos="9072"/>
      </w:tabs>
      <w:spacing w:after="0" w:line="240" w:lineRule="auto"/>
      <w:ind w:left="284" w:right="851"/>
    </w:pPr>
  </w:style>
  <w:style w:type="paragraph" w:styleId="BodyTextIndent2">
    <w:name w:val="Body Text Indent 2"/>
    <w:basedOn w:val="Normal"/>
    <w:link w:val="BodyTextIndent2Char"/>
    <w:rsid w:val="001F342D"/>
    <w:pPr>
      <w:spacing w:after="120" w:line="480" w:lineRule="auto"/>
      <w:ind w:left="283"/>
    </w:pPr>
  </w:style>
  <w:style w:type="character" w:customStyle="1" w:styleId="BodyTextIndent2Char">
    <w:name w:val="Body Text Indent 2 Char"/>
    <w:basedOn w:val="DefaultParagraphFont"/>
    <w:link w:val="BodyTextIndent2"/>
    <w:rsid w:val="001F342D"/>
    <w:rPr>
      <w:rFonts w:eastAsia="Times New Roman" w:cs="Times New Roman"/>
      <w:szCs w:val="20"/>
      <w:lang w:eastAsia="en-AU"/>
    </w:rPr>
  </w:style>
  <w:style w:type="character" w:customStyle="1" w:styleId="BoldandItalic">
    <w:name w:val="Bold and Italic"/>
    <w:basedOn w:val="DefaultParagraphFont"/>
    <w:rsid w:val="001F342D"/>
    <w:rPr>
      <w:rFonts w:ascii="Arial" w:hAnsi="Arial"/>
      <w:b/>
      <w:i/>
    </w:rPr>
  </w:style>
  <w:style w:type="paragraph" w:styleId="Caption">
    <w:name w:val="caption"/>
    <w:basedOn w:val="Normal"/>
    <w:next w:val="Normal"/>
    <w:qFormat/>
    <w:rsid w:val="001F342D"/>
    <w:rPr>
      <w:b/>
      <w:bCs/>
    </w:rPr>
  </w:style>
  <w:style w:type="paragraph" w:styleId="DocumentMap">
    <w:name w:val="Document Map"/>
    <w:basedOn w:val="Normal"/>
    <w:link w:val="DocumentMapChar"/>
    <w:semiHidden/>
    <w:rsid w:val="001F342D"/>
    <w:pPr>
      <w:shd w:val="clear" w:color="auto" w:fill="00CCFF"/>
    </w:pPr>
    <w:rPr>
      <w:rFonts w:ascii="Tahoma" w:hAnsi="Tahoma" w:cs="Tahoma"/>
    </w:rPr>
  </w:style>
  <w:style w:type="character" w:customStyle="1" w:styleId="DocumentMapChar">
    <w:name w:val="Document Map Char"/>
    <w:basedOn w:val="DefaultParagraphFont"/>
    <w:link w:val="DocumentMap"/>
    <w:semiHidden/>
    <w:rsid w:val="001F342D"/>
    <w:rPr>
      <w:rFonts w:ascii="Tahoma" w:eastAsia="Times New Roman" w:hAnsi="Tahoma" w:cs="Tahoma"/>
      <w:szCs w:val="20"/>
      <w:shd w:val="clear" w:color="auto" w:fill="00CCFF"/>
      <w:lang w:eastAsia="en-AU"/>
    </w:rPr>
  </w:style>
  <w:style w:type="character" w:styleId="FollowedHyperlink">
    <w:name w:val="FollowedHyperlink"/>
    <w:basedOn w:val="DefaultParagraphFont"/>
    <w:rsid w:val="001F342D"/>
    <w:rPr>
      <w:color w:val="auto"/>
      <w:u w:val="none"/>
    </w:rPr>
  </w:style>
  <w:style w:type="paragraph" w:styleId="Index1">
    <w:name w:val="index 1"/>
    <w:basedOn w:val="Normal"/>
    <w:next w:val="Normal"/>
    <w:autoRedefine/>
    <w:semiHidden/>
    <w:rsid w:val="001F342D"/>
    <w:pPr>
      <w:ind w:left="200" w:hanging="200"/>
    </w:pPr>
  </w:style>
  <w:style w:type="paragraph" w:styleId="Index2">
    <w:name w:val="index 2"/>
    <w:basedOn w:val="Normal"/>
    <w:next w:val="Normal"/>
    <w:autoRedefine/>
    <w:semiHidden/>
    <w:rsid w:val="001F342D"/>
    <w:pPr>
      <w:ind w:left="400" w:hanging="200"/>
    </w:pPr>
  </w:style>
  <w:style w:type="paragraph" w:styleId="Index3">
    <w:name w:val="index 3"/>
    <w:basedOn w:val="Normal"/>
    <w:next w:val="Normal"/>
    <w:autoRedefine/>
    <w:semiHidden/>
    <w:rsid w:val="001F342D"/>
    <w:pPr>
      <w:ind w:left="600" w:hanging="200"/>
    </w:pPr>
  </w:style>
  <w:style w:type="paragraph" w:styleId="Index4">
    <w:name w:val="index 4"/>
    <w:basedOn w:val="Normal"/>
    <w:next w:val="Normal"/>
    <w:autoRedefine/>
    <w:semiHidden/>
    <w:rsid w:val="001F342D"/>
    <w:pPr>
      <w:ind w:left="800" w:hanging="200"/>
    </w:pPr>
  </w:style>
  <w:style w:type="paragraph" w:styleId="Index5">
    <w:name w:val="index 5"/>
    <w:basedOn w:val="Normal"/>
    <w:next w:val="Normal"/>
    <w:autoRedefine/>
    <w:semiHidden/>
    <w:rsid w:val="001F342D"/>
    <w:pPr>
      <w:ind w:left="1000" w:hanging="200"/>
    </w:pPr>
  </w:style>
  <w:style w:type="paragraph" w:styleId="Index6">
    <w:name w:val="index 6"/>
    <w:basedOn w:val="Normal"/>
    <w:next w:val="Normal"/>
    <w:autoRedefine/>
    <w:semiHidden/>
    <w:rsid w:val="001F342D"/>
    <w:pPr>
      <w:ind w:left="1200" w:hanging="200"/>
    </w:pPr>
  </w:style>
  <w:style w:type="paragraph" w:styleId="Index7">
    <w:name w:val="index 7"/>
    <w:basedOn w:val="Normal"/>
    <w:next w:val="Normal"/>
    <w:autoRedefine/>
    <w:semiHidden/>
    <w:rsid w:val="001F342D"/>
    <w:pPr>
      <w:ind w:left="1400" w:hanging="200"/>
    </w:pPr>
  </w:style>
  <w:style w:type="paragraph" w:styleId="Index8">
    <w:name w:val="index 8"/>
    <w:basedOn w:val="Normal"/>
    <w:next w:val="Normal"/>
    <w:autoRedefine/>
    <w:semiHidden/>
    <w:rsid w:val="001F342D"/>
    <w:pPr>
      <w:ind w:left="1600" w:hanging="200"/>
    </w:pPr>
  </w:style>
  <w:style w:type="paragraph" w:styleId="Index9">
    <w:name w:val="index 9"/>
    <w:basedOn w:val="Normal"/>
    <w:next w:val="Normal"/>
    <w:autoRedefine/>
    <w:semiHidden/>
    <w:rsid w:val="001F342D"/>
    <w:pPr>
      <w:ind w:left="1800" w:hanging="200"/>
    </w:pPr>
  </w:style>
  <w:style w:type="paragraph" w:styleId="IndexHeading">
    <w:name w:val="index heading"/>
    <w:basedOn w:val="Normal"/>
    <w:next w:val="Index1"/>
    <w:semiHidden/>
    <w:rsid w:val="001F342D"/>
    <w:rPr>
      <w:rFonts w:ascii="Arial" w:hAnsi="Arial" w:cs="Arial"/>
      <w:b/>
      <w:bCs/>
    </w:rPr>
  </w:style>
  <w:style w:type="paragraph" w:styleId="MacroText">
    <w:name w:val="macro"/>
    <w:link w:val="MacroTextChar"/>
    <w:semiHidden/>
    <w:rsid w:val="001F342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1F342D"/>
    <w:rPr>
      <w:rFonts w:ascii="Courier New" w:eastAsia="Times New Roman" w:hAnsi="Courier New" w:cs="Courier New"/>
      <w:color w:val="000000"/>
      <w:sz w:val="20"/>
      <w:szCs w:val="20"/>
      <w:lang w:eastAsia="en-AU"/>
    </w:rPr>
  </w:style>
  <w:style w:type="numbering" w:customStyle="1" w:styleId="OutlineList">
    <w:name w:val="OutlineList"/>
    <w:uiPriority w:val="99"/>
    <w:rsid w:val="001F342D"/>
    <w:pPr>
      <w:numPr>
        <w:numId w:val="5"/>
      </w:numPr>
    </w:pPr>
  </w:style>
  <w:style w:type="paragraph" w:customStyle="1" w:styleId="PictureCentred">
    <w:name w:val="Picture Centred"/>
    <w:basedOn w:val="Normal"/>
    <w:rsid w:val="001F342D"/>
    <w:pPr>
      <w:spacing w:before="120" w:line="240" w:lineRule="atLeast"/>
      <w:jc w:val="center"/>
    </w:pPr>
  </w:style>
  <w:style w:type="paragraph" w:customStyle="1" w:styleId="PictureLeft">
    <w:name w:val="Picture Left"/>
    <w:basedOn w:val="PictureCentred"/>
    <w:rsid w:val="001F342D"/>
    <w:pPr>
      <w:jc w:val="left"/>
    </w:pPr>
  </w:style>
  <w:style w:type="paragraph" w:customStyle="1" w:styleId="PictureIndent">
    <w:name w:val="Picture Indent"/>
    <w:basedOn w:val="PictureLeft"/>
    <w:rsid w:val="001F342D"/>
    <w:pPr>
      <w:ind w:left="284"/>
    </w:pPr>
  </w:style>
  <w:style w:type="paragraph" w:styleId="TableofAuthorities">
    <w:name w:val="table of authorities"/>
    <w:basedOn w:val="Normal"/>
    <w:next w:val="Normal"/>
    <w:rsid w:val="001F342D"/>
    <w:pPr>
      <w:ind w:left="200" w:hanging="200"/>
    </w:pPr>
  </w:style>
  <w:style w:type="paragraph" w:styleId="TableofFigures">
    <w:name w:val="table of figures"/>
    <w:basedOn w:val="Normal"/>
    <w:next w:val="Normal"/>
    <w:rsid w:val="001F342D"/>
  </w:style>
  <w:style w:type="paragraph" w:styleId="TOAHeading">
    <w:name w:val="toa heading"/>
    <w:basedOn w:val="Normal"/>
    <w:next w:val="Normal"/>
    <w:semiHidden/>
    <w:rsid w:val="001F342D"/>
    <w:pPr>
      <w:spacing w:before="120"/>
    </w:pPr>
    <w:rPr>
      <w:rFonts w:ascii="Arial" w:hAnsi="Arial" w:cs="Arial"/>
      <w:b/>
      <w:bCs/>
      <w:sz w:val="24"/>
      <w:szCs w:val="24"/>
    </w:rPr>
  </w:style>
  <w:style w:type="paragraph" w:styleId="TOC5">
    <w:name w:val="toc 5"/>
    <w:basedOn w:val="Normal"/>
    <w:next w:val="Normal"/>
    <w:autoRedefine/>
    <w:semiHidden/>
    <w:rsid w:val="001F342D"/>
    <w:pPr>
      <w:ind w:left="800"/>
    </w:pPr>
  </w:style>
  <w:style w:type="paragraph" w:styleId="TOC6">
    <w:name w:val="toc 6"/>
    <w:basedOn w:val="Normal"/>
    <w:next w:val="Normal"/>
    <w:autoRedefine/>
    <w:semiHidden/>
    <w:rsid w:val="001F342D"/>
    <w:pPr>
      <w:ind w:left="1000"/>
    </w:pPr>
  </w:style>
  <w:style w:type="paragraph" w:styleId="TOC7">
    <w:name w:val="toc 7"/>
    <w:basedOn w:val="Normal"/>
    <w:next w:val="Normal"/>
    <w:autoRedefine/>
    <w:semiHidden/>
    <w:rsid w:val="001F342D"/>
    <w:pPr>
      <w:ind w:left="1200"/>
    </w:pPr>
  </w:style>
  <w:style w:type="paragraph" w:styleId="TOC8">
    <w:name w:val="toc 8"/>
    <w:basedOn w:val="Normal"/>
    <w:next w:val="Normal"/>
    <w:autoRedefine/>
    <w:semiHidden/>
    <w:rsid w:val="001F342D"/>
    <w:pPr>
      <w:ind w:left="1400"/>
    </w:pPr>
  </w:style>
  <w:style w:type="paragraph" w:styleId="TOC9">
    <w:name w:val="toc 9"/>
    <w:basedOn w:val="Normal"/>
    <w:next w:val="Normal"/>
    <w:autoRedefine/>
    <w:semiHidden/>
    <w:rsid w:val="001F342D"/>
    <w:pPr>
      <w:ind w:left="1600"/>
    </w:pPr>
  </w:style>
  <w:style w:type="numbering" w:customStyle="1" w:styleId="BulletedList">
    <w:name w:val="Bulleted List"/>
    <w:uiPriority w:val="99"/>
    <w:rsid w:val="001F342D"/>
    <w:pPr>
      <w:numPr>
        <w:numId w:val="1"/>
      </w:numPr>
    </w:pPr>
  </w:style>
  <w:style w:type="numbering" w:customStyle="1" w:styleId="BoxBulletedList">
    <w:name w:val="Box Bulleted List"/>
    <w:uiPriority w:val="99"/>
    <w:rsid w:val="001F342D"/>
    <w:pPr>
      <w:numPr>
        <w:numId w:val="2"/>
      </w:numPr>
    </w:pPr>
  </w:style>
  <w:style w:type="numbering" w:customStyle="1" w:styleId="AlphaParagraphList">
    <w:name w:val="Alpha Paragraph List"/>
    <w:uiPriority w:val="99"/>
    <w:rsid w:val="001F342D"/>
    <w:pPr>
      <w:numPr>
        <w:numId w:val="3"/>
      </w:numPr>
    </w:pPr>
  </w:style>
  <w:style w:type="numbering" w:customStyle="1" w:styleId="OneLevelList">
    <w:name w:val="OneLevelList"/>
    <w:uiPriority w:val="99"/>
    <w:rsid w:val="001F342D"/>
    <w:pPr>
      <w:numPr>
        <w:numId w:val="4"/>
      </w:numPr>
    </w:pPr>
  </w:style>
  <w:style w:type="numbering" w:customStyle="1" w:styleId="RecommendationBulletList">
    <w:name w:val="RecommendationBulletList"/>
    <w:uiPriority w:val="99"/>
    <w:rsid w:val="001F342D"/>
    <w:pPr>
      <w:numPr>
        <w:numId w:val="6"/>
      </w:numPr>
    </w:pPr>
  </w:style>
  <w:style w:type="numbering" w:customStyle="1" w:styleId="RomanNumeralList">
    <w:name w:val="RomanNumeralList"/>
    <w:uiPriority w:val="99"/>
    <w:rsid w:val="001F342D"/>
    <w:pPr>
      <w:numPr>
        <w:numId w:val="7"/>
      </w:numPr>
    </w:pPr>
  </w:style>
  <w:style w:type="numbering" w:customStyle="1" w:styleId="ChartandTableFootnoteAlphaList">
    <w:name w:val="ChartandTableFootnoteAlphaList"/>
    <w:uiPriority w:val="99"/>
    <w:rsid w:val="001F342D"/>
    <w:pPr>
      <w:numPr>
        <w:numId w:val="12"/>
      </w:numPr>
    </w:pPr>
  </w:style>
  <w:style w:type="paragraph" w:customStyle="1" w:styleId="TableTextBullet">
    <w:name w:val="Table Text Bullet"/>
    <w:basedOn w:val="TableTextBase"/>
    <w:rsid w:val="00EC04DD"/>
    <w:pPr>
      <w:numPr>
        <w:numId w:val="14"/>
      </w:numPr>
      <w:spacing w:before="80" w:after="80" w:line="240" w:lineRule="exact"/>
    </w:pPr>
    <w:rPr>
      <w:rFonts w:ascii="Calibri" w:hAnsi="Calibri"/>
      <w:sz w:val="20"/>
    </w:rPr>
  </w:style>
  <w:style w:type="numbering" w:customStyle="1" w:styleId="TableTestBulletList">
    <w:name w:val="Table Test Bullet List"/>
    <w:uiPriority w:val="99"/>
    <w:rsid w:val="001F342D"/>
    <w:pPr>
      <w:numPr>
        <w:numId w:val="13"/>
      </w:numPr>
    </w:pPr>
  </w:style>
  <w:style w:type="numbering" w:customStyle="1" w:styleId="TableTextBulletList">
    <w:name w:val="Table Text Bullet List"/>
    <w:uiPriority w:val="99"/>
    <w:rsid w:val="001F342D"/>
    <w:pPr>
      <w:numPr>
        <w:numId w:val="14"/>
      </w:numPr>
    </w:pPr>
  </w:style>
  <w:style w:type="paragraph" w:customStyle="1" w:styleId="StyleTableTextBulletLinespacingExactly13pt">
    <w:name w:val="Style Table Text Bullet + Line spacing:  Exactly 13 pt"/>
    <w:basedOn w:val="TableTextBullet"/>
    <w:rsid w:val="001F342D"/>
    <w:pPr>
      <w:numPr>
        <w:numId w:val="0"/>
      </w:numPr>
      <w:spacing w:line="260" w:lineRule="exact"/>
    </w:pPr>
  </w:style>
  <w:style w:type="paragraph" w:customStyle="1" w:styleId="Heading2NotNumbered">
    <w:name w:val="Heading 2 Not Numbered"/>
    <w:basedOn w:val="Heading2"/>
    <w:next w:val="Normal"/>
    <w:rsid w:val="005E5CBF"/>
    <w:pPr>
      <w:spacing w:before="300"/>
    </w:pPr>
    <w:rPr>
      <w:b w:val="0"/>
      <w:smallCaps w:val="0"/>
      <w:sz w:val="36"/>
    </w:rPr>
  </w:style>
  <w:style w:type="paragraph" w:customStyle="1" w:styleId="TableTextDash">
    <w:name w:val="Table Text Dash"/>
    <w:basedOn w:val="TableTextBullet"/>
    <w:rsid w:val="002C19BD"/>
    <w:pPr>
      <w:numPr>
        <w:numId w:val="15"/>
      </w:numPr>
    </w:pPr>
  </w:style>
  <w:style w:type="character" w:styleId="Strong">
    <w:name w:val="Strong"/>
    <w:basedOn w:val="DefaultParagraphFont"/>
    <w:uiPriority w:val="22"/>
    <w:qFormat/>
    <w:rsid w:val="00A309A5"/>
    <w:rPr>
      <w:b/>
      <w:bCs/>
    </w:rPr>
  </w:style>
  <w:style w:type="paragraph" w:customStyle="1" w:styleId="CoverTitleSubDate">
    <w:name w:val="Cover Title Sub Date"/>
    <w:basedOn w:val="CoverTitleSub"/>
    <w:rsid w:val="00775B9B"/>
    <w:rPr>
      <w:cap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108">
      <w:bodyDiv w:val="1"/>
      <w:marLeft w:val="0"/>
      <w:marRight w:val="0"/>
      <w:marTop w:val="0"/>
      <w:marBottom w:val="0"/>
      <w:divBdr>
        <w:top w:val="none" w:sz="0" w:space="0" w:color="auto"/>
        <w:left w:val="none" w:sz="0" w:space="0" w:color="auto"/>
        <w:bottom w:val="none" w:sz="0" w:space="0" w:color="auto"/>
        <w:right w:val="none" w:sz="0" w:space="0" w:color="auto"/>
      </w:divBdr>
    </w:div>
    <w:div w:id="584728167">
      <w:bodyDiv w:val="1"/>
      <w:marLeft w:val="0"/>
      <w:marRight w:val="0"/>
      <w:marTop w:val="0"/>
      <w:marBottom w:val="0"/>
      <w:divBdr>
        <w:top w:val="none" w:sz="0" w:space="0" w:color="auto"/>
        <w:left w:val="none" w:sz="0" w:space="0" w:color="auto"/>
        <w:bottom w:val="none" w:sz="0" w:space="0" w:color="auto"/>
        <w:right w:val="none" w:sz="0" w:space="0" w:color="auto"/>
      </w:divBdr>
      <w:divsChild>
        <w:div w:id="50345885">
          <w:marLeft w:val="0"/>
          <w:marRight w:val="0"/>
          <w:marTop w:val="0"/>
          <w:marBottom w:val="0"/>
          <w:divBdr>
            <w:top w:val="none" w:sz="0" w:space="0" w:color="auto"/>
            <w:left w:val="none" w:sz="0" w:space="0" w:color="auto"/>
            <w:bottom w:val="none" w:sz="0" w:space="0" w:color="auto"/>
            <w:right w:val="none" w:sz="0" w:space="0" w:color="auto"/>
          </w:divBdr>
          <w:divsChild>
            <w:div w:id="1744058345">
              <w:marLeft w:val="0"/>
              <w:marRight w:val="0"/>
              <w:marTop w:val="0"/>
              <w:marBottom w:val="0"/>
              <w:divBdr>
                <w:top w:val="none" w:sz="0" w:space="0" w:color="auto"/>
                <w:left w:val="none" w:sz="0" w:space="0" w:color="auto"/>
                <w:bottom w:val="none" w:sz="0" w:space="0" w:color="auto"/>
                <w:right w:val="none" w:sz="0" w:space="0" w:color="auto"/>
              </w:divBdr>
              <w:divsChild>
                <w:div w:id="1313673894">
                  <w:marLeft w:val="0"/>
                  <w:marRight w:val="0"/>
                  <w:marTop w:val="0"/>
                  <w:marBottom w:val="0"/>
                  <w:divBdr>
                    <w:top w:val="none" w:sz="0" w:space="0" w:color="auto"/>
                    <w:left w:val="none" w:sz="0" w:space="0" w:color="auto"/>
                    <w:bottom w:val="none" w:sz="0" w:space="0" w:color="auto"/>
                    <w:right w:val="none" w:sz="0" w:space="0" w:color="auto"/>
                  </w:divBdr>
                  <w:divsChild>
                    <w:div w:id="1623266030">
                      <w:marLeft w:val="0"/>
                      <w:marRight w:val="0"/>
                      <w:marTop w:val="0"/>
                      <w:marBottom w:val="0"/>
                      <w:divBdr>
                        <w:top w:val="none" w:sz="0" w:space="0" w:color="auto"/>
                        <w:left w:val="none" w:sz="0" w:space="0" w:color="auto"/>
                        <w:bottom w:val="none" w:sz="0" w:space="0" w:color="auto"/>
                        <w:right w:val="none" w:sz="0" w:space="0" w:color="auto"/>
                      </w:divBdr>
                      <w:divsChild>
                        <w:div w:id="81151744">
                          <w:marLeft w:val="0"/>
                          <w:marRight w:val="0"/>
                          <w:marTop w:val="0"/>
                          <w:marBottom w:val="0"/>
                          <w:divBdr>
                            <w:top w:val="none" w:sz="0" w:space="0" w:color="auto"/>
                            <w:left w:val="none" w:sz="0" w:space="0" w:color="auto"/>
                            <w:bottom w:val="none" w:sz="0" w:space="0" w:color="auto"/>
                            <w:right w:val="none" w:sz="0" w:space="0" w:color="auto"/>
                          </w:divBdr>
                          <w:divsChild>
                            <w:div w:id="353388929">
                              <w:marLeft w:val="0"/>
                              <w:marRight w:val="0"/>
                              <w:marTop w:val="0"/>
                              <w:marBottom w:val="0"/>
                              <w:divBdr>
                                <w:top w:val="none" w:sz="0" w:space="0" w:color="auto"/>
                                <w:left w:val="none" w:sz="0" w:space="0" w:color="auto"/>
                                <w:bottom w:val="none" w:sz="0" w:space="0" w:color="auto"/>
                                <w:right w:val="none" w:sz="0" w:space="0" w:color="auto"/>
                              </w:divBdr>
                              <w:divsChild>
                                <w:div w:id="1637056268">
                                  <w:marLeft w:val="0"/>
                                  <w:marRight w:val="0"/>
                                  <w:marTop w:val="0"/>
                                  <w:marBottom w:val="0"/>
                                  <w:divBdr>
                                    <w:top w:val="none" w:sz="0" w:space="0" w:color="auto"/>
                                    <w:left w:val="none" w:sz="0" w:space="0" w:color="auto"/>
                                    <w:bottom w:val="none" w:sz="0" w:space="0" w:color="auto"/>
                                    <w:right w:val="none" w:sz="0" w:space="0" w:color="auto"/>
                                  </w:divBdr>
                                  <w:divsChild>
                                    <w:div w:id="1177036401">
                                      <w:marLeft w:val="0"/>
                                      <w:marRight w:val="0"/>
                                      <w:marTop w:val="0"/>
                                      <w:marBottom w:val="0"/>
                                      <w:divBdr>
                                        <w:top w:val="none" w:sz="0" w:space="0" w:color="auto"/>
                                        <w:left w:val="none" w:sz="0" w:space="0" w:color="auto"/>
                                        <w:bottom w:val="none" w:sz="0" w:space="0" w:color="auto"/>
                                        <w:right w:val="none" w:sz="0" w:space="0" w:color="auto"/>
                                      </w:divBdr>
                                      <w:divsChild>
                                        <w:div w:id="1538472375">
                                          <w:marLeft w:val="0"/>
                                          <w:marRight w:val="0"/>
                                          <w:marTop w:val="0"/>
                                          <w:marBottom w:val="0"/>
                                          <w:divBdr>
                                            <w:top w:val="none" w:sz="0" w:space="0" w:color="auto"/>
                                            <w:left w:val="none" w:sz="0" w:space="0" w:color="auto"/>
                                            <w:bottom w:val="none" w:sz="0" w:space="0" w:color="auto"/>
                                            <w:right w:val="none" w:sz="0" w:space="0" w:color="auto"/>
                                          </w:divBdr>
                                          <w:divsChild>
                                            <w:div w:id="3561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659475">
      <w:bodyDiv w:val="1"/>
      <w:marLeft w:val="0"/>
      <w:marRight w:val="0"/>
      <w:marTop w:val="0"/>
      <w:marBottom w:val="0"/>
      <w:divBdr>
        <w:top w:val="none" w:sz="0" w:space="0" w:color="auto"/>
        <w:left w:val="none" w:sz="0" w:space="0" w:color="auto"/>
        <w:bottom w:val="none" w:sz="0" w:space="0" w:color="auto"/>
        <w:right w:val="none" w:sz="0" w:space="0" w:color="auto"/>
      </w:divBdr>
      <w:divsChild>
        <w:div w:id="320089022">
          <w:marLeft w:val="0"/>
          <w:marRight w:val="0"/>
          <w:marTop w:val="0"/>
          <w:marBottom w:val="0"/>
          <w:divBdr>
            <w:top w:val="single" w:sz="6" w:space="0" w:color="CCCCCC"/>
            <w:left w:val="single" w:sz="6" w:space="0" w:color="CCCCCC"/>
            <w:bottom w:val="single" w:sz="6" w:space="0" w:color="CCCCCC"/>
            <w:right w:val="single" w:sz="6" w:space="0" w:color="CCCCCC"/>
          </w:divBdr>
          <w:divsChild>
            <w:div w:id="633870408">
              <w:marLeft w:val="150"/>
              <w:marRight w:val="150"/>
              <w:marTop w:val="0"/>
              <w:marBottom w:val="0"/>
              <w:divBdr>
                <w:top w:val="none" w:sz="0" w:space="0" w:color="auto"/>
                <w:left w:val="none" w:sz="0" w:space="0" w:color="auto"/>
                <w:bottom w:val="none" w:sz="0" w:space="0" w:color="auto"/>
                <w:right w:val="none" w:sz="0" w:space="0" w:color="auto"/>
              </w:divBdr>
              <w:divsChild>
                <w:div w:id="59330707">
                  <w:marLeft w:val="0"/>
                  <w:marRight w:val="0"/>
                  <w:marTop w:val="0"/>
                  <w:marBottom w:val="600"/>
                  <w:divBdr>
                    <w:top w:val="none" w:sz="0" w:space="0" w:color="auto"/>
                    <w:left w:val="none" w:sz="0" w:space="0" w:color="auto"/>
                    <w:bottom w:val="none" w:sz="0" w:space="0" w:color="auto"/>
                    <w:right w:val="none" w:sz="0" w:space="0" w:color="auto"/>
                  </w:divBdr>
                  <w:divsChild>
                    <w:div w:id="524756336">
                      <w:marLeft w:val="0"/>
                      <w:marRight w:val="0"/>
                      <w:marTop w:val="0"/>
                      <w:marBottom w:val="0"/>
                      <w:divBdr>
                        <w:top w:val="none" w:sz="0" w:space="0" w:color="auto"/>
                        <w:left w:val="none" w:sz="0" w:space="0" w:color="auto"/>
                        <w:bottom w:val="none" w:sz="0" w:space="0" w:color="auto"/>
                        <w:right w:val="none" w:sz="0" w:space="0" w:color="auto"/>
                      </w:divBdr>
                    </w:div>
                    <w:div w:id="1390767349">
                      <w:marLeft w:val="0"/>
                      <w:marRight w:val="0"/>
                      <w:marTop w:val="0"/>
                      <w:marBottom w:val="0"/>
                      <w:divBdr>
                        <w:top w:val="none" w:sz="0" w:space="0" w:color="auto"/>
                        <w:left w:val="none" w:sz="0" w:space="0" w:color="auto"/>
                        <w:bottom w:val="none" w:sz="0" w:space="0" w:color="auto"/>
                        <w:right w:val="none" w:sz="0" w:space="0" w:color="auto"/>
                      </w:divBdr>
                    </w:div>
                    <w:div w:id="5227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91842">
      <w:bodyDiv w:val="1"/>
      <w:marLeft w:val="0"/>
      <w:marRight w:val="0"/>
      <w:marTop w:val="0"/>
      <w:marBottom w:val="0"/>
      <w:divBdr>
        <w:top w:val="none" w:sz="0" w:space="0" w:color="auto"/>
        <w:left w:val="none" w:sz="0" w:space="0" w:color="auto"/>
        <w:bottom w:val="none" w:sz="0" w:space="0" w:color="auto"/>
        <w:right w:val="none" w:sz="0" w:space="0" w:color="auto"/>
      </w:divBdr>
    </w:div>
    <w:div w:id="771319610">
      <w:bodyDiv w:val="1"/>
      <w:marLeft w:val="0"/>
      <w:marRight w:val="0"/>
      <w:marTop w:val="0"/>
      <w:marBottom w:val="0"/>
      <w:divBdr>
        <w:top w:val="none" w:sz="0" w:space="0" w:color="auto"/>
        <w:left w:val="none" w:sz="0" w:space="0" w:color="auto"/>
        <w:bottom w:val="none" w:sz="0" w:space="0" w:color="auto"/>
        <w:right w:val="none" w:sz="0" w:space="0" w:color="auto"/>
      </w:divBdr>
    </w:div>
    <w:div w:id="873158944">
      <w:bodyDiv w:val="1"/>
      <w:marLeft w:val="0"/>
      <w:marRight w:val="0"/>
      <w:marTop w:val="0"/>
      <w:marBottom w:val="0"/>
      <w:divBdr>
        <w:top w:val="none" w:sz="0" w:space="0" w:color="auto"/>
        <w:left w:val="none" w:sz="0" w:space="0" w:color="auto"/>
        <w:bottom w:val="none" w:sz="0" w:space="0" w:color="auto"/>
        <w:right w:val="none" w:sz="0" w:space="0" w:color="auto"/>
      </w:divBdr>
      <w:divsChild>
        <w:div w:id="1628469851">
          <w:marLeft w:val="0"/>
          <w:marRight w:val="0"/>
          <w:marTop w:val="0"/>
          <w:marBottom w:val="0"/>
          <w:divBdr>
            <w:top w:val="none" w:sz="0" w:space="0" w:color="auto"/>
            <w:left w:val="none" w:sz="0" w:space="0" w:color="auto"/>
            <w:bottom w:val="none" w:sz="0" w:space="0" w:color="auto"/>
            <w:right w:val="none" w:sz="0" w:space="0" w:color="auto"/>
          </w:divBdr>
          <w:divsChild>
            <w:div w:id="969550947">
              <w:marLeft w:val="0"/>
              <w:marRight w:val="0"/>
              <w:marTop w:val="0"/>
              <w:marBottom w:val="0"/>
              <w:divBdr>
                <w:top w:val="none" w:sz="0" w:space="0" w:color="auto"/>
                <w:left w:val="none" w:sz="0" w:space="0" w:color="auto"/>
                <w:bottom w:val="none" w:sz="0" w:space="0" w:color="auto"/>
                <w:right w:val="none" w:sz="0" w:space="0" w:color="auto"/>
              </w:divBdr>
              <w:divsChild>
                <w:div w:id="561595675">
                  <w:marLeft w:val="0"/>
                  <w:marRight w:val="0"/>
                  <w:marTop w:val="0"/>
                  <w:marBottom w:val="0"/>
                  <w:divBdr>
                    <w:top w:val="none" w:sz="0" w:space="0" w:color="auto"/>
                    <w:left w:val="none" w:sz="0" w:space="0" w:color="auto"/>
                    <w:bottom w:val="none" w:sz="0" w:space="0" w:color="auto"/>
                    <w:right w:val="none" w:sz="0" w:space="0" w:color="auto"/>
                  </w:divBdr>
                  <w:divsChild>
                    <w:div w:id="112479291">
                      <w:marLeft w:val="0"/>
                      <w:marRight w:val="0"/>
                      <w:marTop w:val="0"/>
                      <w:marBottom w:val="0"/>
                      <w:divBdr>
                        <w:top w:val="none" w:sz="0" w:space="0" w:color="auto"/>
                        <w:left w:val="none" w:sz="0" w:space="0" w:color="auto"/>
                        <w:bottom w:val="none" w:sz="0" w:space="0" w:color="auto"/>
                        <w:right w:val="none" w:sz="0" w:space="0" w:color="auto"/>
                      </w:divBdr>
                      <w:divsChild>
                        <w:div w:id="1015304998">
                          <w:marLeft w:val="0"/>
                          <w:marRight w:val="0"/>
                          <w:marTop w:val="0"/>
                          <w:marBottom w:val="0"/>
                          <w:divBdr>
                            <w:top w:val="none" w:sz="0" w:space="0" w:color="auto"/>
                            <w:left w:val="none" w:sz="0" w:space="0" w:color="auto"/>
                            <w:bottom w:val="none" w:sz="0" w:space="0" w:color="auto"/>
                            <w:right w:val="none" w:sz="0" w:space="0" w:color="auto"/>
                          </w:divBdr>
                          <w:divsChild>
                            <w:div w:id="1983268860">
                              <w:marLeft w:val="0"/>
                              <w:marRight w:val="0"/>
                              <w:marTop w:val="0"/>
                              <w:marBottom w:val="0"/>
                              <w:divBdr>
                                <w:top w:val="none" w:sz="0" w:space="0" w:color="auto"/>
                                <w:left w:val="none" w:sz="0" w:space="0" w:color="auto"/>
                                <w:bottom w:val="none" w:sz="0" w:space="0" w:color="auto"/>
                                <w:right w:val="none" w:sz="0" w:space="0" w:color="auto"/>
                              </w:divBdr>
                              <w:divsChild>
                                <w:div w:id="1303198977">
                                  <w:marLeft w:val="0"/>
                                  <w:marRight w:val="0"/>
                                  <w:marTop w:val="0"/>
                                  <w:marBottom w:val="0"/>
                                  <w:divBdr>
                                    <w:top w:val="none" w:sz="0" w:space="0" w:color="auto"/>
                                    <w:left w:val="none" w:sz="0" w:space="0" w:color="auto"/>
                                    <w:bottom w:val="none" w:sz="0" w:space="0" w:color="auto"/>
                                    <w:right w:val="none" w:sz="0" w:space="0" w:color="auto"/>
                                  </w:divBdr>
                                  <w:divsChild>
                                    <w:div w:id="676886103">
                                      <w:marLeft w:val="0"/>
                                      <w:marRight w:val="0"/>
                                      <w:marTop w:val="0"/>
                                      <w:marBottom w:val="0"/>
                                      <w:divBdr>
                                        <w:top w:val="none" w:sz="0" w:space="0" w:color="auto"/>
                                        <w:left w:val="none" w:sz="0" w:space="0" w:color="auto"/>
                                        <w:bottom w:val="none" w:sz="0" w:space="0" w:color="auto"/>
                                        <w:right w:val="none" w:sz="0" w:space="0" w:color="auto"/>
                                      </w:divBdr>
                                      <w:divsChild>
                                        <w:div w:id="166873167">
                                          <w:marLeft w:val="0"/>
                                          <w:marRight w:val="0"/>
                                          <w:marTop w:val="0"/>
                                          <w:marBottom w:val="0"/>
                                          <w:divBdr>
                                            <w:top w:val="none" w:sz="0" w:space="0" w:color="auto"/>
                                            <w:left w:val="none" w:sz="0" w:space="0" w:color="auto"/>
                                            <w:bottom w:val="none" w:sz="0" w:space="0" w:color="auto"/>
                                            <w:right w:val="none" w:sz="0" w:space="0" w:color="auto"/>
                                          </w:divBdr>
                                        </w:div>
                                      </w:divsChild>
                                    </w:div>
                                    <w:div w:id="1625503019">
                                      <w:marLeft w:val="0"/>
                                      <w:marRight w:val="0"/>
                                      <w:marTop w:val="0"/>
                                      <w:marBottom w:val="0"/>
                                      <w:divBdr>
                                        <w:top w:val="none" w:sz="0" w:space="0" w:color="auto"/>
                                        <w:left w:val="none" w:sz="0" w:space="0" w:color="auto"/>
                                        <w:bottom w:val="none" w:sz="0" w:space="0" w:color="auto"/>
                                        <w:right w:val="none" w:sz="0" w:space="0" w:color="auto"/>
                                      </w:divBdr>
                                      <w:divsChild>
                                        <w:div w:id="1452480489">
                                          <w:marLeft w:val="0"/>
                                          <w:marRight w:val="0"/>
                                          <w:marTop w:val="0"/>
                                          <w:marBottom w:val="0"/>
                                          <w:divBdr>
                                            <w:top w:val="none" w:sz="0" w:space="0" w:color="auto"/>
                                            <w:left w:val="none" w:sz="0" w:space="0" w:color="auto"/>
                                            <w:bottom w:val="none" w:sz="0" w:space="0" w:color="auto"/>
                                            <w:right w:val="none" w:sz="0" w:space="0" w:color="auto"/>
                                          </w:divBdr>
                                          <w:divsChild>
                                            <w:div w:id="3375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445491">
      <w:bodyDiv w:val="1"/>
      <w:marLeft w:val="0"/>
      <w:marRight w:val="0"/>
      <w:marTop w:val="0"/>
      <w:marBottom w:val="0"/>
      <w:divBdr>
        <w:top w:val="none" w:sz="0" w:space="0" w:color="auto"/>
        <w:left w:val="none" w:sz="0" w:space="0" w:color="auto"/>
        <w:bottom w:val="none" w:sz="0" w:space="0" w:color="auto"/>
        <w:right w:val="none" w:sz="0" w:space="0" w:color="auto"/>
      </w:divBdr>
    </w:div>
    <w:div w:id="1210722164">
      <w:bodyDiv w:val="1"/>
      <w:marLeft w:val="0"/>
      <w:marRight w:val="0"/>
      <w:marTop w:val="0"/>
      <w:marBottom w:val="0"/>
      <w:divBdr>
        <w:top w:val="none" w:sz="0" w:space="0" w:color="auto"/>
        <w:left w:val="none" w:sz="0" w:space="0" w:color="auto"/>
        <w:bottom w:val="none" w:sz="0" w:space="0" w:color="auto"/>
        <w:right w:val="none" w:sz="0" w:space="0" w:color="auto"/>
      </w:divBdr>
      <w:divsChild>
        <w:div w:id="780299620">
          <w:marLeft w:val="0"/>
          <w:marRight w:val="0"/>
          <w:marTop w:val="0"/>
          <w:marBottom w:val="0"/>
          <w:divBdr>
            <w:top w:val="none" w:sz="0" w:space="0" w:color="auto"/>
            <w:left w:val="none" w:sz="0" w:space="0" w:color="auto"/>
            <w:bottom w:val="none" w:sz="0" w:space="0" w:color="auto"/>
            <w:right w:val="none" w:sz="0" w:space="0" w:color="auto"/>
          </w:divBdr>
          <w:divsChild>
            <w:div w:id="1848598969">
              <w:marLeft w:val="-225"/>
              <w:marRight w:val="-225"/>
              <w:marTop w:val="0"/>
              <w:marBottom w:val="0"/>
              <w:divBdr>
                <w:top w:val="none" w:sz="0" w:space="0" w:color="auto"/>
                <w:left w:val="none" w:sz="0" w:space="0" w:color="auto"/>
                <w:bottom w:val="none" w:sz="0" w:space="0" w:color="auto"/>
                <w:right w:val="none" w:sz="0" w:space="0" w:color="auto"/>
              </w:divBdr>
              <w:divsChild>
                <w:div w:id="19888975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06875426">
      <w:bodyDiv w:val="1"/>
      <w:marLeft w:val="0"/>
      <w:marRight w:val="0"/>
      <w:marTop w:val="0"/>
      <w:marBottom w:val="0"/>
      <w:divBdr>
        <w:top w:val="none" w:sz="0" w:space="0" w:color="auto"/>
        <w:left w:val="none" w:sz="0" w:space="0" w:color="auto"/>
        <w:bottom w:val="none" w:sz="0" w:space="0" w:color="auto"/>
        <w:right w:val="none" w:sz="0" w:space="0" w:color="auto"/>
      </w:divBdr>
    </w:div>
    <w:div w:id="1423801036">
      <w:bodyDiv w:val="1"/>
      <w:marLeft w:val="0"/>
      <w:marRight w:val="0"/>
      <w:marTop w:val="0"/>
      <w:marBottom w:val="0"/>
      <w:divBdr>
        <w:top w:val="none" w:sz="0" w:space="0" w:color="auto"/>
        <w:left w:val="none" w:sz="0" w:space="0" w:color="auto"/>
        <w:bottom w:val="none" w:sz="0" w:space="0" w:color="auto"/>
        <w:right w:val="none" w:sz="0" w:space="0" w:color="auto"/>
      </w:divBdr>
    </w:div>
    <w:div w:id="1513177109">
      <w:bodyDiv w:val="1"/>
      <w:marLeft w:val="0"/>
      <w:marRight w:val="0"/>
      <w:marTop w:val="0"/>
      <w:marBottom w:val="0"/>
      <w:divBdr>
        <w:top w:val="none" w:sz="0" w:space="0" w:color="auto"/>
        <w:left w:val="none" w:sz="0" w:space="0" w:color="auto"/>
        <w:bottom w:val="none" w:sz="0" w:space="0" w:color="auto"/>
        <w:right w:val="none" w:sz="0" w:space="0" w:color="auto"/>
      </w:divBdr>
      <w:divsChild>
        <w:div w:id="79759940">
          <w:marLeft w:val="0"/>
          <w:marRight w:val="0"/>
          <w:marTop w:val="0"/>
          <w:marBottom w:val="0"/>
          <w:divBdr>
            <w:top w:val="none" w:sz="0" w:space="0" w:color="auto"/>
            <w:left w:val="none" w:sz="0" w:space="0" w:color="auto"/>
            <w:bottom w:val="none" w:sz="0" w:space="0" w:color="auto"/>
            <w:right w:val="none" w:sz="0" w:space="0" w:color="auto"/>
          </w:divBdr>
          <w:divsChild>
            <w:div w:id="1867401685">
              <w:marLeft w:val="0"/>
              <w:marRight w:val="0"/>
              <w:marTop w:val="0"/>
              <w:marBottom w:val="0"/>
              <w:divBdr>
                <w:top w:val="none" w:sz="0" w:space="0" w:color="auto"/>
                <w:left w:val="none" w:sz="0" w:space="0" w:color="auto"/>
                <w:bottom w:val="none" w:sz="0" w:space="0" w:color="auto"/>
                <w:right w:val="none" w:sz="0" w:space="0" w:color="auto"/>
              </w:divBdr>
              <w:divsChild>
                <w:div w:id="1339652518">
                  <w:marLeft w:val="0"/>
                  <w:marRight w:val="0"/>
                  <w:marTop w:val="0"/>
                  <w:marBottom w:val="0"/>
                  <w:divBdr>
                    <w:top w:val="none" w:sz="0" w:space="0" w:color="auto"/>
                    <w:left w:val="none" w:sz="0" w:space="0" w:color="auto"/>
                    <w:bottom w:val="none" w:sz="0" w:space="0" w:color="auto"/>
                    <w:right w:val="none" w:sz="0" w:space="0" w:color="auto"/>
                  </w:divBdr>
                  <w:divsChild>
                    <w:div w:id="1271889063">
                      <w:marLeft w:val="150"/>
                      <w:marRight w:val="150"/>
                      <w:marTop w:val="0"/>
                      <w:marBottom w:val="0"/>
                      <w:divBdr>
                        <w:top w:val="none" w:sz="0" w:space="0" w:color="auto"/>
                        <w:left w:val="none" w:sz="0" w:space="0" w:color="auto"/>
                        <w:bottom w:val="none" w:sz="0" w:space="0" w:color="auto"/>
                        <w:right w:val="none" w:sz="0" w:space="0" w:color="auto"/>
                      </w:divBdr>
                      <w:divsChild>
                        <w:div w:id="327292508">
                          <w:marLeft w:val="0"/>
                          <w:marRight w:val="0"/>
                          <w:marTop w:val="0"/>
                          <w:marBottom w:val="0"/>
                          <w:divBdr>
                            <w:top w:val="none" w:sz="0" w:space="0" w:color="auto"/>
                            <w:left w:val="none" w:sz="0" w:space="0" w:color="auto"/>
                            <w:bottom w:val="none" w:sz="0" w:space="0" w:color="auto"/>
                            <w:right w:val="none" w:sz="0" w:space="0" w:color="auto"/>
                          </w:divBdr>
                          <w:divsChild>
                            <w:div w:id="1979021792">
                              <w:marLeft w:val="0"/>
                              <w:marRight w:val="0"/>
                              <w:marTop w:val="0"/>
                              <w:marBottom w:val="0"/>
                              <w:divBdr>
                                <w:top w:val="none" w:sz="0" w:space="0" w:color="auto"/>
                                <w:left w:val="none" w:sz="0" w:space="0" w:color="auto"/>
                                <w:bottom w:val="none" w:sz="0" w:space="0" w:color="auto"/>
                                <w:right w:val="none" w:sz="0" w:space="0" w:color="auto"/>
                              </w:divBdr>
                              <w:divsChild>
                                <w:div w:id="591402225">
                                  <w:marLeft w:val="0"/>
                                  <w:marRight w:val="0"/>
                                  <w:marTop w:val="0"/>
                                  <w:marBottom w:val="0"/>
                                  <w:divBdr>
                                    <w:top w:val="none" w:sz="0" w:space="0" w:color="auto"/>
                                    <w:left w:val="none" w:sz="0" w:space="0" w:color="auto"/>
                                    <w:bottom w:val="none" w:sz="0" w:space="0" w:color="auto"/>
                                    <w:right w:val="none" w:sz="0" w:space="0" w:color="auto"/>
                                  </w:divBdr>
                                  <w:divsChild>
                                    <w:div w:id="239993156">
                                      <w:marLeft w:val="0"/>
                                      <w:marRight w:val="0"/>
                                      <w:marTop w:val="0"/>
                                      <w:marBottom w:val="0"/>
                                      <w:divBdr>
                                        <w:top w:val="none" w:sz="0" w:space="0" w:color="auto"/>
                                        <w:left w:val="none" w:sz="0" w:space="0" w:color="auto"/>
                                        <w:bottom w:val="none" w:sz="0" w:space="0" w:color="auto"/>
                                        <w:right w:val="none" w:sz="0" w:space="0" w:color="auto"/>
                                      </w:divBdr>
                                      <w:divsChild>
                                        <w:div w:id="1973167480">
                                          <w:marLeft w:val="0"/>
                                          <w:marRight w:val="0"/>
                                          <w:marTop w:val="0"/>
                                          <w:marBottom w:val="0"/>
                                          <w:divBdr>
                                            <w:top w:val="none" w:sz="0" w:space="0" w:color="auto"/>
                                            <w:left w:val="none" w:sz="0" w:space="0" w:color="auto"/>
                                            <w:bottom w:val="none" w:sz="0" w:space="0" w:color="auto"/>
                                            <w:right w:val="none" w:sz="0" w:space="0" w:color="auto"/>
                                          </w:divBdr>
                                          <w:divsChild>
                                            <w:div w:id="1145851465">
                                              <w:marLeft w:val="0"/>
                                              <w:marRight w:val="0"/>
                                              <w:marTop w:val="0"/>
                                              <w:marBottom w:val="0"/>
                                              <w:divBdr>
                                                <w:top w:val="none" w:sz="0" w:space="0" w:color="auto"/>
                                                <w:left w:val="none" w:sz="0" w:space="0" w:color="auto"/>
                                                <w:bottom w:val="none" w:sz="0" w:space="0" w:color="auto"/>
                                                <w:right w:val="none" w:sz="0" w:space="0" w:color="auto"/>
                                              </w:divBdr>
                                              <w:divsChild>
                                                <w:div w:id="17481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01169">
                              <w:marLeft w:val="0"/>
                              <w:marRight w:val="0"/>
                              <w:marTop w:val="0"/>
                              <w:marBottom w:val="0"/>
                              <w:divBdr>
                                <w:top w:val="none" w:sz="0" w:space="0" w:color="auto"/>
                                <w:left w:val="none" w:sz="0" w:space="0" w:color="auto"/>
                                <w:bottom w:val="none" w:sz="0" w:space="0" w:color="auto"/>
                                <w:right w:val="none" w:sz="0" w:space="0" w:color="auto"/>
                              </w:divBdr>
                              <w:divsChild>
                                <w:div w:id="259458047">
                                  <w:marLeft w:val="0"/>
                                  <w:marRight w:val="0"/>
                                  <w:marTop w:val="0"/>
                                  <w:marBottom w:val="0"/>
                                  <w:divBdr>
                                    <w:top w:val="none" w:sz="0" w:space="0" w:color="auto"/>
                                    <w:left w:val="none" w:sz="0" w:space="0" w:color="auto"/>
                                    <w:bottom w:val="none" w:sz="0" w:space="0" w:color="auto"/>
                                    <w:right w:val="none" w:sz="0" w:space="0" w:color="auto"/>
                                  </w:divBdr>
                                  <w:divsChild>
                                    <w:div w:id="6230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4536">
                              <w:marLeft w:val="0"/>
                              <w:marRight w:val="0"/>
                              <w:marTop w:val="0"/>
                              <w:marBottom w:val="0"/>
                              <w:divBdr>
                                <w:top w:val="none" w:sz="0" w:space="0" w:color="auto"/>
                                <w:left w:val="none" w:sz="0" w:space="0" w:color="auto"/>
                                <w:bottom w:val="none" w:sz="0" w:space="0" w:color="auto"/>
                                <w:right w:val="none" w:sz="0" w:space="0" w:color="auto"/>
                              </w:divBdr>
                              <w:divsChild>
                                <w:div w:id="1642882216">
                                  <w:marLeft w:val="0"/>
                                  <w:marRight w:val="0"/>
                                  <w:marTop w:val="0"/>
                                  <w:marBottom w:val="0"/>
                                  <w:divBdr>
                                    <w:top w:val="none" w:sz="0" w:space="0" w:color="auto"/>
                                    <w:left w:val="none" w:sz="0" w:space="0" w:color="auto"/>
                                    <w:bottom w:val="none" w:sz="0" w:space="0" w:color="auto"/>
                                    <w:right w:val="none" w:sz="0" w:space="0" w:color="auto"/>
                                  </w:divBdr>
                                  <w:divsChild>
                                    <w:div w:id="1197814133">
                                      <w:marLeft w:val="0"/>
                                      <w:marRight w:val="0"/>
                                      <w:marTop w:val="0"/>
                                      <w:marBottom w:val="0"/>
                                      <w:divBdr>
                                        <w:top w:val="none" w:sz="0" w:space="0" w:color="auto"/>
                                        <w:left w:val="none" w:sz="0" w:space="0" w:color="auto"/>
                                        <w:bottom w:val="none" w:sz="0" w:space="0" w:color="auto"/>
                                        <w:right w:val="none" w:sz="0" w:space="0" w:color="auto"/>
                                      </w:divBdr>
                                      <w:divsChild>
                                        <w:div w:id="1159347453">
                                          <w:marLeft w:val="0"/>
                                          <w:marRight w:val="0"/>
                                          <w:marTop w:val="0"/>
                                          <w:marBottom w:val="0"/>
                                          <w:divBdr>
                                            <w:top w:val="none" w:sz="0" w:space="0" w:color="auto"/>
                                            <w:left w:val="none" w:sz="0" w:space="0" w:color="auto"/>
                                            <w:bottom w:val="none" w:sz="0" w:space="0" w:color="auto"/>
                                            <w:right w:val="none" w:sz="0" w:space="0" w:color="auto"/>
                                          </w:divBdr>
                                          <w:divsChild>
                                            <w:div w:id="20472090">
                                              <w:marLeft w:val="0"/>
                                              <w:marRight w:val="0"/>
                                              <w:marTop w:val="0"/>
                                              <w:marBottom w:val="0"/>
                                              <w:divBdr>
                                                <w:top w:val="none" w:sz="0" w:space="0" w:color="auto"/>
                                                <w:left w:val="none" w:sz="0" w:space="0" w:color="auto"/>
                                                <w:bottom w:val="none" w:sz="0" w:space="0" w:color="auto"/>
                                                <w:right w:val="none" w:sz="0" w:space="0" w:color="auto"/>
                                              </w:divBdr>
                                              <w:divsChild>
                                                <w:div w:id="12001499">
                                                  <w:marLeft w:val="300"/>
                                                  <w:marRight w:val="-300"/>
                                                  <w:marTop w:val="0"/>
                                                  <w:marBottom w:val="0"/>
                                                  <w:divBdr>
                                                    <w:top w:val="none" w:sz="0" w:space="0" w:color="auto"/>
                                                    <w:left w:val="single" w:sz="6" w:space="31" w:color="AAAAAA"/>
                                                    <w:bottom w:val="none" w:sz="0" w:space="0" w:color="auto"/>
                                                    <w:right w:val="none" w:sz="0" w:space="0" w:color="auto"/>
                                                  </w:divBdr>
                                                  <w:divsChild>
                                                    <w:div w:id="1997148575">
                                                      <w:marLeft w:val="-450"/>
                                                      <w:marRight w:val="1200"/>
                                                      <w:marTop w:val="0"/>
                                                      <w:marBottom w:val="0"/>
                                                      <w:divBdr>
                                                        <w:top w:val="none" w:sz="0" w:space="0" w:color="auto"/>
                                                        <w:left w:val="none" w:sz="0" w:space="0" w:color="auto"/>
                                                        <w:bottom w:val="none" w:sz="0" w:space="0" w:color="auto"/>
                                                        <w:right w:val="none" w:sz="0" w:space="0" w:color="auto"/>
                                                      </w:divBdr>
                                                      <w:divsChild>
                                                        <w:div w:id="575015687">
                                                          <w:marLeft w:val="0"/>
                                                          <w:marRight w:val="0"/>
                                                          <w:marTop w:val="0"/>
                                                          <w:marBottom w:val="0"/>
                                                          <w:divBdr>
                                                            <w:top w:val="none" w:sz="0" w:space="0" w:color="auto"/>
                                                            <w:left w:val="none" w:sz="0" w:space="0" w:color="auto"/>
                                                            <w:bottom w:val="none" w:sz="0" w:space="0" w:color="auto"/>
                                                            <w:right w:val="none" w:sz="0" w:space="0" w:color="auto"/>
                                                          </w:divBdr>
                                                        </w:div>
                                                        <w:div w:id="415707152">
                                                          <w:marLeft w:val="0"/>
                                                          <w:marRight w:val="0"/>
                                                          <w:marTop w:val="0"/>
                                                          <w:marBottom w:val="0"/>
                                                          <w:divBdr>
                                                            <w:top w:val="none" w:sz="0" w:space="0" w:color="auto"/>
                                                            <w:left w:val="none" w:sz="0" w:space="0" w:color="auto"/>
                                                            <w:bottom w:val="none" w:sz="0" w:space="0" w:color="auto"/>
                                                            <w:right w:val="none" w:sz="0" w:space="0" w:color="auto"/>
                                                          </w:divBdr>
                                                        </w:div>
                                                        <w:div w:id="1681658701">
                                                          <w:marLeft w:val="0"/>
                                                          <w:marRight w:val="0"/>
                                                          <w:marTop w:val="0"/>
                                                          <w:marBottom w:val="0"/>
                                                          <w:divBdr>
                                                            <w:top w:val="none" w:sz="0" w:space="0" w:color="auto"/>
                                                            <w:left w:val="none" w:sz="0" w:space="0" w:color="auto"/>
                                                            <w:bottom w:val="none" w:sz="0" w:space="0" w:color="auto"/>
                                                            <w:right w:val="none" w:sz="0" w:space="0" w:color="auto"/>
                                                          </w:divBdr>
                                                        </w:div>
                                                        <w:div w:id="5362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8365">
                              <w:marLeft w:val="0"/>
                              <w:marRight w:val="0"/>
                              <w:marTop w:val="0"/>
                              <w:marBottom w:val="0"/>
                              <w:divBdr>
                                <w:top w:val="none" w:sz="0" w:space="0" w:color="auto"/>
                                <w:left w:val="none" w:sz="0" w:space="0" w:color="auto"/>
                                <w:bottom w:val="none" w:sz="0" w:space="0" w:color="auto"/>
                                <w:right w:val="none" w:sz="0" w:space="0" w:color="auto"/>
                              </w:divBdr>
                              <w:divsChild>
                                <w:div w:id="1345280979">
                                  <w:marLeft w:val="0"/>
                                  <w:marRight w:val="0"/>
                                  <w:marTop w:val="0"/>
                                  <w:marBottom w:val="0"/>
                                  <w:divBdr>
                                    <w:top w:val="none" w:sz="0" w:space="0" w:color="auto"/>
                                    <w:left w:val="none" w:sz="0" w:space="0" w:color="auto"/>
                                    <w:bottom w:val="none" w:sz="0" w:space="0" w:color="auto"/>
                                    <w:right w:val="none" w:sz="0" w:space="0" w:color="auto"/>
                                  </w:divBdr>
                                  <w:divsChild>
                                    <w:div w:id="1961187696">
                                      <w:marLeft w:val="0"/>
                                      <w:marRight w:val="0"/>
                                      <w:marTop w:val="0"/>
                                      <w:marBottom w:val="0"/>
                                      <w:divBdr>
                                        <w:top w:val="none" w:sz="0" w:space="0" w:color="auto"/>
                                        <w:left w:val="none" w:sz="0" w:space="0" w:color="auto"/>
                                        <w:bottom w:val="none" w:sz="0" w:space="0" w:color="auto"/>
                                        <w:right w:val="none" w:sz="0" w:space="0" w:color="auto"/>
                                      </w:divBdr>
                                      <w:divsChild>
                                        <w:div w:id="1620139705">
                                          <w:marLeft w:val="0"/>
                                          <w:marRight w:val="0"/>
                                          <w:marTop w:val="0"/>
                                          <w:marBottom w:val="0"/>
                                          <w:divBdr>
                                            <w:top w:val="none" w:sz="0" w:space="0" w:color="auto"/>
                                            <w:left w:val="none" w:sz="0" w:space="0" w:color="auto"/>
                                            <w:bottom w:val="none" w:sz="0" w:space="0" w:color="auto"/>
                                            <w:right w:val="none" w:sz="0" w:space="0" w:color="auto"/>
                                          </w:divBdr>
                                          <w:divsChild>
                                            <w:div w:id="2127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903">
                              <w:marLeft w:val="0"/>
                              <w:marRight w:val="0"/>
                              <w:marTop w:val="0"/>
                              <w:marBottom w:val="0"/>
                              <w:divBdr>
                                <w:top w:val="none" w:sz="0" w:space="0" w:color="auto"/>
                                <w:left w:val="none" w:sz="0" w:space="0" w:color="auto"/>
                                <w:bottom w:val="none" w:sz="0" w:space="0" w:color="auto"/>
                                <w:right w:val="none" w:sz="0" w:space="0" w:color="auto"/>
                              </w:divBdr>
                              <w:divsChild>
                                <w:div w:id="2053767959">
                                  <w:marLeft w:val="0"/>
                                  <w:marRight w:val="0"/>
                                  <w:marTop w:val="0"/>
                                  <w:marBottom w:val="0"/>
                                  <w:divBdr>
                                    <w:top w:val="none" w:sz="0" w:space="0" w:color="auto"/>
                                    <w:left w:val="none" w:sz="0" w:space="0" w:color="auto"/>
                                    <w:bottom w:val="none" w:sz="0" w:space="0" w:color="auto"/>
                                    <w:right w:val="none" w:sz="0" w:space="0" w:color="auto"/>
                                  </w:divBdr>
                                  <w:divsChild>
                                    <w:div w:id="900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5127">
                              <w:marLeft w:val="0"/>
                              <w:marRight w:val="0"/>
                              <w:marTop w:val="0"/>
                              <w:marBottom w:val="0"/>
                              <w:divBdr>
                                <w:top w:val="none" w:sz="0" w:space="0" w:color="auto"/>
                                <w:left w:val="none" w:sz="0" w:space="0" w:color="auto"/>
                                <w:bottom w:val="none" w:sz="0" w:space="0" w:color="auto"/>
                                <w:right w:val="none" w:sz="0" w:space="0" w:color="auto"/>
                              </w:divBdr>
                              <w:divsChild>
                                <w:div w:id="1050614057">
                                  <w:marLeft w:val="0"/>
                                  <w:marRight w:val="0"/>
                                  <w:marTop w:val="0"/>
                                  <w:marBottom w:val="0"/>
                                  <w:divBdr>
                                    <w:top w:val="none" w:sz="0" w:space="0" w:color="auto"/>
                                    <w:left w:val="none" w:sz="0" w:space="0" w:color="auto"/>
                                    <w:bottom w:val="none" w:sz="0" w:space="0" w:color="auto"/>
                                    <w:right w:val="none" w:sz="0" w:space="0" w:color="auto"/>
                                  </w:divBdr>
                                  <w:divsChild>
                                    <w:div w:id="785856941">
                                      <w:marLeft w:val="0"/>
                                      <w:marRight w:val="0"/>
                                      <w:marTop w:val="0"/>
                                      <w:marBottom w:val="0"/>
                                      <w:divBdr>
                                        <w:top w:val="none" w:sz="0" w:space="0" w:color="auto"/>
                                        <w:left w:val="none" w:sz="0" w:space="0" w:color="auto"/>
                                        <w:bottom w:val="none" w:sz="0" w:space="0" w:color="auto"/>
                                        <w:right w:val="none" w:sz="0" w:space="0" w:color="auto"/>
                                      </w:divBdr>
                                      <w:divsChild>
                                        <w:div w:id="329798469">
                                          <w:marLeft w:val="0"/>
                                          <w:marRight w:val="0"/>
                                          <w:marTop w:val="0"/>
                                          <w:marBottom w:val="0"/>
                                          <w:divBdr>
                                            <w:top w:val="none" w:sz="0" w:space="0" w:color="auto"/>
                                            <w:left w:val="none" w:sz="0" w:space="0" w:color="auto"/>
                                            <w:bottom w:val="none" w:sz="0" w:space="0" w:color="auto"/>
                                            <w:right w:val="none" w:sz="0" w:space="0" w:color="auto"/>
                                          </w:divBdr>
                                          <w:divsChild>
                                            <w:div w:id="454369794">
                                              <w:marLeft w:val="0"/>
                                              <w:marRight w:val="0"/>
                                              <w:marTop w:val="0"/>
                                              <w:marBottom w:val="0"/>
                                              <w:divBdr>
                                                <w:top w:val="none" w:sz="0" w:space="0" w:color="auto"/>
                                                <w:left w:val="none" w:sz="0" w:space="0" w:color="auto"/>
                                                <w:bottom w:val="none" w:sz="0" w:space="0" w:color="auto"/>
                                                <w:right w:val="none" w:sz="0" w:space="0" w:color="auto"/>
                                              </w:divBdr>
                                              <w:divsChild>
                                                <w:div w:id="1904176700">
                                                  <w:marLeft w:val="0"/>
                                                  <w:marRight w:val="0"/>
                                                  <w:marTop w:val="0"/>
                                                  <w:marBottom w:val="0"/>
                                                  <w:divBdr>
                                                    <w:top w:val="none" w:sz="0" w:space="0" w:color="auto"/>
                                                    <w:left w:val="none" w:sz="0" w:space="0" w:color="auto"/>
                                                    <w:bottom w:val="none" w:sz="0" w:space="0" w:color="auto"/>
                                                    <w:right w:val="none" w:sz="0" w:space="0" w:color="auto"/>
                                                  </w:divBdr>
                                                  <w:divsChild>
                                                    <w:div w:id="9964166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17238571">
                                              <w:marLeft w:val="0"/>
                                              <w:marRight w:val="0"/>
                                              <w:marTop w:val="0"/>
                                              <w:marBottom w:val="0"/>
                                              <w:divBdr>
                                                <w:top w:val="none" w:sz="0" w:space="0" w:color="auto"/>
                                                <w:left w:val="none" w:sz="0" w:space="0" w:color="auto"/>
                                                <w:bottom w:val="none" w:sz="0" w:space="0" w:color="auto"/>
                                                <w:right w:val="none" w:sz="0" w:space="0" w:color="auto"/>
                                              </w:divBdr>
                                            </w:div>
                                            <w:div w:id="1195969105">
                                              <w:marLeft w:val="0"/>
                                              <w:marRight w:val="0"/>
                                              <w:marTop w:val="0"/>
                                              <w:marBottom w:val="0"/>
                                              <w:divBdr>
                                                <w:top w:val="none" w:sz="0" w:space="0" w:color="auto"/>
                                                <w:left w:val="none" w:sz="0" w:space="0" w:color="auto"/>
                                                <w:bottom w:val="none" w:sz="0" w:space="0" w:color="auto"/>
                                                <w:right w:val="none" w:sz="0" w:space="0" w:color="auto"/>
                                              </w:divBdr>
                                            </w:div>
                                            <w:div w:id="1124033501">
                                              <w:marLeft w:val="0"/>
                                              <w:marRight w:val="0"/>
                                              <w:marTop w:val="0"/>
                                              <w:marBottom w:val="0"/>
                                              <w:divBdr>
                                                <w:top w:val="none" w:sz="0" w:space="0" w:color="auto"/>
                                                <w:left w:val="none" w:sz="0" w:space="0" w:color="auto"/>
                                                <w:bottom w:val="none" w:sz="0" w:space="0" w:color="auto"/>
                                                <w:right w:val="none" w:sz="0" w:space="0" w:color="auto"/>
                                              </w:divBdr>
                                            </w:div>
                                            <w:div w:id="15454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03110">
                                  <w:marLeft w:val="0"/>
                                  <w:marRight w:val="0"/>
                                  <w:marTop w:val="0"/>
                                  <w:marBottom w:val="0"/>
                                  <w:divBdr>
                                    <w:top w:val="none" w:sz="0" w:space="0" w:color="auto"/>
                                    <w:left w:val="none" w:sz="0" w:space="0" w:color="auto"/>
                                    <w:bottom w:val="none" w:sz="0" w:space="0" w:color="auto"/>
                                    <w:right w:val="none" w:sz="0" w:space="0" w:color="auto"/>
                                  </w:divBdr>
                                  <w:divsChild>
                                    <w:div w:id="2128618660">
                                      <w:marLeft w:val="0"/>
                                      <w:marRight w:val="0"/>
                                      <w:marTop w:val="0"/>
                                      <w:marBottom w:val="0"/>
                                      <w:divBdr>
                                        <w:top w:val="none" w:sz="0" w:space="0" w:color="auto"/>
                                        <w:left w:val="none" w:sz="0" w:space="0" w:color="auto"/>
                                        <w:bottom w:val="none" w:sz="0" w:space="0" w:color="auto"/>
                                        <w:right w:val="none" w:sz="0" w:space="0" w:color="auto"/>
                                      </w:divBdr>
                                      <w:divsChild>
                                        <w:div w:id="1963026489">
                                          <w:marLeft w:val="0"/>
                                          <w:marRight w:val="0"/>
                                          <w:marTop w:val="0"/>
                                          <w:marBottom w:val="0"/>
                                          <w:divBdr>
                                            <w:top w:val="none" w:sz="0" w:space="0" w:color="auto"/>
                                            <w:left w:val="none" w:sz="0" w:space="0" w:color="auto"/>
                                            <w:bottom w:val="none" w:sz="0" w:space="0" w:color="auto"/>
                                            <w:right w:val="none" w:sz="0" w:space="0" w:color="auto"/>
                                          </w:divBdr>
                                          <w:divsChild>
                                            <w:div w:id="1335037754">
                                              <w:marLeft w:val="0"/>
                                              <w:marRight w:val="0"/>
                                              <w:marTop w:val="0"/>
                                              <w:marBottom w:val="0"/>
                                              <w:divBdr>
                                                <w:top w:val="none" w:sz="0" w:space="0" w:color="auto"/>
                                                <w:left w:val="none" w:sz="0" w:space="0" w:color="auto"/>
                                                <w:bottom w:val="none" w:sz="0" w:space="0" w:color="auto"/>
                                                <w:right w:val="none" w:sz="0" w:space="0" w:color="auto"/>
                                              </w:divBdr>
                                              <w:divsChild>
                                                <w:div w:id="1391660021">
                                                  <w:marLeft w:val="0"/>
                                                  <w:marRight w:val="0"/>
                                                  <w:marTop w:val="0"/>
                                                  <w:marBottom w:val="0"/>
                                                  <w:divBdr>
                                                    <w:top w:val="none" w:sz="0" w:space="0" w:color="auto"/>
                                                    <w:left w:val="none" w:sz="0" w:space="0" w:color="auto"/>
                                                    <w:bottom w:val="none" w:sz="0" w:space="0" w:color="auto"/>
                                                    <w:right w:val="none" w:sz="0" w:space="0" w:color="auto"/>
                                                  </w:divBdr>
                                                  <w:divsChild>
                                                    <w:div w:id="108510873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91154113">
                                              <w:marLeft w:val="0"/>
                                              <w:marRight w:val="0"/>
                                              <w:marTop w:val="0"/>
                                              <w:marBottom w:val="0"/>
                                              <w:divBdr>
                                                <w:top w:val="none" w:sz="0" w:space="0" w:color="auto"/>
                                                <w:left w:val="none" w:sz="0" w:space="0" w:color="auto"/>
                                                <w:bottom w:val="none" w:sz="0" w:space="0" w:color="auto"/>
                                                <w:right w:val="none" w:sz="0" w:space="0" w:color="auto"/>
                                              </w:divBdr>
                                            </w:div>
                                            <w:div w:id="186718923">
                                              <w:marLeft w:val="0"/>
                                              <w:marRight w:val="0"/>
                                              <w:marTop w:val="0"/>
                                              <w:marBottom w:val="0"/>
                                              <w:divBdr>
                                                <w:top w:val="none" w:sz="0" w:space="0" w:color="auto"/>
                                                <w:left w:val="none" w:sz="0" w:space="0" w:color="auto"/>
                                                <w:bottom w:val="none" w:sz="0" w:space="0" w:color="auto"/>
                                                <w:right w:val="none" w:sz="0" w:space="0" w:color="auto"/>
                                              </w:divBdr>
                                            </w:div>
                                            <w:div w:id="1279489951">
                                              <w:marLeft w:val="0"/>
                                              <w:marRight w:val="0"/>
                                              <w:marTop w:val="0"/>
                                              <w:marBottom w:val="0"/>
                                              <w:divBdr>
                                                <w:top w:val="none" w:sz="0" w:space="0" w:color="auto"/>
                                                <w:left w:val="none" w:sz="0" w:space="0" w:color="auto"/>
                                                <w:bottom w:val="none" w:sz="0" w:space="0" w:color="auto"/>
                                                <w:right w:val="none" w:sz="0" w:space="0" w:color="auto"/>
                                              </w:divBdr>
                                            </w:div>
                                            <w:div w:id="12847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8165">
                                  <w:marLeft w:val="0"/>
                                  <w:marRight w:val="0"/>
                                  <w:marTop w:val="0"/>
                                  <w:marBottom w:val="0"/>
                                  <w:divBdr>
                                    <w:top w:val="none" w:sz="0" w:space="0" w:color="auto"/>
                                    <w:left w:val="none" w:sz="0" w:space="0" w:color="auto"/>
                                    <w:bottom w:val="none" w:sz="0" w:space="0" w:color="auto"/>
                                    <w:right w:val="none" w:sz="0" w:space="0" w:color="auto"/>
                                  </w:divBdr>
                                  <w:divsChild>
                                    <w:div w:id="38433745">
                                      <w:marLeft w:val="0"/>
                                      <w:marRight w:val="0"/>
                                      <w:marTop w:val="0"/>
                                      <w:marBottom w:val="0"/>
                                      <w:divBdr>
                                        <w:top w:val="none" w:sz="0" w:space="0" w:color="auto"/>
                                        <w:left w:val="none" w:sz="0" w:space="0" w:color="auto"/>
                                        <w:bottom w:val="none" w:sz="0" w:space="0" w:color="auto"/>
                                        <w:right w:val="none" w:sz="0" w:space="0" w:color="auto"/>
                                      </w:divBdr>
                                      <w:divsChild>
                                        <w:div w:id="1578711007">
                                          <w:marLeft w:val="0"/>
                                          <w:marRight w:val="0"/>
                                          <w:marTop w:val="0"/>
                                          <w:marBottom w:val="0"/>
                                          <w:divBdr>
                                            <w:top w:val="none" w:sz="0" w:space="0" w:color="auto"/>
                                            <w:left w:val="none" w:sz="0" w:space="0" w:color="auto"/>
                                            <w:bottom w:val="none" w:sz="0" w:space="0" w:color="auto"/>
                                            <w:right w:val="none" w:sz="0" w:space="0" w:color="auto"/>
                                          </w:divBdr>
                                          <w:divsChild>
                                            <w:div w:id="1799686902">
                                              <w:marLeft w:val="0"/>
                                              <w:marRight w:val="0"/>
                                              <w:marTop w:val="0"/>
                                              <w:marBottom w:val="0"/>
                                              <w:divBdr>
                                                <w:top w:val="none" w:sz="0" w:space="0" w:color="auto"/>
                                                <w:left w:val="none" w:sz="0" w:space="0" w:color="auto"/>
                                                <w:bottom w:val="none" w:sz="0" w:space="0" w:color="auto"/>
                                                <w:right w:val="none" w:sz="0" w:space="0" w:color="auto"/>
                                              </w:divBdr>
                                              <w:divsChild>
                                                <w:div w:id="940458395">
                                                  <w:marLeft w:val="0"/>
                                                  <w:marRight w:val="0"/>
                                                  <w:marTop w:val="0"/>
                                                  <w:marBottom w:val="0"/>
                                                  <w:divBdr>
                                                    <w:top w:val="none" w:sz="0" w:space="0" w:color="auto"/>
                                                    <w:left w:val="none" w:sz="0" w:space="0" w:color="auto"/>
                                                    <w:bottom w:val="none" w:sz="0" w:space="0" w:color="auto"/>
                                                    <w:right w:val="none" w:sz="0" w:space="0" w:color="auto"/>
                                                  </w:divBdr>
                                                  <w:divsChild>
                                                    <w:div w:id="7082647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9369601">
                                              <w:marLeft w:val="0"/>
                                              <w:marRight w:val="0"/>
                                              <w:marTop w:val="0"/>
                                              <w:marBottom w:val="0"/>
                                              <w:divBdr>
                                                <w:top w:val="none" w:sz="0" w:space="0" w:color="auto"/>
                                                <w:left w:val="none" w:sz="0" w:space="0" w:color="auto"/>
                                                <w:bottom w:val="none" w:sz="0" w:space="0" w:color="auto"/>
                                                <w:right w:val="none" w:sz="0" w:space="0" w:color="auto"/>
                                              </w:divBdr>
                                            </w:div>
                                            <w:div w:id="400182022">
                                              <w:marLeft w:val="0"/>
                                              <w:marRight w:val="0"/>
                                              <w:marTop w:val="0"/>
                                              <w:marBottom w:val="0"/>
                                              <w:divBdr>
                                                <w:top w:val="none" w:sz="0" w:space="0" w:color="auto"/>
                                                <w:left w:val="none" w:sz="0" w:space="0" w:color="auto"/>
                                                <w:bottom w:val="none" w:sz="0" w:space="0" w:color="auto"/>
                                                <w:right w:val="none" w:sz="0" w:space="0" w:color="auto"/>
                                              </w:divBdr>
                                            </w:div>
                                            <w:div w:id="1620406934">
                                              <w:marLeft w:val="0"/>
                                              <w:marRight w:val="0"/>
                                              <w:marTop w:val="0"/>
                                              <w:marBottom w:val="0"/>
                                              <w:divBdr>
                                                <w:top w:val="none" w:sz="0" w:space="0" w:color="auto"/>
                                                <w:left w:val="none" w:sz="0" w:space="0" w:color="auto"/>
                                                <w:bottom w:val="none" w:sz="0" w:space="0" w:color="auto"/>
                                                <w:right w:val="none" w:sz="0" w:space="0" w:color="auto"/>
                                              </w:divBdr>
                                            </w:div>
                                            <w:div w:id="6056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6208">
                                  <w:marLeft w:val="0"/>
                                  <w:marRight w:val="0"/>
                                  <w:marTop w:val="0"/>
                                  <w:marBottom w:val="0"/>
                                  <w:divBdr>
                                    <w:top w:val="none" w:sz="0" w:space="0" w:color="auto"/>
                                    <w:left w:val="none" w:sz="0" w:space="0" w:color="auto"/>
                                    <w:bottom w:val="none" w:sz="0" w:space="0" w:color="auto"/>
                                    <w:right w:val="none" w:sz="0" w:space="0" w:color="auto"/>
                                  </w:divBdr>
                                  <w:divsChild>
                                    <w:div w:id="20059564">
                                      <w:marLeft w:val="0"/>
                                      <w:marRight w:val="0"/>
                                      <w:marTop w:val="0"/>
                                      <w:marBottom w:val="0"/>
                                      <w:divBdr>
                                        <w:top w:val="none" w:sz="0" w:space="0" w:color="auto"/>
                                        <w:left w:val="none" w:sz="0" w:space="0" w:color="auto"/>
                                        <w:bottom w:val="none" w:sz="0" w:space="0" w:color="auto"/>
                                        <w:right w:val="none" w:sz="0" w:space="0" w:color="auto"/>
                                      </w:divBdr>
                                      <w:divsChild>
                                        <w:div w:id="828447422">
                                          <w:marLeft w:val="0"/>
                                          <w:marRight w:val="0"/>
                                          <w:marTop w:val="0"/>
                                          <w:marBottom w:val="0"/>
                                          <w:divBdr>
                                            <w:top w:val="none" w:sz="0" w:space="0" w:color="auto"/>
                                            <w:left w:val="none" w:sz="0" w:space="0" w:color="auto"/>
                                            <w:bottom w:val="none" w:sz="0" w:space="0" w:color="auto"/>
                                            <w:right w:val="none" w:sz="0" w:space="0" w:color="auto"/>
                                          </w:divBdr>
                                          <w:divsChild>
                                            <w:div w:id="1019161986">
                                              <w:marLeft w:val="0"/>
                                              <w:marRight w:val="0"/>
                                              <w:marTop w:val="0"/>
                                              <w:marBottom w:val="0"/>
                                              <w:divBdr>
                                                <w:top w:val="none" w:sz="0" w:space="0" w:color="auto"/>
                                                <w:left w:val="none" w:sz="0" w:space="0" w:color="auto"/>
                                                <w:bottom w:val="none" w:sz="0" w:space="0" w:color="auto"/>
                                                <w:right w:val="none" w:sz="0" w:space="0" w:color="auto"/>
                                              </w:divBdr>
                                              <w:divsChild>
                                                <w:div w:id="1066412940">
                                                  <w:marLeft w:val="0"/>
                                                  <w:marRight w:val="0"/>
                                                  <w:marTop w:val="0"/>
                                                  <w:marBottom w:val="0"/>
                                                  <w:divBdr>
                                                    <w:top w:val="none" w:sz="0" w:space="0" w:color="auto"/>
                                                    <w:left w:val="none" w:sz="0" w:space="0" w:color="auto"/>
                                                    <w:bottom w:val="none" w:sz="0" w:space="0" w:color="auto"/>
                                                    <w:right w:val="none" w:sz="0" w:space="0" w:color="auto"/>
                                                  </w:divBdr>
                                                  <w:divsChild>
                                                    <w:div w:id="6340277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26691147">
                                              <w:marLeft w:val="0"/>
                                              <w:marRight w:val="0"/>
                                              <w:marTop w:val="0"/>
                                              <w:marBottom w:val="0"/>
                                              <w:divBdr>
                                                <w:top w:val="none" w:sz="0" w:space="0" w:color="auto"/>
                                                <w:left w:val="none" w:sz="0" w:space="0" w:color="auto"/>
                                                <w:bottom w:val="none" w:sz="0" w:space="0" w:color="auto"/>
                                                <w:right w:val="none" w:sz="0" w:space="0" w:color="auto"/>
                                              </w:divBdr>
                                            </w:div>
                                            <w:div w:id="591544872">
                                              <w:marLeft w:val="0"/>
                                              <w:marRight w:val="0"/>
                                              <w:marTop w:val="0"/>
                                              <w:marBottom w:val="0"/>
                                              <w:divBdr>
                                                <w:top w:val="none" w:sz="0" w:space="0" w:color="auto"/>
                                                <w:left w:val="none" w:sz="0" w:space="0" w:color="auto"/>
                                                <w:bottom w:val="none" w:sz="0" w:space="0" w:color="auto"/>
                                                <w:right w:val="none" w:sz="0" w:space="0" w:color="auto"/>
                                              </w:divBdr>
                                            </w:div>
                                            <w:div w:id="1268200554">
                                              <w:marLeft w:val="0"/>
                                              <w:marRight w:val="0"/>
                                              <w:marTop w:val="0"/>
                                              <w:marBottom w:val="0"/>
                                              <w:divBdr>
                                                <w:top w:val="none" w:sz="0" w:space="0" w:color="auto"/>
                                                <w:left w:val="none" w:sz="0" w:space="0" w:color="auto"/>
                                                <w:bottom w:val="none" w:sz="0" w:space="0" w:color="auto"/>
                                                <w:right w:val="none" w:sz="0" w:space="0" w:color="auto"/>
                                              </w:divBdr>
                                            </w:div>
                                            <w:div w:id="9327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1394">
                                  <w:marLeft w:val="0"/>
                                  <w:marRight w:val="0"/>
                                  <w:marTop w:val="0"/>
                                  <w:marBottom w:val="0"/>
                                  <w:divBdr>
                                    <w:top w:val="none" w:sz="0" w:space="0" w:color="auto"/>
                                    <w:left w:val="none" w:sz="0" w:space="0" w:color="auto"/>
                                    <w:bottom w:val="none" w:sz="0" w:space="0" w:color="auto"/>
                                    <w:right w:val="none" w:sz="0" w:space="0" w:color="auto"/>
                                  </w:divBdr>
                                  <w:divsChild>
                                    <w:div w:id="1083255190">
                                      <w:marLeft w:val="0"/>
                                      <w:marRight w:val="0"/>
                                      <w:marTop w:val="0"/>
                                      <w:marBottom w:val="0"/>
                                      <w:divBdr>
                                        <w:top w:val="none" w:sz="0" w:space="0" w:color="auto"/>
                                        <w:left w:val="none" w:sz="0" w:space="0" w:color="auto"/>
                                        <w:bottom w:val="none" w:sz="0" w:space="0" w:color="auto"/>
                                        <w:right w:val="none" w:sz="0" w:space="0" w:color="auto"/>
                                      </w:divBdr>
                                      <w:divsChild>
                                        <w:div w:id="2136898714">
                                          <w:marLeft w:val="0"/>
                                          <w:marRight w:val="0"/>
                                          <w:marTop w:val="0"/>
                                          <w:marBottom w:val="0"/>
                                          <w:divBdr>
                                            <w:top w:val="none" w:sz="0" w:space="0" w:color="auto"/>
                                            <w:left w:val="none" w:sz="0" w:space="0" w:color="auto"/>
                                            <w:bottom w:val="none" w:sz="0" w:space="0" w:color="auto"/>
                                            <w:right w:val="none" w:sz="0" w:space="0" w:color="auto"/>
                                          </w:divBdr>
                                          <w:divsChild>
                                            <w:div w:id="717169259">
                                              <w:marLeft w:val="0"/>
                                              <w:marRight w:val="0"/>
                                              <w:marTop w:val="0"/>
                                              <w:marBottom w:val="0"/>
                                              <w:divBdr>
                                                <w:top w:val="none" w:sz="0" w:space="0" w:color="auto"/>
                                                <w:left w:val="none" w:sz="0" w:space="0" w:color="auto"/>
                                                <w:bottom w:val="none" w:sz="0" w:space="0" w:color="auto"/>
                                                <w:right w:val="none" w:sz="0" w:space="0" w:color="auto"/>
                                              </w:divBdr>
                                              <w:divsChild>
                                                <w:div w:id="1671906436">
                                                  <w:marLeft w:val="0"/>
                                                  <w:marRight w:val="0"/>
                                                  <w:marTop w:val="0"/>
                                                  <w:marBottom w:val="0"/>
                                                  <w:divBdr>
                                                    <w:top w:val="none" w:sz="0" w:space="0" w:color="auto"/>
                                                    <w:left w:val="none" w:sz="0" w:space="0" w:color="auto"/>
                                                    <w:bottom w:val="none" w:sz="0" w:space="0" w:color="auto"/>
                                                    <w:right w:val="none" w:sz="0" w:space="0" w:color="auto"/>
                                                  </w:divBdr>
                                                  <w:divsChild>
                                                    <w:div w:id="778065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78579263">
                                              <w:marLeft w:val="0"/>
                                              <w:marRight w:val="0"/>
                                              <w:marTop w:val="0"/>
                                              <w:marBottom w:val="0"/>
                                              <w:divBdr>
                                                <w:top w:val="none" w:sz="0" w:space="0" w:color="auto"/>
                                                <w:left w:val="none" w:sz="0" w:space="0" w:color="auto"/>
                                                <w:bottom w:val="none" w:sz="0" w:space="0" w:color="auto"/>
                                                <w:right w:val="none" w:sz="0" w:space="0" w:color="auto"/>
                                              </w:divBdr>
                                            </w:div>
                                            <w:div w:id="1718355067">
                                              <w:marLeft w:val="0"/>
                                              <w:marRight w:val="0"/>
                                              <w:marTop w:val="0"/>
                                              <w:marBottom w:val="0"/>
                                              <w:divBdr>
                                                <w:top w:val="none" w:sz="0" w:space="0" w:color="auto"/>
                                                <w:left w:val="none" w:sz="0" w:space="0" w:color="auto"/>
                                                <w:bottom w:val="none" w:sz="0" w:space="0" w:color="auto"/>
                                                <w:right w:val="none" w:sz="0" w:space="0" w:color="auto"/>
                                              </w:divBdr>
                                            </w:div>
                                            <w:div w:id="1062414047">
                                              <w:marLeft w:val="0"/>
                                              <w:marRight w:val="0"/>
                                              <w:marTop w:val="0"/>
                                              <w:marBottom w:val="0"/>
                                              <w:divBdr>
                                                <w:top w:val="none" w:sz="0" w:space="0" w:color="auto"/>
                                                <w:left w:val="none" w:sz="0" w:space="0" w:color="auto"/>
                                                <w:bottom w:val="none" w:sz="0" w:space="0" w:color="auto"/>
                                                <w:right w:val="none" w:sz="0" w:space="0" w:color="auto"/>
                                              </w:divBdr>
                                            </w:div>
                                            <w:div w:id="19853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22161">
                              <w:marLeft w:val="0"/>
                              <w:marRight w:val="0"/>
                              <w:marTop w:val="0"/>
                              <w:marBottom w:val="0"/>
                              <w:divBdr>
                                <w:top w:val="none" w:sz="0" w:space="0" w:color="auto"/>
                                <w:left w:val="none" w:sz="0" w:space="0" w:color="auto"/>
                                <w:bottom w:val="none" w:sz="0" w:space="0" w:color="auto"/>
                                <w:right w:val="none" w:sz="0" w:space="0" w:color="auto"/>
                              </w:divBdr>
                              <w:divsChild>
                                <w:div w:id="190995481">
                                  <w:marLeft w:val="0"/>
                                  <w:marRight w:val="0"/>
                                  <w:marTop w:val="0"/>
                                  <w:marBottom w:val="0"/>
                                  <w:divBdr>
                                    <w:top w:val="none" w:sz="0" w:space="0" w:color="auto"/>
                                    <w:left w:val="none" w:sz="0" w:space="0" w:color="auto"/>
                                    <w:bottom w:val="none" w:sz="0" w:space="0" w:color="auto"/>
                                    <w:right w:val="none" w:sz="0" w:space="0" w:color="auto"/>
                                  </w:divBdr>
                                  <w:divsChild>
                                    <w:div w:id="8817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3795">
                              <w:marLeft w:val="0"/>
                              <w:marRight w:val="0"/>
                              <w:marTop w:val="0"/>
                              <w:marBottom w:val="0"/>
                              <w:divBdr>
                                <w:top w:val="none" w:sz="0" w:space="0" w:color="auto"/>
                                <w:left w:val="none" w:sz="0" w:space="0" w:color="auto"/>
                                <w:bottom w:val="none" w:sz="0" w:space="0" w:color="auto"/>
                                <w:right w:val="none" w:sz="0" w:space="0" w:color="auto"/>
                              </w:divBdr>
                              <w:divsChild>
                                <w:div w:id="1152061894">
                                  <w:marLeft w:val="0"/>
                                  <w:marRight w:val="0"/>
                                  <w:marTop w:val="0"/>
                                  <w:marBottom w:val="0"/>
                                  <w:divBdr>
                                    <w:top w:val="none" w:sz="0" w:space="0" w:color="auto"/>
                                    <w:left w:val="none" w:sz="0" w:space="0" w:color="auto"/>
                                    <w:bottom w:val="none" w:sz="0" w:space="0" w:color="auto"/>
                                    <w:right w:val="none" w:sz="0" w:space="0" w:color="auto"/>
                                  </w:divBdr>
                                  <w:divsChild>
                                    <w:div w:id="1463421708">
                                      <w:marLeft w:val="0"/>
                                      <w:marRight w:val="0"/>
                                      <w:marTop w:val="0"/>
                                      <w:marBottom w:val="0"/>
                                      <w:divBdr>
                                        <w:top w:val="none" w:sz="0" w:space="0" w:color="auto"/>
                                        <w:left w:val="none" w:sz="0" w:space="0" w:color="auto"/>
                                        <w:bottom w:val="none" w:sz="0" w:space="0" w:color="auto"/>
                                        <w:right w:val="none" w:sz="0" w:space="0" w:color="auto"/>
                                      </w:divBdr>
                                      <w:divsChild>
                                        <w:div w:id="140926424">
                                          <w:marLeft w:val="0"/>
                                          <w:marRight w:val="0"/>
                                          <w:marTop w:val="0"/>
                                          <w:marBottom w:val="0"/>
                                          <w:divBdr>
                                            <w:top w:val="none" w:sz="0" w:space="0" w:color="auto"/>
                                            <w:left w:val="none" w:sz="0" w:space="0" w:color="auto"/>
                                            <w:bottom w:val="none" w:sz="0" w:space="0" w:color="auto"/>
                                            <w:right w:val="none" w:sz="0" w:space="0" w:color="auto"/>
                                          </w:divBdr>
                                          <w:divsChild>
                                            <w:div w:id="673537778">
                                              <w:marLeft w:val="0"/>
                                              <w:marRight w:val="0"/>
                                              <w:marTop w:val="0"/>
                                              <w:marBottom w:val="0"/>
                                              <w:divBdr>
                                                <w:top w:val="none" w:sz="0" w:space="0" w:color="auto"/>
                                                <w:left w:val="none" w:sz="0" w:space="0" w:color="auto"/>
                                                <w:bottom w:val="none" w:sz="0" w:space="0" w:color="auto"/>
                                                <w:right w:val="none" w:sz="0" w:space="0" w:color="auto"/>
                                              </w:divBdr>
                                              <w:divsChild>
                                                <w:div w:id="869486808">
                                                  <w:marLeft w:val="0"/>
                                                  <w:marRight w:val="0"/>
                                                  <w:marTop w:val="0"/>
                                                  <w:marBottom w:val="0"/>
                                                  <w:divBdr>
                                                    <w:top w:val="none" w:sz="0" w:space="0" w:color="auto"/>
                                                    <w:left w:val="none" w:sz="0" w:space="0" w:color="auto"/>
                                                    <w:bottom w:val="none" w:sz="0" w:space="0" w:color="auto"/>
                                                    <w:right w:val="none" w:sz="0" w:space="0" w:color="auto"/>
                                                  </w:divBdr>
                                                  <w:divsChild>
                                                    <w:div w:id="1169950705">
                                                      <w:marLeft w:val="0"/>
                                                      <w:marRight w:val="0"/>
                                                      <w:marTop w:val="0"/>
                                                      <w:marBottom w:val="0"/>
                                                      <w:divBdr>
                                                        <w:top w:val="none" w:sz="0" w:space="0" w:color="auto"/>
                                                        <w:left w:val="none" w:sz="0" w:space="0" w:color="auto"/>
                                                        <w:bottom w:val="none" w:sz="0" w:space="0" w:color="auto"/>
                                                        <w:right w:val="none" w:sz="0" w:space="0" w:color="auto"/>
                                                      </w:divBdr>
                                                      <w:divsChild>
                                                        <w:div w:id="1974825956">
                                                          <w:marLeft w:val="0"/>
                                                          <w:marRight w:val="0"/>
                                                          <w:marTop w:val="0"/>
                                                          <w:marBottom w:val="0"/>
                                                          <w:divBdr>
                                                            <w:top w:val="none" w:sz="0" w:space="0" w:color="auto"/>
                                                            <w:left w:val="none" w:sz="0" w:space="0" w:color="auto"/>
                                                            <w:bottom w:val="none" w:sz="0" w:space="0" w:color="auto"/>
                                                            <w:right w:val="none" w:sz="0" w:space="0" w:color="auto"/>
                                                          </w:divBdr>
                                                        </w:div>
                                                        <w:div w:id="937520415">
                                                          <w:marLeft w:val="0"/>
                                                          <w:marRight w:val="0"/>
                                                          <w:marTop w:val="0"/>
                                                          <w:marBottom w:val="0"/>
                                                          <w:divBdr>
                                                            <w:top w:val="none" w:sz="0" w:space="0" w:color="auto"/>
                                                            <w:left w:val="none" w:sz="0" w:space="0" w:color="auto"/>
                                                            <w:bottom w:val="none" w:sz="0" w:space="0" w:color="auto"/>
                                                            <w:right w:val="none" w:sz="0" w:space="0" w:color="auto"/>
                                                          </w:divBdr>
                                                        </w:div>
                                                        <w:div w:id="414786398">
                                                          <w:marLeft w:val="0"/>
                                                          <w:marRight w:val="0"/>
                                                          <w:marTop w:val="0"/>
                                                          <w:marBottom w:val="0"/>
                                                          <w:divBdr>
                                                            <w:top w:val="none" w:sz="0" w:space="0" w:color="auto"/>
                                                            <w:left w:val="none" w:sz="0" w:space="0" w:color="auto"/>
                                                            <w:bottom w:val="none" w:sz="0" w:space="0" w:color="auto"/>
                                                            <w:right w:val="none" w:sz="0" w:space="0" w:color="auto"/>
                                                          </w:divBdr>
                                                        </w:div>
                                                        <w:div w:id="1685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6994">
                                                  <w:marLeft w:val="0"/>
                                                  <w:marRight w:val="0"/>
                                                  <w:marTop w:val="0"/>
                                                  <w:marBottom w:val="0"/>
                                                  <w:divBdr>
                                                    <w:top w:val="none" w:sz="0" w:space="0" w:color="auto"/>
                                                    <w:left w:val="none" w:sz="0" w:space="0" w:color="auto"/>
                                                    <w:bottom w:val="none" w:sz="0" w:space="0" w:color="auto"/>
                                                    <w:right w:val="none" w:sz="0" w:space="0" w:color="auto"/>
                                                  </w:divBdr>
                                                  <w:divsChild>
                                                    <w:div w:id="509956158">
                                                      <w:marLeft w:val="0"/>
                                                      <w:marRight w:val="0"/>
                                                      <w:marTop w:val="0"/>
                                                      <w:marBottom w:val="0"/>
                                                      <w:divBdr>
                                                        <w:top w:val="none" w:sz="0" w:space="0" w:color="auto"/>
                                                        <w:left w:val="none" w:sz="0" w:space="0" w:color="auto"/>
                                                        <w:bottom w:val="none" w:sz="0" w:space="0" w:color="auto"/>
                                                        <w:right w:val="none" w:sz="0" w:space="0" w:color="auto"/>
                                                      </w:divBdr>
                                                      <w:divsChild>
                                                        <w:div w:id="2000301512">
                                                          <w:marLeft w:val="0"/>
                                                          <w:marRight w:val="0"/>
                                                          <w:marTop w:val="0"/>
                                                          <w:marBottom w:val="0"/>
                                                          <w:divBdr>
                                                            <w:top w:val="none" w:sz="0" w:space="0" w:color="auto"/>
                                                            <w:left w:val="none" w:sz="0" w:space="0" w:color="auto"/>
                                                            <w:bottom w:val="none" w:sz="0" w:space="0" w:color="auto"/>
                                                            <w:right w:val="none" w:sz="0" w:space="0" w:color="auto"/>
                                                          </w:divBdr>
                                                        </w:div>
                                                        <w:div w:id="1692603904">
                                                          <w:marLeft w:val="0"/>
                                                          <w:marRight w:val="0"/>
                                                          <w:marTop w:val="0"/>
                                                          <w:marBottom w:val="0"/>
                                                          <w:divBdr>
                                                            <w:top w:val="none" w:sz="0" w:space="0" w:color="auto"/>
                                                            <w:left w:val="none" w:sz="0" w:space="0" w:color="auto"/>
                                                            <w:bottom w:val="none" w:sz="0" w:space="0" w:color="auto"/>
                                                            <w:right w:val="none" w:sz="0" w:space="0" w:color="auto"/>
                                                          </w:divBdr>
                                                        </w:div>
                                                        <w:div w:id="1111247683">
                                                          <w:marLeft w:val="0"/>
                                                          <w:marRight w:val="0"/>
                                                          <w:marTop w:val="0"/>
                                                          <w:marBottom w:val="0"/>
                                                          <w:divBdr>
                                                            <w:top w:val="none" w:sz="0" w:space="0" w:color="auto"/>
                                                            <w:left w:val="none" w:sz="0" w:space="0" w:color="auto"/>
                                                            <w:bottom w:val="none" w:sz="0" w:space="0" w:color="auto"/>
                                                            <w:right w:val="none" w:sz="0" w:space="0" w:color="auto"/>
                                                          </w:divBdr>
                                                        </w:div>
                                                        <w:div w:id="13107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4511">
                                                  <w:marLeft w:val="0"/>
                                                  <w:marRight w:val="0"/>
                                                  <w:marTop w:val="0"/>
                                                  <w:marBottom w:val="0"/>
                                                  <w:divBdr>
                                                    <w:top w:val="none" w:sz="0" w:space="0" w:color="auto"/>
                                                    <w:left w:val="none" w:sz="0" w:space="0" w:color="auto"/>
                                                    <w:bottom w:val="none" w:sz="0" w:space="0" w:color="auto"/>
                                                    <w:right w:val="none" w:sz="0" w:space="0" w:color="auto"/>
                                                  </w:divBdr>
                                                  <w:divsChild>
                                                    <w:div w:id="99615583">
                                                      <w:marLeft w:val="0"/>
                                                      <w:marRight w:val="0"/>
                                                      <w:marTop w:val="0"/>
                                                      <w:marBottom w:val="0"/>
                                                      <w:divBdr>
                                                        <w:top w:val="none" w:sz="0" w:space="0" w:color="auto"/>
                                                        <w:left w:val="none" w:sz="0" w:space="0" w:color="auto"/>
                                                        <w:bottom w:val="none" w:sz="0" w:space="0" w:color="auto"/>
                                                        <w:right w:val="none" w:sz="0" w:space="0" w:color="auto"/>
                                                      </w:divBdr>
                                                      <w:divsChild>
                                                        <w:div w:id="877166008">
                                                          <w:marLeft w:val="0"/>
                                                          <w:marRight w:val="0"/>
                                                          <w:marTop w:val="0"/>
                                                          <w:marBottom w:val="0"/>
                                                          <w:divBdr>
                                                            <w:top w:val="none" w:sz="0" w:space="0" w:color="auto"/>
                                                            <w:left w:val="none" w:sz="0" w:space="0" w:color="auto"/>
                                                            <w:bottom w:val="none" w:sz="0" w:space="0" w:color="auto"/>
                                                            <w:right w:val="none" w:sz="0" w:space="0" w:color="auto"/>
                                                          </w:divBdr>
                                                        </w:div>
                                                        <w:div w:id="1239705068">
                                                          <w:marLeft w:val="0"/>
                                                          <w:marRight w:val="0"/>
                                                          <w:marTop w:val="0"/>
                                                          <w:marBottom w:val="0"/>
                                                          <w:divBdr>
                                                            <w:top w:val="none" w:sz="0" w:space="0" w:color="auto"/>
                                                            <w:left w:val="none" w:sz="0" w:space="0" w:color="auto"/>
                                                            <w:bottom w:val="none" w:sz="0" w:space="0" w:color="auto"/>
                                                            <w:right w:val="none" w:sz="0" w:space="0" w:color="auto"/>
                                                          </w:divBdr>
                                                        </w:div>
                                                        <w:div w:id="981230184">
                                                          <w:marLeft w:val="0"/>
                                                          <w:marRight w:val="0"/>
                                                          <w:marTop w:val="0"/>
                                                          <w:marBottom w:val="0"/>
                                                          <w:divBdr>
                                                            <w:top w:val="none" w:sz="0" w:space="0" w:color="auto"/>
                                                            <w:left w:val="none" w:sz="0" w:space="0" w:color="auto"/>
                                                            <w:bottom w:val="none" w:sz="0" w:space="0" w:color="auto"/>
                                                            <w:right w:val="none" w:sz="0" w:space="0" w:color="auto"/>
                                                          </w:divBdr>
                                                        </w:div>
                                                        <w:div w:id="4823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48068">
                              <w:marLeft w:val="0"/>
                              <w:marRight w:val="0"/>
                              <w:marTop w:val="0"/>
                              <w:marBottom w:val="0"/>
                              <w:divBdr>
                                <w:top w:val="none" w:sz="0" w:space="0" w:color="auto"/>
                                <w:left w:val="none" w:sz="0" w:space="0" w:color="auto"/>
                                <w:bottom w:val="none" w:sz="0" w:space="0" w:color="auto"/>
                                <w:right w:val="none" w:sz="0" w:space="0" w:color="auto"/>
                              </w:divBdr>
                              <w:divsChild>
                                <w:div w:id="1483740016">
                                  <w:marLeft w:val="0"/>
                                  <w:marRight w:val="0"/>
                                  <w:marTop w:val="0"/>
                                  <w:marBottom w:val="0"/>
                                  <w:divBdr>
                                    <w:top w:val="none" w:sz="0" w:space="0" w:color="auto"/>
                                    <w:left w:val="none" w:sz="0" w:space="0" w:color="auto"/>
                                    <w:bottom w:val="none" w:sz="0" w:space="0" w:color="auto"/>
                                    <w:right w:val="none" w:sz="0" w:space="0" w:color="auto"/>
                                  </w:divBdr>
                                  <w:divsChild>
                                    <w:div w:id="1562405057">
                                      <w:marLeft w:val="0"/>
                                      <w:marRight w:val="0"/>
                                      <w:marTop w:val="0"/>
                                      <w:marBottom w:val="0"/>
                                      <w:divBdr>
                                        <w:top w:val="none" w:sz="0" w:space="0" w:color="auto"/>
                                        <w:left w:val="none" w:sz="0" w:space="0" w:color="auto"/>
                                        <w:bottom w:val="none" w:sz="0" w:space="0" w:color="auto"/>
                                        <w:right w:val="none" w:sz="0" w:space="0" w:color="auto"/>
                                      </w:divBdr>
                                      <w:divsChild>
                                        <w:div w:id="741409728">
                                          <w:marLeft w:val="0"/>
                                          <w:marRight w:val="0"/>
                                          <w:marTop w:val="0"/>
                                          <w:marBottom w:val="0"/>
                                          <w:divBdr>
                                            <w:top w:val="none" w:sz="0" w:space="0" w:color="auto"/>
                                            <w:left w:val="none" w:sz="0" w:space="0" w:color="auto"/>
                                            <w:bottom w:val="none" w:sz="0" w:space="0" w:color="auto"/>
                                            <w:right w:val="none" w:sz="0" w:space="0" w:color="auto"/>
                                          </w:divBdr>
                                          <w:divsChild>
                                            <w:div w:id="8475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2425">
                              <w:marLeft w:val="0"/>
                              <w:marRight w:val="0"/>
                              <w:marTop w:val="0"/>
                              <w:marBottom w:val="0"/>
                              <w:divBdr>
                                <w:top w:val="none" w:sz="0" w:space="0" w:color="auto"/>
                                <w:left w:val="none" w:sz="0" w:space="0" w:color="auto"/>
                                <w:bottom w:val="none" w:sz="0" w:space="0" w:color="auto"/>
                                <w:right w:val="none" w:sz="0" w:space="0" w:color="auto"/>
                              </w:divBdr>
                              <w:divsChild>
                                <w:div w:id="1534539348">
                                  <w:marLeft w:val="0"/>
                                  <w:marRight w:val="0"/>
                                  <w:marTop w:val="0"/>
                                  <w:marBottom w:val="0"/>
                                  <w:divBdr>
                                    <w:top w:val="none" w:sz="0" w:space="0" w:color="auto"/>
                                    <w:left w:val="none" w:sz="0" w:space="0" w:color="auto"/>
                                    <w:bottom w:val="none" w:sz="0" w:space="0" w:color="auto"/>
                                    <w:right w:val="none" w:sz="0" w:space="0" w:color="auto"/>
                                  </w:divBdr>
                                  <w:divsChild>
                                    <w:div w:id="1466315048">
                                      <w:marLeft w:val="0"/>
                                      <w:marRight w:val="0"/>
                                      <w:marTop w:val="0"/>
                                      <w:marBottom w:val="0"/>
                                      <w:divBdr>
                                        <w:top w:val="none" w:sz="0" w:space="0" w:color="auto"/>
                                        <w:left w:val="none" w:sz="0" w:space="0" w:color="auto"/>
                                        <w:bottom w:val="none" w:sz="0" w:space="0" w:color="auto"/>
                                        <w:right w:val="none" w:sz="0" w:space="0" w:color="auto"/>
                                      </w:divBdr>
                                      <w:divsChild>
                                        <w:div w:id="8192711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83861">
          <w:marLeft w:val="0"/>
          <w:marRight w:val="0"/>
          <w:marTop w:val="0"/>
          <w:marBottom w:val="0"/>
          <w:divBdr>
            <w:top w:val="single" w:sz="6" w:space="4" w:color="FFFFFF"/>
            <w:left w:val="single" w:sz="6" w:space="8" w:color="FFFFFF"/>
            <w:bottom w:val="single" w:sz="6" w:space="4" w:color="FFFFFF"/>
            <w:right w:val="single" w:sz="6" w:space="8" w:color="FFFFFF"/>
          </w:divBdr>
        </w:div>
      </w:divsChild>
    </w:div>
    <w:div w:id="1535776159">
      <w:bodyDiv w:val="1"/>
      <w:marLeft w:val="0"/>
      <w:marRight w:val="0"/>
      <w:marTop w:val="0"/>
      <w:marBottom w:val="0"/>
      <w:divBdr>
        <w:top w:val="none" w:sz="0" w:space="0" w:color="auto"/>
        <w:left w:val="none" w:sz="0" w:space="0" w:color="auto"/>
        <w:bottom w:val="none" w:sz="0" w:space="0" w:color="auto"/>
        <w:right w:val="none" w:sz="0" w:space="0" w:color="auto"/>
      </w:divBdr>
      <w:divsChild>
        <w:div w:id="303586016">
          <w:marLeft w:val="0"/>
          <w:marRight w:val="0"/>
          <w:marTop w:val="0"/>
          <w:marBottom w:val="0"/>
          <w:divBdr>
            <w:top w:val="none" w:sz="0" w:space="0" w:color="auto"/>
            <w:left w:val="none" w:sz="0" w:space="0" w:color="auto"/>
            <w:bottom w:val="none" w:sz="0" w:space="0" w:color="auto"/>
            <w:right w:val="none" w:sz="0" w:space="0" w:color="auto"/>
          </w:divBdr>
          <w:divsChild>
            <w:div w:id="1436437536">
              <w:marLeft w:val="0"/>
              <w:marRight w:val="0"/>
              <w:marTop w:val="0"/>
              <w:marBottom w:val="0"/>
              <w:divBdr>
                <w:top w:val="none" w:sz="0" w:space="0" w:color="auto"/>
                <w:left w:val="none" w:sz="0" w:space="0" w:color="auto"/>
                <w:bottom w:val="none" w:sz="0" w:space="0" w:color="auto"/>
                <w:right w:val="none" w:sz="0" w:space="0" w:color="auto"/>
              </w:divBdr>
              <w:divsChild>
                <w:div w:id="1073091240">
                  <w:marLeft w:val="0"/>
                  <w:marRight w:val="0"/>
                  <w:marTop w:val="0"/>
                  <w:marBottom w:val="0"/>
                  <w:divBdr>
                    <w:top w:val="none" w:sz="0" w:space="0" w:color="auto"/>
                    <w:left w:val="none" w:sz="0" w:space="0" w:color="auto"/>
                    <w:bottom w:val="none" w:sz="0" w:space="0" w:color="auto"/>
                    <w:right w:val="none" w:sz="0" w:space="0" w:color="auto"/>
                  </w:divBdr>
                  <w:divsChild>
                    <w:div w:id="937911371">
                      <w:marLeft w:val="0"/>
                      <w:marRight w:val="0"/>
                      <w:marTop w:val="0"/>
                      <w:marBottom w:val="0"/>
                      <w:divBdr>
                        <w:top w:val="none" w:sz="0" w:space="0" w:color="auto"/>
                        <w:left w:val="none" w:sz="0" w:space="0" w:color="auto"/>
                        <w:bottom w:val="none" w:sz="0" w:space="0" w:color="auto"/>
                        <w:right w:val="none" w:sz="0" w:space="0" w:color="auto"/>
                      </w:divBdr>
                      <w:divsChild>
                        <w:div w:id="163402205">
                          <w:marLeft w:val="0"/>
                          <w:marRight w:val="0"/>
                          <w:marTop w:val="0"/>
                          <w:marBottom w:val="0"/>
                          <w:divBdr>
                            <w:top w:val="none" w:sz="0" w:space="0" w:color="auto"/>
                            <w:left w:val="none" w:sz="0" w:space="0" w:color="auto"/>
                            <w:bottom w:val="none" w:sz="0" w:space="0" w:color="auto"/>
                            <w:right w:val="none" w:sz="0" w:space="0" w:color="auto"/>
                          </w:divBdr>
                          <w:divsChild>
                            <w:div w:id="291442105">
                              <w:marLeft w:val="0"/>
                              <w:marRight w:val="0"/>
                              <w:marTop w:val="0"/>
                              <w:marBottom w:val="0"/>
                              <w:divBdr>
                                <w:top w:val="none" w:sz="0" w:space="0" w:color="auto"/>
                                <w:left w:val="none" w:sz="0" w:space="0" w:color="auto"/>
                                <w:bottom w:val="none" w:sz="0" w:space="0" w:color="auto"/>
                                <w:right w:val="none" w:sz="0" w:space="0" w:color="auto"/>
                              </w:divBdr>
                              <w:divsChild>
                                <w:div w:id="2025745773">
                                  <w:marLeft w:val="0"/>
                                  <w:marRight w:val="0"/>
                                  <w:marTop w:val="0"/>
                                  <w:marBottom w:val="0"/>
                                  <w:divBdr>
                                    <w:top w:val="none" w:sz="0" w:space="0" w:color="auto"/>
                                    <w:left w:val="none" w:sz="0" w:space="0" w:color="auto"/>
                                    <w:bottom w:val="none" w:sz="0" w:space="0" w:color="auto"/>
                                    <w:right w:val="none" w:sz="0" w:space="0" w:color="auto"/>
                                  </w:divBdr>
                                  <w:divsChild>
                                    <w:div w:id="1272670178">
                                      <w:marLeft w:val="0"/>
                                      <w:marRight w:val="0"/>
                                      <w:marTop w:val="0"/>
                                      <w:marBottom w:val="0"/>
                                      <w:divBdr>
                                        <w:top w:val="none" w:sz="0" w:space="0" w:color="auto"/>
                                        <w:left w:val="none" w:sz="0" w:space="0" w:color="auto"/>
                                        <w:bottom w:val="none" w:sz="0" w:space="0" w:color="auto"/>
                                        <w:right w:val="none" w:sz="0" w:space="0" w:color="auto"/>
                                      </w:divBdr>
                                      <w:divsChild>
                                        <w:div w:id="1621304775">
                                          <w:marLeft w:val="0"/>
                                          <w:marRight w:val="0"/>
                                          <w:marTop w:val="0"/>
                                          <w:marBottom w:val="0"/>
                                          <w:divBdr>
                                            <w:top w:val="none" w:sz="0" w:space="0" w:color="auto"/>
                                            <w:left w:val="none" w:sz="0" w:space="0" w:color="auto"/>
                                            <w:bottom w:val="none" w:sz="0" w:space="0" w:color="auto"/>
                                            <w:right w:val="none" w:sz="0" w:space="0" w:color="auto"/>
                                          </w:divBdr>
                                          <w:divsChild>
                                            <w:div w:id="14108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197647">
      <w:bodyDiv w:val="1"/>
      <w:marLeft w:val="0"/>
      <w:marRight w:val="0"/>
      <w:marTop w:val="0"/>
      <w:marBottom w:val="0"/>
      <w:divBdr>
        <w:top w:val="none" w:sz="0" w:space="0" w:color="auto"/>
        <w:left w:val="none" w:sz="0" w:space="0" w:color="auto"/>
        <w:bottom w:val="none" w:sz="0" w:space="0" w:color="auto"/>
        <w:right w:val="none" w:sz="0" w:space="0" w:color="auto"/>
      </w:divBdr>
    </w:div>
    <w:div w:id="1839612179">
      <w:bodyDiv w:val="1"/>
      <w:marLeft w:val="0"/>
      <w:marRight w:val="0"/>
      <w:marTop w:val="0"/>
      <w:marBottom w:val="0"/>
      <w:divBdr>
        <w:top w:val="none" w:sz="0" w:space="0" w:color="auto"/>
        <w:left w:val="none" w:sz="0" w:space="0" w:color="auto"/>
        <w:bottom w:val="none" w:sz="0" w:space="0" w:color="auto"/>
        <w:right w:val="none" w:sz="0" w:space="0" w:color="auto"/>
      </w:divBdr>
    </w:div>
    <w:div w:id="1918125458">
      <w:bodyDiv w:val="1"/>
      <w:marLeft w:val="30"/>
      <w:marRight w:val="30"/>
      <w:marTop w:val="0"/>
      <w:marBottom w:val="0"/>
      <w:divBdr>
        <w:top w:val="none" w:sz="0" w:space="0" w:color="auto"/>
        <w:left w:val="none" w:sz="0" w:space="0" w:color="auto"/>
        <w:bottom w:val="none" w:sz="0" w:space="0" w:color="auto"/>
        <w:right w:val="none" w:sz="0" w:space="0" w:color="auto"/>
      </w:divBdr>
      <w:divsChild>
        <w:div w:id="243875781">
          <w:marLeft w:val="0"/>
          <w:marRight w:val="0"/>
          <w:marTop w:val="0"/>
          <w:marBottom w:val="0"/>
          <w:divBdr>
            <w:top w:val="none" w:sz="0" w:space="0" w:color="auto"/>
            <w:left w:val="none" w:sz="0" w:space="0" w:color="auto"/>
            <w:bottom w:val="none" w:sz="0" w:space="0" w:color="auto"/>
            <w:right w:val="none" w:sz="0" w:space="0" w:color="auto"/>
          </w:divBdr>
          <w:divsChild>
            <w:div w:id="1004631575">
              <w:marLeft w:val="0"/>
              <w:marRight w:val="0"/>
              <w:marTop w:val="0"/>
              <w:marBottom w:val="0"/>
              <w:divBdr>
                <w:top w:val="none" w:sz="0" w:space="0" w:color="auto"/>
                <w:left w:val="none" w:sz="0" w:space="0" w:color="auto"/>
                <w:bottom w:val="none" w:sz="0" w:space="0" w:color="auto"/>
                <w:right w:val="none" w:sz="0" w:space="0" w:color="auto"/>
              </w:divBdr>
              <w:divsChild>
                <w:div w:id="1142313404">
                  <w:marLeft w:val="180"/>
                  <w:marRight w:val="0"/>
                  <w:marTop w:val="0"/>
                  <w:marBottom w:val="0"/>
                  <w:divBdr>
                    <w:top w:val="none" w:sz="0" w:space="0" w:color="auto"/>
                    <w:left w:val="none" w:sz="0" w:space="0" w:color="auto"/>
                    <w:bottom w:val="none" w:sz="0" w:space="0" w:color="auto"/>
                    <w:right w:val="none" w:sz="0" w:space="0" w:color="auto"/>
                  </w:divBdr>
                  <w:divsChild>
                    <w:div w:id="471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footer" Target="footer9.xml"/><Relationship Id="rId21" Type="http://schemas.openxmlformats.org/officeDocument/2006/relationships/image" Target="media/image2.wmf"/><Relationship Id="rId34" Type="http://schemas.openxmlformats.org/officeDocument/2006/relationships/footer" Target="footer6.xml"/><Relationship Id="rId42" Type="http://schemas.openxmlformats.org/officeDocument/2006/relationships/header" Target="header13.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header" Target="header1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footer" Target="footer8.xml"/><Relationship Id="rId46" Type="http://schemas.openxmlformats.org/officeDocument/2006/relationships/header" Target="header15.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legalcode" TargetMode="External"/><Relationship Id="rId29" Type="http://schemas.openxmlformats.org/officeDocument/2006/relationships/header" Target="header7.xml"/><Relationship Id="rId41" Type="http://schemas.openxmlformats.org/officeDocument/2006/relationships/footer" Target="footer10.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medialiaison@treasury.gov.au" TargetMode="External"/><Relationship Id="rId32" Type="http://schemas.openxmlformats.org/officeDocument/2006/relationships/footer" Target="footer5.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2.xml"/><Relationship Id="rId53" Type="http://schemas.openxmlformats.org/officeDocument/2006/relationships/header" Target="header18.xml"/><Relationship Id="rId58" Type="http://schemas.openxmlformats.org/officeDocument/2006/relationships/footer" Target="footer1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itsanhonour.gov.au" TargetMode="External"/><Relationship Id="rId28" Type="http://schemas.openxmlformats.org/officeDocument/2006/relationships/footer" Target="footer3.xml"/><Relationship Id="rId36" Type="http://schemas.openxmlformats.org/officeDocument/2006/relationships/header" Target="header10.xml"/><Relationship Id="rId49" Type="http://schemas.openxmlformats.org/officeDocument/2006/relationships/header" Target="header16.xml"/><Relationship Id="rId57" Type="http://schemas.openxmlformats.org/officeDocument/2006/relationships/header" Target="header20.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oter" Target="footer4.xml"/><Relationship Id="rId44" Type="http://schemas.openxmlformats.org/officeDocument/2006/relationships/header" Target="header14.xml"/><Relationship Id="rId52" Type="http://schemas.openxmlformats.org/officeDocument/2006/relationships/footer" Target="footer15.xml"/><Relationship Id="rId60"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creativecommons.org/licenses/by/3.0/au/deed.en"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yperlink" Target="https://firb.gov.au/resources/policy-documents/" TargetMode="External"/><Relationship Id="rId56" Type="http://schemas.openxmlformats.org/officeDocument/2006/relationships/footer" Target="footer17.xml"/><Relationship Id="rId8" Type="http://schemas.openxmlformats.org/officeDocument/2006/relationships/styles" Target="styles.xml"/><Relationship Id="rId51" Type="http://schemas.openxmlformats.org/officeDocument/2006/relationships/header" Target="header17.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b47d8b7-fefc-4923-b53c-9685ba6b7210">
      <Value>75</Value>
    </TaxCatchAl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2017CSSG-1551-2159</_dlc_DocId>
    <_dlc_DocIdUrl xmlns="eb47d8b7-fefc-4923-b53c-9685ba6b7210">
      <Url>http://tweb/sites/cssg/ped/pu/pt/_layouts/15/DocIdRedir.aspx?ID=2017CSSG-1551-2159</Url>
      <Description>2017CSSG-1551-2159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7714" ma:contentTypeDescription="" ma:contentTypeScope="" ma:versionID="073b837657fe0a5cb34eb3f42f8a3cd6">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F70A-EECF-4AD5-BC0D-7D1BC91A86EF}">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microsoft.com/sharepoint/v3"/>
    <ds:schemaRef ds:uri="http://purl.org/dc/dcmitype/"/>
    <ds:schemaRef ds:uri="http://purl.org/dc/elements/1.1/"/>
    <ds:schemaRef ds:uri="http://schemas.openxmlformats.org/package/2006/metadata/core-properties"/>
    <ds:schemaRef ds:uri="http://schemas.microsoft.com/sharepoint/v4"/>
    <ds:schemaRef ds:uri="eb47d8b7-fefc-4923-b53c-9685ba6b7210"/>
  </ds:schemaRefs>
</ds:datastoreItem>
</file>

<file path=customXml/itemProps2.xml><?xml version="1.0" encoding="utf-8"?>
<ds:datastoreItem xmlns:ds="http://schemas.openxmlformats.org/officeDocument/2006/customXml" ds:itemID="{0983C069-310D-4432-A640-69077413DEE2}">
  <ds:schemaRefs>
    <ds:schemaRef ds:uri="http://schemas.microsoft.com/sharepoint/v3/contenttype/forms"/>
  </ds:schemaRefs>
</ds:datastoreItem>
</file>

<file path=customXml/itemProps3.xml><?xml version="1.0" encoding="utf-8"?>
<ds:datastoreItem xmlns:ds="http://schemas.openxmlformats.org/officeDocument/2006/customXml" ds:itemID="{B8E5779E-6939-4F66-8E30-F63EBF1F3E7A}">
  <ds:schemaRefs>
    <ds:schemaRef ds:uri="office.server.policy"/>
  </ds:schemaRefs>
</ds:datastoreItem>
</file>

<file path=customXml/itemProps4.xml><?xml version="1.0" encoding="utf-8"?>
<ds:datastoreItem xmlns:ds="http://schemas.openxmlformats.org/officeDocument/2006/customXml" ds:itemID="{B79B766C-F147-443C-9F3A-A98D3C1C31A1}">
  <ds:schemaRefs>
    <ds:schemaRef ds:uri="http://schemas.microsoft.com/sharepoint/events"/>
  </ds:schemaRefs>
</ds:datastoreItem>
</file>

<file path=customXml/itemProps5.xml><?xml version="1.0" encoding="utf-8"?>
<ds:datastoreItem xmlns:ds="http://schemas.openxmlformats.org/officeDocument/2006/customXml" ds:itemID="{BD5E9564-DC3D-4D1E-8C10-C195C734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F03901-EE64-4E2C-ACB7-E6FEA768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2</TotalTime>
  <Pages>14</Pages>
  <Words>4145</Words>
  <Characters>25166</Characters>
  <Application>Microsoft Office Word</Application>
  <DocSecurity>0</DocSecurity>
  <Lines>547</Lines>
  <Paragraphs>279</Paragraphs>
  <ScaleCrop>false</ScaleCrop>
  <HeadingPairs>
    <vt:vector size="2" baseType="variant">
      <vt:variant>
        <vt:lpstr>Title</vt:lpstr>
      </vt:variant>
      <vt:variant>
        <vt:i4>1</vt:i4>
      </vt:variant>
    </vt:vector>
  </HeadingPairs>
  <TitlesOfParts>
    <vt:vector size="1" baseType="lpstr">
      <vt:lpstr>Regulator Performance Framework - Administration of Australia's Foreign Investment Framework Report 2016-17</vt:lpstr>
    </vt:vector>
  </TitlesOfParts>
  <Company>Australian Government - The Treasury</Company>
  <LinksUpToDate>false</LinksUpToDate>
  <CharactersWithSpaces>29032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 Performance Framework - Administration of Australia's Foreign Investment Framework Report 2016-17</dc:title>
  <dc:creator>Foreign Investment Review Board</dc:creator>
  <cp:lastModifiedBy>Hill, Christine</cp:lastModifiedBy>
  <cp:revision>3</cp:revision>
  <cp:lastPrinted>2017-12-18T03:36:00Z</cp:lastPrinted>
  <dcterms:created xsi:type="dcterms:W3CDTF">2017-12-19T00:09:00Z</dcterms:created>
  <dcterms:modified xsi:type="dcterms:W3CDTF">2017-12-19T04:53:00Z</dcterms:modified>
</cp:coreProperties>
</file>