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A514E" w14:textId="0BBB1BF5" w:rsidR="00811442" w:rsidRPr="002B68F5" w:rsidRDefault="00CB54C2" w:rsidP="002B68F5">
      <w:pPr>
        <w:pStyle w:val="Title"/>
        <w:spacing w:after="600"/>
      </w:pPr>
      <w:r w:rsidRPr="00811442">
        <w:t>Foreign Investment</w:t>
      </w:r>
    </w:p>
    <w:p w14:paraId="7B3DDCCC" w14:textId="77777777" w:rsidR="00CB54C2" w:rsidRPr="002B68F5" w:rsidRDefault="00CB54C2" w:rsidP="00811442">
      <w:pPr>
        <w:pStyle w:val="Title"/>
      </w:pPr>
      <w:bookmarkStart w:id="0" w:name="_GoBack"/>
      <w:r w:rsidRPr="00811442">
        <w:t>Review Board</w:t>
      </w:r>
    </w:p>
    <w:bookmarkEnd w:id="0"/>
    <w:p w14:paraId="0F4C788C" w14:textId="77777777" w:rsidR="00CB54C2" w:rsidRPr="002B68F5" w:rsidRDefault="00CB54C2" w:rsidP="003C2223">
      <w:pPr>
        <w:pStyle w:val="Title2"/>
      </w:pPr>
      <w:r w:rsidRPr="0051534E">
        <w:t xml:space="preserve">Annual </w:t>
      </w:r>
      <w:r w:rsidRPr="003C2223">
        <w:t>Report</w:t>
      </w:r>
    </w:p>
    <w:p w14:paraId="4356138D" w14:textId="6CF1D480" w:rsidR="00CB54C2" w:rsidRPr="0051534E" w:rsidRDefault="00CB54C2" w:rsidP="003C2223">
      <w:pPr>
        <w:pStyle w:val="Title2"/>
        <w:sectPr w:rsidR="00CB54C2" w:rsidRPr="0051534E" w:rsidSect="00CB54C2">
          <w:headerReference w:type="even" r:id="rId14"/>
          <w:headerReference w:type="default" r:id="rId15"/>
          <w:footerReference w:type="even" r:id="rId16"/>
          <w:footerReference w:type="default" r:id="rId17"/>
          <w:pgSz w:w="11907" w:h="16840" w:code="9"/>
          <w:pgMar w:top="2466" w:right="2098" w:bottom="2466" w:left="2098" w:header="1899" w:footer="1899" w:gutter="0"/>
          <w:cols w:space="708"/>
          <w:vAlign w:val="center"/>
          <w:titlePg/>
          <w:docGrid w:linePitch="360"/>
        </w:sectPr>
      </w:pPr>
      <w:r w:rsidRPr="0051534E">
        <w:t>2017–18</w:t>
      </w:r>
    </w:p>
    <w:p w14:paraId="5838D6AC" w14:textId="2A231F62" w:rsidR="00CB54C2" w:rsidRPr="00CB54C2" w:rsidRDefault="00CB54C2" w:rsidP="00CB54C2">
      <w:r w:rsidRPr="00CB54C2">
        <w:rPr>
          <w:rFonts w:ascii="Symbol" w:hAnsi="Symbol"/>
        </w:rPr>
        <w:lastRenderedPageBreak/>
        <w:t></w:t>
      </w:r>
      <w:r w:rsidRPr="00CB54C2">
        <w:t xml:space="preserve"> Commonwealth of Australia </w:t>
      </w:r>
      <w:r w:rsidR="005373DC" w:rsidRPr="00C0790A">
        <w:t>201</w:t>
      </w:r>
      <w:r w:rsidR="005373DC">
        <w:t>9</w:t>
      </w:r>
    </w:p>
    <w:p w14:paraId="17906525" w14:textId="77777777" w:rsidR="00CB54C2" w:rsidRPr="00CB54C2" w:rsidRDefault="00CB54C2" w:rsidP="00CB54C2">
      <w:pPr>
        <w:jc w:val="left"/>
      </w:pPr>
      <w:r w:rsidRPr="00C0790A">
        <w:t>ISSN 0155</w:t>
      </w:r>
      <w:r w:rsidRPr="00C0790A">
        <w:noBreakHyphen/>
        <w:t>0802 (print)</w:t>
      </w:r>
      <w:r w:rsidRPr="00C0790A">
        <w:br/>
        <w:t>ISSN 2204</w:t>
      </w:r>
      <w:r w:rsidRPr="00C0790A">
        <w:noBreakHyphen/>
        <w:t>0927 (web)</w:t>
      </w:r>
    </w:p>
    <w:p w14:paraId="1984FC0F" w14:textId="77777777" w:rsidR="00CB54C2" w:rsidRPr="00CB54C2" w:rsidRDefault="00CB54C2" w:rsidP="00CB54C2">
      <w:r w:rsidRPr="00CB54C2">
        <w:t xml:space="preserve">This publication is available for your use under a </w:t>
      </w:r>
      <w:hyperlink r:id="rId18" w:history="1">
        <w:r w:rsidRPr="00CB54C2">
          <w:t>Creative Commons Attribution 3.0 Australia</w:t>
        </w:r>
      </w:hyperlink>
      <w:r w:rsidRPr="00CB54C2">
        <w:t xml:space="preserve"> licence, with the exception of the Commonwealth Coat of Arms, the Treasury logo, photographs, images, signatures and where otherwise stated. The full licence terms are available from </w:t>
      </w:r>
      <w:hyperlink r:id="rId19" w:history="1">
        <w:r w:rsidRPr="00CB54C2">
          <w:t>http://creativecommons.org/licenses/by/3.0/au/legalcode</w:t>
        </w:r>
      </w:hyperlink>
      <w:r w:rsidRPr="00CB54C2">
        <w:t>.</w:t>
      </w:r>
    </w:p>
    <w:p w14:paraId="1DC68718" w14:textId="77777777" w:rsidR="00CB54C2" w:rsidRPr="00CB54C2" w:rsidRDefault="00CB54C2" w:rsidP="00CB54C2">
      <w:pPr>
        <w:spacing w:after="120" w:line="240" w:lineRule="auto"/>
      </w:pPr>
      <w:r w:rsidRPr="00CB54C2">
        <w:rPr>
          <w:noProof/>
        </w:rPr>
        <w:drawing>
          <wp:inline distT="0" distB="0" distL="0" distR="0" wp14:anchorId="38C7F0F5" wp14:editId="6973BAEC">
            <wp:extent cx="810895" cy="286385"/>
            <wp:effectExtent l="0" t="0" r="8255" b="0"/>
            <wp:docPr id="17" name="Picture 17"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286385"/>
                    </a:xfrm>
                    <a:prstGeom prst="rect">
                      <a:avLst/>
                    </a:prstGeom>
                    <a:noFill/>
                    <a:ln>
                      <a:noFill/>
                    </a:ln>
                  </pic:spPr>
                </pic:pic>
              </a:graphicData>
            </a:graphic>
          </wp:inline>
        </w:drawing>
      </w:r>
    </w:p>
    <w:p w14:paraId="64396DAC" w14:textId="77777777" w:rsidR="00CB54C2" w:rsidRPr="00CB54C2" w:rsidRDefault="00CB54C2" w:rsidP="00CB54C2">
      <w:pPr>
        <w:tabs>
          <w:tab w:val="left" w:pos="1650"/>
        </w:tabs>
        <w:spacing w:after="120"/>
      </w:pPr>
      <w:r w:rsidRPr="00CB54C2">
        <w:t>Use of Treasury material under a</w:t>
      </w:r>
      <w:r w:rsidRPr="00CB54C2">
        <w:rPr>
          <w:rFonts w:cs="Calibri"/>
          <w:sz w:val="24"/>
          <w:szCs w:val="24"/>
        </w:rPr>
        <w:t xml:space="preserve"> </w:t>
      </w:r>
      <w:hyperlink r:id="rId21" w:history="1">
        <w:r w:rsidRPr="00CB54C2">
          <w:t>Creative Commons Attribution 3.0 Australia</w:t>
        </w:r>
      </w:hyperlink>
      <w:r w:rsidRPr="00CB54C2">
        <w:t xml:space="preserve"> licence requires you to attribute the work (but not in any way that suggests that the Treasury endorses you or your use of the work).</w:t>
      </w:r>
    </w:p>
    <w:p w14:paraId="0A31440B" w14:textId="77777777" w:rsidR="00CB54C2" w:rsidRPr="00CB54C2" w:rsidRDefault="00CB54C2" w:rsidP="00CB54C2">
      <w:pPr>
        <w:tabs>
          <w:tab w:val="left" w:pos="4152"/>
        </w:tabs>
        <w:ind w:left="567"/>
        <w:rPr>
          <w:i/>
        </w:rPr>
      </w:pPr>
      <w:r w:rsidRPr="00CB54C2">
        <w:rPr>
          <w:i/>
        </w:rPr>
        <w:t>Treasury material used ‘as supplied’.</w:t>
      </w:r>
    </w:p>
    <w:p w14:paraId="1F0C0455" w14:textId="77777777" w:rsidR="00CB54C2" w:rsidRPr="00CB54C2" w:rsidRDefault="00CB54C2" w:rsidP="00CB54C2">
      <w:pPr>
        <w:spacing w:after="120"/>
      </w:pPr>
      <w:r w:rsidRPr="00CB54C2">
        <w:t>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w:t>
      </w:r>
    </w:p>
    <w:p w14:paraId="2B0EFC69" w14:textId="77777777" w:rsidR="00CB54C2" w:rsidRPr="00CB54C2" w:rsidRDefault="00CB54C2" w:rsidP="00CB54C2">
      <w:pPr>
        <w:ind w:left="567"/>
      </w:pPr>
      <w:r w:rsidRPr="00CB54C2">
        <w:rPr>
          <w:i/>
        </w:rPr>
        <w:t>Source</w:t>
      </w:r>
      <w:r w:rsidRPr="00CB54C2">
        <w:t xml:space="preserve">: </w:t>
      </w:r>
      <w:r w:rsidRPr="00CB54C2">
        <w:rPr>
          <w:i/>
        </w:rPr>
        <w:t>The Treasury.</w:t>
      </w:r>
    </w:p>
    <w:p w14:paraId="78F5FF37" w14:textId="77777777" w:rsidR="00CB54C2" w:rsidRPr="00CB54C2" w:rsidRDefault="00CB54C2" w:rsidP="00CB54C2">
      <w:pPr>
        <w:rPr>
          <w:b/>
        </w:rPr>
      </w:pPr>
      <w:r w:rsidRPr="00CB54C2">
        <w:rPr>
          <w:b/>
        </w:rPr>
        <w:t>Derivative material</w:t>
      </w:r>
    </w:p>
    <w:p w14:paraId="104CCE3B" w14:textId="77777777" w:rsidR="00CB54C2" w:rsidRPr="00CB54C2" w:rsidRDefault="00CB54C2" w:rsidP="00CB54C2">
      <w:pPr>
        <w:spacing w:after="120"/>
      </w:pPr>
      <w:r w:rsidRPr="00CB54C2">
        <w:t>If you have modified or transformed Treasury material, or derived new material from those of the Treasury in any way, then Treasury prefers the following attribution:</w:t>
      </w:r>
    </w:p>
    <w:p w14:paraId="6D905A77" w14:textId="77777777" w:rsidR="00CB54C2" w:rsidRPr="00CB54C2" w:rsidRDefault="00CB54C2" w:rsidP="00CB54C2">
      <w:pPr>
        <w:tabs>
          <w:tab w:val="left" w:pos="4152"/>
        </w:tabs>
        <w:ind w:left="567"/>
        <w:rPr>
          <w:i/>
        </w:rPr>
      </w:pPr>
      <w:r w:rsidRPr="00CB54C2">
        <w:rPr>
          <w:i/>
        </w:rPr>
        <w:t>Based on The Australian Government the Treasury</w:t>
      </w:r>
    </w:p>
    <w:p w14:paraId="55EB6770" w14:textId="77777777" w:rsidR="00CB54C2" w:rsidRPr="00CB54C2" w:rsidRDefault="00CB54C2" w:rsidP="00CB54C2">
      <w:pPr>
        <w:spacing w:after="40"/>
        <w:rPr>
          <w:b/>
        </w:rPr>
      </w:pPr>
      <w:r w:rsidRPr="00CB54C2">
        <w:rPr>
          <w:b/>
        </w:rPr>
        <w:t>Use of the Coat of Arms</w:t>
      </w:r>
    </w:p>
    <w:p w14:paraId="42EC1638" w14:textId="77777777" w:rsidR="00CB54C2" w:rsidRPr="00CB54C2" w:rsidRDefault="00CB54C2" w:rsidP="00CB54C2">
      <w:r w:rsidRPr="00CB54C2">
        <w:t xml:space="preserve">The terms under which the Coat of Arms can be used are set out on the It’s an Honour website (see </w:t>
      </w:r>
      <w:hyperlink r:id="rId22" w:history="1">
        <w:r w:rsidRPr="00CB54C2">
          <w:t>www.itsanhonour.gov.au</w:t>
        </w:r>
      </w:hyperlink>
      <w:r w:rsidRPr="00CB54C2">
        <w:t>).</w:t>
      </w:r>
    </w:p>
    <w:p w14:paraId="761D36B6" w14:textId="77777777" w:rsidR="00CB54C2" w:rsidRPr="00CB54C2" w:rsidRDefault="00CB54C2" w:rsidP="00CB54C2">
      <w:pPr>
        <w:spacing w:after="120"/>
        <w:rPr>
          <w:b/>
        </w:rPr>
      </w:pPr>
      <w:r w:rsidRPr="00CB54C2">
        <w:rPr>
          <w:b/>
        </w:rPr>
        <w:t>Other uses</w:t>
      </w:r>
    </w:p>
    <w:p w14:paraId="59C8D230" w14:textId="77777777" w:rsidR="00CB54C2" w:rsidRPr="00CB54C2" w:rsidRDefault="00CB54C2" w:rsidP="00CB54C2">
      <w:pPr>
        <w:spacing w:after="100"/>
      </w:pPr>
      <w:r w:rsidRPr="00CB54C2">
        <w:t>Inquiries regarding this licence and any other use of this document are welcome at:</w:t>
      </w:r>
    </w:p>
    <w:p w14:paraId="08344ED6" w14:textId="77777777" w:rsidR="00CB54C2" w:rsidRPr="00CB54C2" w:rsidRDefault="00CB54C2" w:rsidP="00CB54C2">
      <w:pPr>
        <w:spacing w:after="100"/>
        <w:ind w:left="567"/>
        <w:jc w:val="left"/>
      </w:pPr>
      <w:r w:rsidRPr="00CB54C2">
        <w:t>Manager</w:t>
      </w:r>
      <w:r w:rsidRPr="00CB54C2">
        <w:br/>
        <w:t xml:space="preserve">Communications </w:t>
      </w:r>
      <w:r w:rsidRPr="00CB54C2">
        <w:br/>
        <w:t>The Treasury</w:t>
      </w:r>
      <w:r w:rsidRPr="00CB54C2">
        <w:br/>
        <w:t xml:space="preserve">Langton Crescent </w:t>
      </w:r>
      <w:r w:rsidRPr="00CB54C2">
        <w:br/>
        <w:t>Parkes ACT 2600</w:t>
      </w:r>
      <w:r w:rsidRPr="00CB54C2">
        <w:br/>
        <w:t xml:space="preserve">Email: </w:t>
      </w:r>
      <w:hyperlink r:id="rId23" w:history="1">
        <w:r w:rsidRPr="00CB54C2">
          <w:t>medialiaison@treasury.gov.au</w:t>
        </w:r>
      </w:hyperlink>
    </w:p>
    <w:p w14:paraId="59C12196" w14:textId="161446C9" w:rsidR="00CB54C2" w:rsidRPr="00CB54C2" w:rsidRDefault="00CB54C2" w:rsidP="00CB54C2">
      <w:pPr>
        <w:spacing w:after="0"/>
        <w:sectPr w:rsidR="00CB54C2" w:rsidRPr="00CB54C2" w:rsidSect="00CB54C2">
          <w:headerReference w:type="even" r:id="rId24"/>
          <w:headerReference w:type="default" r:id="rId25"/>
          <w:footerReference w:type="even" r:id="rId26"/>
          <w:footerReference w:type="default" r:id="rId27"/>
          <w:headerReference w:type="first" r:id="rId28"/>
          <w:footerReference w:type="first" r:id="rId29"/>
          <w:pgSz w:w="11907" w:h="16840" w:code="9"/>
          <w:pgMar w:top="2466" w:right="2098" w:bottom="2466" w:left="2098" w:header="1899" w:footer="1899" w:gutter="0"/>
          <w:pgNumType w:fmt="lowerRoman"/>
          <w:cols w:space="720"/>
          <w:titlePg/>
          <w:docGrid w:linePitch="360"/>
        </w:sectPr>
      </w:pPr>
      <w:r w:rsidRPr="00CB54C2">
        <w:t xml:space="preserve">A copy of this document appears on the Foreign Investment Review Board website at </w:t>
      </w:r>
      <w:hyperlink r:id="rId30" w:history="1">
        <w:r w:rsidR="009A02EA" w:rsidRPr="00BD4C99">
          <w:rPr>
            <w:rStyle w:val="Hyperlink"/>
          </w:rPr>
          <w:t>www.firb.gov.au</w:t>
        </w:r>
      </w:hyperlink>
      <w:r w:rsidRPr="00CB54C2">
        <w:t>.</w:t>
      </w:r>
    </w:p>
    <w:p w14:paraId="61325A05" w14:textId="5A8CEBBF" w:rsidR="00CB54C2" w:rsidRPr="00C0790A" w:rsidRDefault="0086796F" w:rsidP="00CB54C2">
      <w:pPr>
        <w:spacing w:after="0"/>
        <w:jc w:val="right"/>
      </w:pPr>
      <w:r w:rsidRPr="0086796F">
        <w:lastRenderedPageBreak/>
        <w:t>15</w:t>
      </w:r>
      <w:r w:rsidRPr="0086796F" w:rsidDel="00FA76BC">
        <w:t xml:space="preserve"> </w:t>
      </w:r>
      <w:r w:rsidR="008E3879" w:rsidRPr="0086796F">
        <w:t>February</w:t>
      </w:r>
      <w:r w:rsidR="008E3879">
        <w:t xml:space="preserve"> </w:t>
      </w:r>
      <w:r w:rsidR="009F509A">
        <w:t>2019</w:t>
      </w:r>
    </w:p>
    <w:p w14:paraId="63B46C8C" w14:textId="77777777" w:rsidR="00CB54C2" w:rsidRPr="00CB54C2" w:rsidRDefault="00CB54C2" w:rsidP="00CB54C2">
      <w:pPr>
        <w:spacing w:after="0"/>
        <w:rPr>
          <w:szCs w:val="24"/>
        </w:rPr>
      </w:pPr>
      <w:r w:rsidRPr="00CB54C2">
        <w:rPr>
          <w:szCs w:val="24"/>
        </w:rPr>
        <w:t xml:space="preserve">The Hon Josh </w:t>
      </w:r>
      <w:proofErr w:type="spellStart"/>
      <w:r w:rsidRPr="00CB54C2">
        <w:rPr>
          <w:szCs w:val="24"/>
        </w:rPr>
        <w:t>Frydenberg</w:t>
      </w:r>
      <w:proofErr w:type="spellEnd"/>
      <w:r w:rsidRPr="00CB54C2">
        <w:rPr>
          <w:szCs w:val="24"/>
        </w:rPr>
        <w:t xml:space="preserve"> MP</w:t>
      </w:r>
    </w:p>
    <w:p w14:paraId="1BB524EE" w14:textId="77777777" w:rsidR="00CB54C2" w:rsidRPr="00CB54C2" w:rsidRDefault="00CB54C2" w:rsidP="00CB54C2">
      <w:pPr>
        <w:spacing w:after="0"/>
        <w:rPr>
          <w:szCs w:val="24"/>
        </w:rPr>
      </w:pPr>
      <w:r w:rsidRPr="00CB54C2">
        <w:rPr>
          <w:szCs w:val="24"/>
        </w:rPr>
        <w:t>Treasurer</w:t>
      </w:r>
    </w:p>
    <w:p w14:paraId="0F5691C9" w14:textId="77777777" w:rsidR="00CB54C2" w:rsidRPr="00CB54C2" w:rsidRDefault="00CB54C2" w:rsidP="00CB54C2">
      <w:pPr>
        <w:spacing w:after="0"/>
        <w:rPr>
          <w:szCs w:val="24"/>
        </w:rPr>
      </w:pPr>
      <w:r w:rsidRPr="00CB54C2">
        <w:rPr>
          <w:szCs w:val="24"/>
        </w:rPr>
        <w:t>Parliament House</w:t>
      </w:r>
    </w:p>
    <w:p w14:paraId="07237EE6" w14:textId="77777777" w:rsidR="00CB54C2" w:rsidRPr="00CB54C2" w:rsidRDefault="00CB54C2" w:rsidP="007F4118">
      <w:pPr>
        <w:spacing w:after="360"/>
        <w:rPr>
          <w:szCs w:val="24"/>
        </w:rPr>
      </w:pPr>
      <w:r w:rsidRPr="00CB54C2">
        <w:rPr>
          <w:szCs w:val="24"/>
        </w:rPr>
        <w:t>CANBERRA ACT 2600</w:t>
      </w:r>
    </w:p>
    <w:p w14:paraId="2AB3F2A5" w14:textId="77777777" w:rsidR="006B1920" w:rsidRPr="00793936" w:rsidRDefault="006B1920" w:rsidP="006B1920">
      <w:r w:rsidRPr="00793936">
        <w:t>Dear Treasurer</w:t>
      </w:r>
    </w:p>
    <w:p w14:paraId="54707B3B" w14:textId="71C810F2" w:rsidR="006B1920" w:rsidRPr="00793936" w:rsidRDefault="006B1920" w:rsidP="006B1920">
      <w:r w:rsidRPr="00793936">
        <w:t>I am pleased to present the annual report of the Foreign Investment Review Board (</w:t>
      </w:r>
      <w:r w:rsidR="009A02EA">
        <w:t>the Board</w:t>
      </w:r>
      <w:r w:rsidRPr="00793936">
        <w:t xml:space="preserve">) for the year ended 30 June 2018. The report has been prepared in accordance with the </w:t>
      </w:r>
      <w:r w:rsidR="007D05BA">
        <w:t>Board</w:t>
      </w:r>
      <w:r w:rsidR="007D05BA" w:rsidRPr="00793936">
        <w:t xml:space="preserve">’s </w:t>
      </w:r>
      <w:r w:rsidRPr="00793936">
        <w:t>responsibility to advise the Government on foreign investment matters.</w:t>
      </w:r>
    </w:p>
    <w:p w14:paraId="32280E49" w14:textId="511BFDD6" w:rsidR="009404B6" w:rsidRDefault="006B1920" w:rsidP="006B1920">
      <w:r w:rsidRPr="00CB54C2">
        <w:t xml:space="preserve">The </w:t>
      </w:r>
      <w:r w:rsidR="009A02EA">
        <w:t>Board</w:t>
      </w:r>
      <w:r w:rsidRPr="00CB54C2">
        <w:t xml:space="preserve"> assessed a significant volume of high profile investment applications in 2017–18</w:t>
      </w:r>
      <w:r>
        <w:t>.</w:t>
      </w:r>
      <w:r w:rsidRPr="00CB54C2">
        <w:t xml:space="preserve"> </w:t>
      </w:r>
      <w:r>
        <w:t>This</w:t>
      </w:r>
      <w:r w:rsidRPr="00CB54C2">
        <w:t xml:space="preserve"> included the acquisition of the Whyalla steelworks by British businessman </w:t>
      </w:r>
      <w:r>
        <w:t xml:space="preserve">Mr </w:t>
      </w:r>
      <w:r w:rsidRPr="00CB54C2">
        <w:t>Sanjeev Gupta and the acquisition of Australia’s largest diagnostic imaging provider</w:t>
      </w:r>
      <w:r>
        <w:t>,</w:t>
      </w:r>
      <w:r w:rsidRPr="00CB54C2">
        <w:t xml:space="preserve"> I-MED Radiology</w:t>
      </w:r>
      <w:r>
        <w:t xml:space="preserve"> Network,</w:t>
      </w:r>
      <w:r w:rsidRPr="00CB54C2">
        <w:t xml:space="preserve"> by the European private equity firm </w:t>
      </w:r>
      <w:proofErr w:type="spellStart"/>
      <w:r w:rsidRPr="00CB54C2">
        <w:t>Permira</w:t>
      </w:r>
      <w:proofErr w:type="spellEnd"/>
      <w:r w:rsidRPr="00CB54C2">
        <w:t>.</w:t>
      </w:r>
    </w:p>
    <w:p w14:paraId="49E1E69F" w14:textId="7FCE8113" w:rsidR="006B1920" w:rsidRDefault="0090074A" w:rsidP="006B1920">
      <w:r>
        <w:t xml:space="preserve">While approvals are down by both number and </w:t>
      </w:r>
      <w:r w:rsidR="00EA4D57">
        <w:t xml:space="preserve">the value of </w:t>
      </w:r>
      <w:r>
        <w:t>proposed investment</w:t>
      </w:r>
      <w:r w:rsidR="009404B6">
        <w:t>,</w:t>
      </w:r>
      <w:r w:rsidR="00622B5D">
        <w:t xml:space="preserve"> and </w:t>
      </w:r>
      <w:r w:rsidR="00F75F7F">
        <w:t>like other similar economies</w:t>
      </w:r>
      <w:r w:rsidR="009404B6">
        <w:t xml:space="preserve"> </w:t>
      </w:r>
      <w:r w:rsidR="00622B5D">
        <w:t>we have seen a decline in proposed investment from China</w:t>
      </w:r>
      <w:r w:rsidR="00617A68">
        <w:t xml:space="preserve"> </w:t>
      </w:r>
      <w:r w:rsidR="00617A68" w:rsidRPr="00683D05">
        <w:t>as</w:t>
      </w:r>
      <w:r w:rsidR="00617A68">
        <w:t xml:space="preserve"> Chinese</w:t>
      </w:r>
      <w:r w:rsidR="00617A68" w:rsidRPr="00683D05">
        <w:t xml:space="preserve"> authorities have tightened capital controls</w:t>
      </w:r>
      <w:r>
        <w:t>, foreign investor interest in Australia remains strong</w:t>
      </w:r>
      <w:r w:rsidR="00622B5D">
        <w:t>.</w:t>
      </w:r>
    </w:p>
    <w:p w14:paraId="44B1302D" w14:textId="120BF656" w:rsidR="00EA4D57" w:rsidRDefault="00EA4D57" w:rsidP="00BA6DAB">
      <w:r>
        <w:t>During the year, the Board continued to focus on ensuring that sensitive assets were thoroughly assessed across all dimensions of the national interest and</w:t>
      </w:r>
      <w:r w:rsidDel="00A12419">
        <w:t xml:space="preserve"> </w:t>
      </w:r>
      <w:r>
        <w:t>providing early guidance to potential investors wherever possible.</w:t>
      </w:r>
    </w:p>
    <w:p w14:paraId="761AC8B3" w14:textId="3A3FF8B2" w:rsidR="00D672EA" w:rsidRDefault="0092270D" w:rsidP="00BA6DAB">
      <w:r>
        <w:t>With respect to national security assessments within the wide</w:t>
      </w:r>
      <w:r w:rsidR="00F04576">
        <w:t>r</w:t>
      </w:r>
      <w:r>
        <w:t xml:space="preserve"> national interest focus, </w:t>
      </w:r>
      <w:r w:rsidR="00B32DCF">
        <w:t>Australia’s approach continues to evolve</w:t>
      </w:r>
      <w:r>
        <w:t xml:space="preserve"> in recognition of the risks and threats that emerge</w:t>
      </w:r>
      <w:r w:rsidR="00B32DCF">
        <w:t xml:space="preserve">. </w:t>
      </w:r>
      <w:r w:rsidR="006565D4">
        <w:t xml:space="preserve">During 2017-18, the </w:t>
      </w:r>
      <w:r w:rsidR="00CD2CAD" w:rsidRPr="00236463">
        <w:rPr>
          <w:i/>
        </w:rPr>
        <w:t xml:space="preserve">Security of Critical Infrastructure </w:t>
      </w:r>
      <w:r w:rsidR="006565D4" w:rsidRPr="00236463">
        <w:rPr>
          <w:i/>
        </w:rPr>
        <w:t xml:space="preserve">Act </w:t>
      </w:r>
      <w:r w:rsidR="00F41A50" w:rsidRPr="00236463">
        <w:rPr>
          <w:i/>
        </w:rPr>
        <w:t>2018</w:t>
      </w:r>
      <w:r w:rsidR="00F41A50">
        <w:t xml:space="preserve"> </w:t>
      </w:r>
      <w:r w:rsidR="006565D4">
        <w:t xml:space="preserve">was introduced, giving government greater visibility and oversight of critical infrastructure. </w:t>
      </w:r>
      <w:r w:rsidR="00A16629">
        <w:t>T</w:t>
      </w:r>
      <w:r w:rsidR="00CD2CAD">
        <w:t xml:space="preserve">he </w:t>
      </w:r>
      <w:r w:rsidR="00CD2CAD" w:rsidRPr="007F4118">
        <w:rPr>
          <w:i/>
        </w:rPr>
        <w:t>Telecommunications Sector Se</w:t>
      </w:r>
      <w:r w:rsidR="00CD2CAD" w:rsidRPr="00A12419">
        <w:rPr>
          <w:i/>
        </w:rPr>
        <w:t>curity Reforms</w:t>
      </w:r>
      <w:r w:rsidR="00CD2CAD" w:rsidRPr="00110CBA">
        <w:t xml:space="preserve"> were </w:t>
      </w:r>
      <w:r w:rsidR="00A16629" w:rsidRPr="00110CBA">
        <w:t>also</w:t>
      </w:r>
      <w:r w:rsidR="00CD2CAD" w:rsidRPr="00110CBA">
        <w:t xml:space="preserve"> introduced </w:t>
      </w:r>
      <w:r w:rsidR="00A16629" w:rsidRPr="00110CBA">
        <w:t>in 2018</w:t>
      </w:r>
      <w:r w:rsidR="00CD2CAD" w:rsidRPr="00110CBA">
        <w:t xml:space="preserve"> to provide </w:t>
      </w:r>
      <w:r w:rsidR="00F34D45" w:rsidRPr="00110CBA">
        <w:t>additional</w:t>
      </w:r>
      <w:r w:rsidR="00CD2CAD" w:rsidRPr="00110CBA">
        <w:t xml:space="preserve"> protection for Australia’s telecommunications sector</w:t>
      </w:r>
      <w:r w:rsidR="007F2C5E">
        <w:t xml:space="preserve">. </w:t>
      </w:r>
      <w:r w:rsidR="006565D4">
        <w:t xml:space="preserve">The Government </w:t>
      </w:r>
      <w:r w:rsidR="00CD2CAD">
        <w:t>further</w:t>
      </w:r>
      <w:r w:rsidR="006565D4">
        <w:t xml:space="preserve"> announced that diversity of ownership can be an important safeguard in the electricity sector, and </w:t>
      </w:r>
      <w:r w:rsidR="00F41A50">
        <w:t xml:space="preserve">conditions and </w:t>
      </w:r>
      <w:r w:rsidR="006565D4">
        <w:t xml:space="preserve">ownership restrictions </w:t>
      </w:r>
      <w:r w:rsidR="00F41A50">
        <w:t>would</w:t>
      </w:r>
      <w:r w:rsidR="00A344BF">
        <w:t xml:space="preserve"> be imposed on certain assets.</w:t>
      </w:r>
    </w:p>
    <w:p w14:paraId="407336F6" w14:textId="6CBD8CF1" w:rsidR="00FD5CDC" w:rsidRDefault="00BB6F7D" w:rsidP="00BA6DAB">
      <w:r>
        <w:t>With regard to</w:t>
      </w:r>
      <w:r w:rsidR="00FD5CDC">
        <w:t xml:space="preserve"> agricultural land, the Board paid close attention to the Government’s requirement that Australians be given an opportunity to acquire agricultural land for sale. The Board support</w:t>
      </w:r>
      <w:r w:rsidR="00236463">
        <w:t>ed</w:t>
      </w:r>
      <w:r w:rsidR="00FD5CDC">
        <w:t xml:space="preserve"> the fine tuning of </w:t>
      </w:r>
      <w:r w:rsidR="00BA7B37">
        <w:t>th</w:t>
      </w:r>
      <w:r w:rsidR="00A12419">
        <w:t>is</w:t>
      </w:r>
      <w:r w:rsidR="00BA7B37">
        <w:t xml:space="preserve"> requirement</w:t>
      </w:r>
      <w:r w:rsidR="00FD5CDC">
        <w:t xml:space="preserve"> over 2018.</w:t>
      </w:r>
    </w:p>
    <w:p w14:paraId="7BFFF92D" w14:textId="0024406A" w:rsidR="007867BB" w:rsidRDefault="00BA7B37" w:rsidP="00A344BF">
      <w:r>
        <w:t xml:space="preserve">The </w:t>
      </w:r>
      <w:r w:rsidR="00995A0E">
        <w:t>Board</w:t>
      </w:r>
      <w:r w:rsidR="00FD5CDC">
        <w:t xml:space="preserve"> continued to </w:t>
      </w:r>
      <w:r>
        <w:t xml:space="preserve">engage </w:t>
      </w:r>
      <w:r w:rsidR="00FD5CDC">
        <w:t xml:space="preserve">actively with stakeholders during the year. </w:t>
      </w:r>
      <w:r>
        <w:t>T</w:t>
      </w:r>
      <w:r w:rsidR="00FD5CDC">
        <w:t>he Board expanded the location of its board meetings to Brisbane and Perth, which facilitate</w:t>
      </w:r>
      <w:r w:rsidR="00FD5CDC" w:rsidRPr="002E441D">
        <w:t xml:space="preserve">d </w:t>
      </w:r>
      <w:r w:rsidR="00286F89">
        <w:t>valuable</w:t>
      </w:r>
      <w:r w:rsidR="00FD5CDC">
        <w:t xml:space="preserve"> stakeholder discussions. </w:t>
      </w:r>
      <w:r>
        <w:t>O</w:t>
      </w:r>
      <w:r w:rsidR="00FD5CDC">
        <w:t>ne of</w:t>
      </w:r>
      <w:r w:rsidR="00FD5CDC" w:rsidDel="00BA7B37">
        <w:t xml:space="preserve"> </w:t>
      </w:r>
      <w:r>
        <w:t xml:space="preserve">the </w:t>
      </w:r>
      <w:r w:rsidR="00FD5CDC">
        <w:t xml:space="preserve">key messages </w:t>
      </w:r>
      <w:r>
        <w:t xml:space="preserve">in Board interaction with stakeholders </w:t>
      </w:r>
      <w:r w:rsidR="00FD5CDC">
        <w:t xml:space="preserve">continues to be </w:t>
      </w:r>
      <w:r w:rsidR="00BB6F7D">
        <w:t>encouraging</w:t>
      </w:r>
      <w:r w:rsidR="00FD5CDC">
        <w:t xml:space="preserve"> early engagement with the Board (including prior to applications being lodged) to help manage national interest issues early and effectively.</w:t>
      </w:r>
      <w:r w:rsidR="007867BB">
        <w:br w:type="page"/>
      </w:r>
    </w:p>
    <w:p w14:paraId="3C1D06BF" w14:textId="18DF03B0" w:rsidR="004C1E34" w:rsidRDefault="00286F89" w:rsidP="006B1920">
      <w:r>
        <w:t>A</w:t>
      </w:r>
      <w:r w:rsidR="004C1E34">
        <w:t xml:space="preserve"> thoroughly revised IT system was introduced </w:t>
      </w:r>
      <w:r>
        <w:t>in 2018</w:t>
      </w:r>
      <w:r w:rsidR="004C1E34">
        <w:t xml:space="preserve"> to improve the experience of foreign investors and their advisers in lodging </w:t>
      </w:r>
      <w:r w:rsidR="00F41A50">
        <w:t>foreign investment</w:t>
      </w:r>
      <w:r w:rsidR="004C1E34">
        <w:t xml:space="preserve"> applications and to </w:t>
      </w:r>
      <w:r>
        <w:t>enhance</w:t>
      </w:r>
      <w:r w:rsidR="004C1E34">
        <w:t xml:space="preserve"> case management. The </w:t>
      </w:r>
      <w:r>
        <w:t xml:space="preserve">system </w:t>
      </w:r>
      <w:r w:rsidR="004C1E34">
        <w:t xml:space="preserve">deployment was successful and feedback has been positive. </w:t>
      </w:r>
    </w:p>
    <w:p w14:paraId="788716CB" w14:textId="29474D20" w:rsidR="006B1920" w:rsidRPr="00B605F9" w:rsidRDefault="006B1920" w:rsidP="006B1920">
      <w:r w:rsidRPr="00B605F9">
        <w:t xml:space="preserve">Compliance with the foreign investment framework </w:t>
      </w:r>
      <w:r>
        <w:t>remains</w:t>
      </w:r>
      <w:r w:rsidRPr="00B605F9">
        <w:t xml:space="preserve"> a priority for the </w:t>
      </w:r>
      <w:r w:rsidR="00A12419">
        <w:t>Board</w:t>
      </w:r>
      <w:r w:rsidRPr="00B605F9">
        <w:t>. In</w:t>
      </w:r>
      <w:r w:rsidR="00E429DC">
        <w:t xml:space="preserve"> </w:t>
      </w:r>
      <w:r>
        <w:br/>
      </w:r>
      <w:r w:rsidRPr="00B605F9">
        <w:t xml:space="preserve">2017–18, </w:t>
      </w:r>
      <w:r>
        <w:t xml:space="preserve">Treasury launched a </w:t>
      </w:r>
      <w:r w:rsidRPr="00B605F9">
        <w:t xml:space="preserve">pilot </w:t>
      </w:r>
      <w:r>
        <w:t xml:space="preserve">series of compliance audits on previous </w:t>
      </w:r>
      <w:r w:rsidR="008343A5">
        <w:t xml:space="preserve">foreign investment </w:t>
      </w:r>
      <w:r>
        <w:t xml:space="preserve">approvals. The pilot </w:t>
      </w:r>
      <w:r w:rsidRPr="00B605F9">
        <w:t xml:space="preserve">provided useful intelligence to support Treasury’s ongoing assurance activities and broader process improvements. </w:t>
      </w:r>
      <w:r w:rsidR="004C1E34">
        <w:t xml:space="preserve">It is pleasing that this work did not reveal evidence of serious non-compliance. </w:t>
      </w:r>
      <w:r w:rsidR="00286F89">
        <w:t>Compliance</w:t>
      </w:r>
      <w:r w:rsidR="00A12419">
        <w:t xml:space="preserve"> </w:t>
      </w:r>
      <w:r w:rsidR="00B113B5">
        <w:t>related work</w:t>
      </w:r>
      <w:r w:rsidR="004C1E34">
        <w:t xml:space="preserve"> is particularly important </w:t>
      </w:r>
      <w:r w:rsidR="00286F89">
        <w:t>due to</w:t>
      </w:r>
      <w:r w:rsidR="004C1E34">
        <w:t xml:space="preserve"> the increasing complexity and sensitivity of cases </w:t>
      </w:r>
      <w:r w:rsidR="00A12419">
        <w:t>and w</w:t>
      </w:r>
      <w:r w:rsidR="007F2C5E">
        <w:t xml:space="preserve">e would like to see </w:t>
      </w:r>
      <w:r w:rsidR="00286F89">
        <w:t>this work</w:t>
      </w:r>
      <w:r w:rsidR="007F2C5E">
        <w:t xml:space="preserve"> expanded if possible</w:t>
      </w:r>
      <w:r w:rsidR="004C1E34">
        <w:t>.</w:t>
      </w:r>
    </w:p>
    <w:p w14:paraId="21267BE0" w14:textId="358BC6DC" w:rsidR="004C1E34" w:rsidRDefault="004C1E34" w:rsidP="006B1920">
      <w:r>
        <w:t xml:space="preserve">The Board has also taken a keen interest in foreign investment developments overseas. The United States, the United Kingdom and other countries are making significant reforms to their </w:t>
      </w:r>
      <w:r w:rsidR="00747B25">
        <w:t>foreign investment regimes</w:t>
      </w:r>
      <w:r w:rsidR="008F0435">
        <w:t>, particularly in respect of national security issues</w:t>
      </w:r>
      <w:r>
        <w:t>. I</w:t>
      </w:r>
      <w:r w:rsidDel="008F0435">
        <w:t xml:space="preserve"> </w:t>
      </w:r>
      <w:r w:rsidR="008F0435">
        <w:t xml:space="preserve">travelled </w:t>
      </w:r>
      <w:r>
        <w:t>to the U</w:t>
      </w:r>
      <w:r w:rsidR="00F41A50">
        <w:t xml:space="preserve">nited </w:t>
      </w:r>
      <w:r>
        <w:t>S</w:t>
      </w:r>
      <w:r w:rsidR="00F41A50">
        <w:t>tates</w:t>
      </w:r>
      <w:r>
        <w:t xml:space="preserve"> to learn more about </w:t>
      </w:r>
      <w:r w:rsidR="00D16011">
        <w:t>their</w:t>
      </w:r>
      <w:r w:rsidR="008F0435">
        <w:t xml:space="preserve"> </w:t>
      </w:r>
      <w:r>
        <w:t>changes</w:t>
      </w:r>
      <w:r w:rsidR="007F2C5E">
        <w:t xml:space="preserve"> first hand</w:t>
      </w:r>
      <w:r>
        <w:t>. While Australia has a</w:t>
      </w:r>
      <w:r w:rsidR="00747B25">
        <w:t>n</w:t>
      </w:r>
      <w:r>
        <w:t xml:space="preserve"> </w:t>
      </w:r>
      <w:r w:rsidR="00747B25">
        <w:t>effective</w:t>
      </w:r>
      <w:r>
        <w:t xml:space="preserve"> </w:t>
      </w:r>
      <w:r w:rsidR="00747B25">
        <w:t>foreign investment framework</w:t>
      </w:r>
      <w:r>
        <w:t>, it is important that we understand what other countries are doing and what we can learn from them.</w:t>
      </w:r>
      <w:r w:rsidR="000260C7">
        <w:t xml:space="preserve"> The Board will continue to examine ways</w:t>
      </w:r>
      <w:r w:rsidR="000260C7" w:rsidDel="00A12419">
        <w:t xml:space="preserve"> </w:t>
      </w:r>
      <w:r w:rsidR="000260C7">
        <w:t xml:space="preserve">to streamline and strengthen </w:t>
      </w:r>
      <w:r w:rsidR="00A74639">
        <w:t>foreign investment review</w:t>
      </w:r>
      <w:r w:rsidR="000260C7">
        <w:t xml:space="preserve"> processes.</w:t>
      </w:r>
    </w:p>
    <w:p w14:paraId="71825CFC" w14:textId="5DC340BE" w:rsidR="006B1920" w:rsidRPr="00CB54C2" w:rsidRDefault="004C1E34" w:rsidP="006B1920">
      <w:r>
        <w:t xml:space="preserve">Finally, I would like to </w:t>
      </w:r>
      <w:r w:rsidR="006B1920" w:rsidRPr="00CB54C2">
        <w:t>thank my colleagues for their ongoing contribution and commitment.</w:t>
      </w:r>
      <w:r w:rsidR="009E138B">
        <w:t xml:space="preserve"> I</w:t>
      </w:r>
      <w:r w:rsidR="00233B36">
        <w:t> </w:t>
      </w:r>
      <w:r w:rsidR="009E138B">
        <w:t xml:space="preserve">particularly record my appreciation for the work of </w:t>
      </w:r>
      <w:r w:rsidR="00236463">
        <w:t xml:space="preserve">Mr </w:t>
      </w:r>
      <w:r w:rsidR="009E138B">
        <w:t>Patrick Secker over his five year term</w:t>
      </w:r>
      <w:r w:rsidR="00B51866">
        <w:t>,</w:t>
      </w:r>
      <w:r w:rsidR="009E138B">
        <w:t xml:space="preserve"> and I warmly welcome </w:t>
      </w:r>
      <w:r w:rsidR="00236463">
        <w:t xml:space="preserve">Mr </w:t>
      </w:r>
      <w:r w:rsidR="009E138B">
        <w:t>Nick Minchin who bring</w:t>
      </w:r>
      <w:r w:rsidR="008378D3">
        <w:t>s</w:t>
      </w:r>
      <w:r w:rsidR="009E138B">
        <w:t xml:space="preserve"> a range of skills and perspectives </w:t>
      </w:r>
      <w:r w:rsidR="00B51866">
        <w:t>to</w:t>
      </w:r>
      <w:r w:rsidR="009E138B">
        <w:t xml:space="preserve"> the Board.</w:t>
      </w:r>
    </w:p>
    <w:p w14:paraId="31361753" w14:textId="77777777" w:rsidR="006B1920" w:rsidRPr="00CB54C2" w:rsidRDefault="006B1920" w:rsidP="006B1920">
      <w:pPr>
        <w:spacing w:after="400"/>
      </w:pPr>
      <w:r w:rsidRPr="00CB54C2">
        <w:t>Yours sincerely</w:t>
      </w:r>
    </w:p>
    <w:p w14:paraId="6BB45C19" w14:textId="77777777" w:rsidR="00CB54C2" w:rsidRPr="00CB54C2" w:rsidRDefault="00CB54C2" w:rsidP="00A344BF">
      <w:pPr>
        <w:pStyle w:val="TableGraphic"/>
      </w:pPr>
      <w:r w:rsidRPr="00CB54C2">
        <w:rPr>
          <w:noProof/>
        </w:rPr>
        <w:drawing>
          <wp:inline distT="0" distB="0" distL="0" distR="0" wp14:anchorId="17D6DA5C" wp14:editId="2883C11B">
            <wp:extent cx="1276709" cy="379757"/>
            <wp:effectExtent l="0" t="0" r="0" b="1270"/>
            <wp:docPr id="18" name="Picture 18" descr="Signature of David Irvin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Irvine signature.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6263" cy="382599"/>
                    </a:xfrm>
                    <a:prstGeom prst="rect">
                      <a:avLst/>
                    </a:prstGeom>
                  </pic:spPr>
                </pic:pic>
              </a:graphicData>
            </a:graphic>
          </wp:inline>
        </w:drawing>
      </w:r>
    </w:p>
    <w:p w14:paraId="013E176F" w14:textId="63068995" w:rsidR="00CB54C2" w:rsidRPr="00CB54C2" w:rsidRDefault="00CB54C2" w:rsidP="00CB54C2">
      <w:pPr>
        <w:jc w:val="left"/>
        <w:rPr>
          <w:sz w:val="18"/>
        </w:rPr>
      </w:pPr>
      <w:r w:rsidRPr="00CB54C2">
        <w:t>David Irvine AO</w:t>
      </w:r>
      <w:r w:rsidRPr="00CB54C2">
        <w:br/>
        <w:t>Chair</w:t>
      </w:r>
    </w:p>
    <w:p w14:paraId="4615A376" w14:textId="77777777" w:rsidR="00CB54C2" w:rsidRPr="00CB54C2" w:rsidRDefault="00CB54C2" w:rsidP="00CB54C2">
      <w:bookmarkStart w:id="1" w:name="_Toc341070502"/>
      <w:bookmarkStart w:id="2" w:name="_Toc341498333"/>
      <w:bookmarkStart w:id="3" w:name="_Toc341498509"/>
      <w:bookmarkStart w:id="4" w:name="_Toc342795680"/>
      <w:bookmarkStart w:id="5" w:name="_Toc344015210"/>
      <w:bookmarkStart w:id="6" w:name="_Toc368474012"/>
      <w:bookmarkStart w:id="7" w:name="_Toc371135350"/>
      <w:bookmarkStart w:id="8" w:name="_Toc410717772"/>
      <w:bookmarkStart w:id="9" w:name="_Toc440182425"/>
      <w:bookmarkStart w:id="10" w:name="_Toc440182485"/>
      <w:bookmarkStart w:id="11" w:name="_Toc440182796"/>
      <w:bookmarkStart w:id="12" w:name="_Toc440187218"/>
      <w:bookmarkStart w:id="13" w:name="_Toc440187269"/>
      <w:bookmarkStart w:id="14" w:name="_Toc440187369"/>
      <w:bookmarkStart w:id="15" w:name="_Toc440187395"/>
      <w:bookmarkStart w:id="16" w:name="_Toc44018740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72CD12A" w14:textId="77777777" w:rsidR="00CB54C2" w:rsidRPr="00CB54C2" w:rsidRDefault="00CB54C2" w:rsidP="00CB54C2">
      <w:pPr>
        <w:sectPr w:rsidR="00CB54C2" w:rsidRPr="00CB54C2" w:rsidSect="00CB54C2">
          <w:footerReference w:type="first" r:id="rId32"/>
          <w:pgSz w:w="11907" w:h="16840" w:code="9"/>
          <w:pgMar w:top="2466" w:right="2098" w:bottom="2466" w:left="2098" w:header="1899" w:footer="1899" w:gutter="0"/>
          <w:pgNumType w:fmt="lowerRoman"/>
          <w:cols w:space="720"/>
          <w:titlePg/>
          <w:docGrid w:linePitch="360"/>
        </w:sectPr>
      </w:pPr>
    </w:p>
    <w:p w14:paraId="1D6121C2" w14:textId="77777777" w:rsidR="00CB54C2" w:rsidRPr="001938CE" w:rsidRDefault="00CB54C2" w:rsidP="003C2223">
      <w:pPr>
        <w:pStyle w:val="Heading1noTOC"/>
      </w:pPr>
      <w:bookmarkStart w:id="17" w:name="_Toc529545225"/>
      <w:r w:rsidRPr="003C2223">
        <w:t>Contents</w:t>
      </w:r>
      <w:bookmarkEnd w:id="17"/>
    </w:p>
    <w:sdt>
      <w:sdtPr>
        <w:rPr>
          <w:rFonts w:asciiTheme="minorHAnsi" w:hAnsiTheme="minorHAnsi"/>
          <w:b w:val="0"/>
          <w:smallCaps w:val="0"/>
          <w:noProof w:val="0"/>
          <w:color w:val="000000"/>
          <w:sz w:val="20"/>
          <w:szCs w:val="20"/>
        </w:rPr>
        <w:id w:val="-1176263823"/>
        <w:docPartObj>
          <w:docPartGallery w:val="Table of Contents"/>
          <w:docPartUnique/>
        </w:docPartObj>
      </w:sdtPr>
      <w:sdtEndPr>
        <w:rPr>
          <w:bCs/>
        </w:rPr>
      </w:sdtEndPr>
      <w:sdtContent>
        <w:p w14:paraId="4978CBA8" w14:textId="1927441A" w:rsidR="000F6E96" w:rsidRDefault="00395823">
          <w:pPr>
            <w:pStyle w:val="TOC1"/>
            <w:rPr>
              <w:rFonts w:asciiTheme="minorHAnsi" w:eastAsiaTheme="minorEastAsia" w:hAnsiTheme="minorHAnsi" w:cstheme="minorBidi"/>
              <w:b w:val="0"/>
              <w:smallCaps w:val="0"/>
              <w:color w:val="auto"/>
              <w:sz w:val="22"/>
              <w:lang w:eastAsia="zh-CN"/>
            </w:rPr>
          </w:pPr>
          <w:r>
            <w:fldChar w:fldCharType="begin"/>
          </w:r>
          <w:r>
            <w:instrText xml:space="preserve"> TOC \o "1-2" \h \z \u </w:instrText>
          </w:r>
          <w:r>
            <w:fldChar w:fldCharType="separate"/>
          </w:r>
          <w:hyperlink w:anchor="_Toc1121956" w:history="1">
            <w:r w:rsidR="000F6E96" w:rsidRPr="00F8666A">
              <w:rPr>
                <w:rStyle w:val="Hyperlink"/>
              </w:rPr>
              <w:t>Executive Summary</w:t>
            </w:r>
            <w:r w:rsidR="000F6E96">
              <w:rPr>
                <w:webHidden/>
              </w:rPr>
              <w:tab/>
            </w:r>
            <w:r w:rsidR="000F6E96">
              <w:rPr>
                <w:webHidden/>
              </w:rPr>
              <w:fldChar w:fldCharType="begin"/>
            </w:r>
            <w:r w:rsidR="000F6E96">
              <w:rPr>
                <w:webHidden/>
              </w:rPr>
              <w:instrText xml:space="preserve"> PAGEREF _Toc1121956 \h </w:instrText>
            </w:r>
            <w:r w:rsidR="000F6E96">
              <w:rPr>
                <w:webHidden/>
              </w:rPr>
            </w:r>
            <w:r w:rsidR="000F6E96">
              <w:rPr>
                <w:webHidden/>
              </w:rPr>
              <w:fldChar w:fldCharType="separate"/>
            </w:r>
            <w:r w:rsidR="009B4867">
              <w:rPr>
                <w:webHidden/>
              </w:rPr>
              <w:t>1</w:t>
            </w:r>
            <w:r w:rsidR="000F6E96">
              <w:rPr>
                <w:webHidden/>
              </w:rPr>
              <w:fldChar w:fldCharType="end"/>
            </w:r>
          </w:hyperlink>
        </w:p>
        <w:p w14:paraId="3A29CF3D" w14:textId="126C5803" w:rsidR="000F6E96" w:rsidRDefault="004F2B6E">
          <w:pPr>
            <w:pStyle w:val="TOC1"/>
            <w:rPr>
              <w:rFonts w:asciiTheme="minorHAnsi" w:eastAsiaTheme="minorEastAsia" w:hAnsiTheme="minorHAnsi" w:cstheme="minorBidi"/>
              <w:b w:val="0"/>
              <w:smallCaps w:val="0"/>
              <w:color w:val="auto"/>
              <w:sz w:val="22"/>
              <w:lang w:eastAsia="zh-CN"/>
            </w:rPr>
          </w:pPr>
          <w:hyperlink w:anchor="_Toc1121957" w:history="1">
            <w:r w:rsidR="000F6E96" w:rsidRPr="00F8666A">
              <w:rPr>
                <w:rStyle w:val="Hyperlink"/>
              </w:rPr>
              <w:t>Overview of report</w:t>
            </w:r>
            <w:r w:rsidR="000F6E96">
              <w:rPr>
                <w:webHidden/>
              </w:rPr>
              <w:tab/>
            </w:r>
            <w:r w:rsidR="000F6E96">
              <w:rPr>
                <w:webHidden/>
              </w:rPr>
              <w:fldChar w:fldCharType="begin"/>
            </w:r>
            <w:r w:rsidR="000F6E96">
              <w:rPr>
                <w:webHidden/>
              </w:rPr>
              <w:instrText xml:space="preserve"> PAGEREF _Toc1121957 \h </w:instrText>
            </w:r>
            <w:r w:rsidR="000F6E96">
              <w:rPr>
                <w:webHidden/>
              </w:rPr>
            </w:r>
            <w:r w:rsidR="000F6E96">
              <w:rPr>
                <w:webHidden/>
              </w:rPr>
              <w:fldChar w:fldCharType="separate"/>
            </w:r>
            <w:r w:rsidR="009B4867">
              <w:rPr>
                <w:webHidden/>
              </w:rPr>
              <w:t>3</w:t>
            </w:r>
            <w:r w:rsidR="000F6E96">
              <w:rPr>
                <w:webHidden/>
              </w:rPr>
              <w:fldChar w:fldCharType="end"/>
            </w:r>
          </w:hyperlink>
        </w:p>
        <w:p w14:paraId="71001D84" w14:textId="61793844" w:rsidR="000F6E96" w:rsidRDefault="004F2B6E">
          <w:pPr>
            <w:pStyle w:val="TOC1"/>
            <w:rPr>
              <w:rFonts w:asciiTheme="minorHAnsi" w:eastAsiaTheme="minorEastAsia" w:hAnsiTheme="minorHAnsi" w:cstheme="minorBidi"/>
              <w:b w:val="0"/>
              <w:smallCaps w:val="0"/>
              <w:color w:val="auto"/>
              <w:sz w:val="22"/>
              <w:lang w:eastAsia="zh-CN"/>
            </w:rPr>
          </w:pPr>
          <w:hyperlink w:anchor="_Toc1121958" w:history="1">
            <w:r w:rsidR="000F6E96" w:rsidRPr="00F8666A">
              <w:rPr>
                <w:rStyle w:val="Hyperlink"/>
              </w:rPr>
              <w:t>Chapter One: The Foreign Investment Review Board</w:t>
            </w:r>
            <w:r w:rsidR="000F6E96">
              <w:rPr>
                <w:webHidden/>
              </w:rPr>
              <w:tab/>
            </w:r>
            <w:r w:rsidR="000F6E96">
              <w:rPr>
                <w:webHidden/>
              </w:rPr>
              <w:fldChar w:fldCharType="begin"/>
            </w:r>
            <w:r w:rsidR="000F6E96">
              <w:rPr>
                <w:webHidden/>
              </w:rPr>
              <w:instrText xml:space="preserve"> PAGEREF _Toc1121958 \h </w:instrText>
            </w:r>
            <w:r w:rsidR="000F6E96">
              <w:rPr>
                <w:webHidden/>
              </w:rPr>
            </w:r>
            <w:r w:rsidR="000F6E96">
              <w:rPr>
                <w:webHidden/>
              </w:rPr>
              <w:fldChar w:fldCharType="separate"/>
            </w:r>
            <w:r w:rsidR="009B4867">
              <w:rPr>
                <w:webHidden/>
              </w:rPr>
              <w:t>3</w:t>
            </w:r>
            <w:r w:rsidR="000F6E96">
              <w:rPr>
                <w:webHidden/>
              </w:rPr>
              <w:fldChar w:fldCharType="end"/>
            </w:r>
          </w:hyperlink>
        </w:p>
        <w:p w14:paraId="2C79404C" w14:textId="027065FE" w:rsidR="000F6E96" w:rsidRDefault="004F2B6E">
          <w:pPr>
            <w:pStyle w:val="TOC2"/>
            <w:rPr>
              <w:rFonts w:asciiTheme="minorHAnsi" w:eastAsiaTheme="minorEastAsia" w:hAnsiTheme="minorHAnsi" w:cstheme="minorBidi"/>
              <w:color w:val="auto"/>
              <w:sz w:val="22"/>
              <w:szCs w:val="22"/>
              <w:lang w:eastAsia="zh-CN"/>
            </w:rPr>
          </w:pPr>
          <w:hyperlink w:anchor="_Toc1121959" w:history="1">
            <w:r w:rsidR="000F6E96" w:rsidRPr="00F8666A">
              <w:rPr>
                <w:rStyle w:val="Hyperlink"/>
                <w:rFonts w:eastAsiaTheme="majorEastAsia"/>
              </w:rPr>
              <w:t>FIRB responsibilities</w:t>
            </w:r>
            <w:r w:rsidR="000F6E96">
              <w:rPr>
                <w:webHidden/>
              </w:rPr>
              <w:tab/>
            </w:r>
            <w:r w:rsidR="000F6E96">
              <w:rPr>
                <w:webHidden/>
              </w:rPr>
              <w:fldChar w:fldCharType="begin"/>
            </w:r>
            <w:r w:rsidR="000F6E96">
              <w:rPr>
                <w:webHidden/>
              </w:rPr>
              <w:instrText xml:space="preserve"> PAGEREF _Toc1121959 \h </w:instrText>
            </w:r>
            <w:r w:rsidR="000F6E96">
              <w:rPr>
                <w:webHidden/>
              </w:rPr>
            </w:r>
            <w:r w:rsidR="000F6E96">
              <w:rPr>
                <w:webHidden/>
              </w:rPr>
              <w:fldChar w:fldCharType="separate"/>
            </w:r>
            <w:r w:rsidR="009B4867">
              <w:rPr>
                <w:webHidden/>
              </w:rPr>
              <w:t>4</w:t>
            </w:r>
            <w:r w:rsidR="000F6E96">
              <w:rPr>
                <w:webHidden/>
              </w:rPr>
              <w:fldChar w:fldCharType="end"/>
            </w:r>
          </w:hyperlink>
        </w:p>
        <w:p w14:paraId="42A47A4D" w14:textId="2D057A38" w:rsidR="000F6E96" w:rsidRDefault="004F2B6E">
          <w:pPr>
            <w:pStyle w:val="TOC2"/>
            <w:rPr>
              <w:rFonts w:asciiTheme="minorHAnsi" w:eastAsiaTheme="minorEastAsia" w:hAnsiTheme="minorHAnsi" w:cstheme="minorBidi"/>
              <w:color w:val="auto"/>
              <w:sz w:val="22"/>
              <w:szCs w:val="22"/>
              <w:lang w:eastAsia="zh-CN"/>
            </w:rPr>
          </w:pPr>
          <w:hyperlink w:anchor="_Toc1121960" w:history="1">
            <w:r w:rsidR="000F6E96" w:rsidRPr="00F8666A">
              <w:rPr>
                <w:rStyle w:val="Hyperlink"/>
                <w:rFonts w:eastAsiaTheme="majorEastAsia"/>
              </w:rPr>
              <w:t>FIRB membership</w:t>
            </w:r>
            <w:r w:rsidR="000F6E96">
              <w:rPr>
                <w:webHidden/>
              </w:rPr>
              <w:tab/>
            </w:r>
            <w:r w:rsidR="000F6E96">
              <w:rPr>
                <w:webHidden/>
              </w:rPr>
              <w:fldChar w:fldCharType="begin"/>
            </w:r>
            <w:r w:rsidR="000F6E96">
              <w:rPr>
                <w:webHidden/>
              </w:rPr>
              <w:instrText xml:space="preserve"> PAGEREF _Toc1121960 \h </w:instrText>
            </w:r>
            <w:r w:rsidR="000F6E96">
              <w:rPr>
                <w:webHidden/>
              </w:rPr>
            </w:r>
            <w:r w:rsidR="000F6E96">
              <w:rPr>
                <w:webHidden/>
              </w:rPr>
              <w:fldChar w:fldCharType="separate"/>
            </w:r>
            <w:r w:rsidR="009B4867">
              <w:rPr>
                <w:webHidden/>
              </w:rPr>
              <w:t>4</w:t>
            </w:r>
            <w:r w:rsidR="000F6E96">
              <w:rPr>
                <w:webHidden/>
              </w:rPr>
              <w:fldChar w:fldCharType="end"/>
            </w:r>
          </w:hyperlink>
        </w:p>
        <w:p w14:paraId="3AF4BBE2" w14:textId="462E91FC" w:rsidR="000F6E96" w:rsidRDefault="004F2B6E">
          <w:pPr>
            <w:pStyle w:val="TOC2"/>
            <w:rPr>
              <w:rFonts w:asciiTheme="minorHAnsi" w:eastAsiaTheme="minorEastAsia" w:hAnsiTheme="minorHAnsi" w:cstheme="minorBidi"/>
              <w:color w:val="auto"/>
              <w:sz w:val="22"/>
              <w:szCs w:val="22"/>
              <w:lang w:eastAsia="zh-CN"/>
            </w:rPr>
          </w:pPr>
          <w:hyperlink w:anchor="_Toc1121961" w:history="1">
            <w:r w:rsidR="000F6E96" w:rsidRPr="00F8666A">
              <w:rPr>
                <w:rStyle w:val="Hyperlink"/>
              </w:rPr>
              <w:t>Public speeches</w:t>
            </w:r>
            <w:r w:rsidR="000F6E96">
              <w:rPr>
                <w:webHidden/>
              </w:rPr>
              <w:tab/>
            </w:r>
            <w:r w:rsidR="000F6E96">
              <w:rPr>
                <w:webHidden/>
              </w:rPr>
              <w:fldChar w:fldCharType="begin"/>
            </w:r>
            <w:r w:rsidR="000F6E96">
              <w:rPr>
                <w:webHidden/>
              </w:rPr>
              <w:instrText xml:space="preserve"> PAGEREF _Toc1121961 \h </w:instrText>
            </w:r>
            <w:r w:rsidR="000F6E96">
              <w:rPr>
                <w:webHidden/>
              </w:rPr>
            </w:r>
            <w:r w:rsidR="000F6E96">
              <w:rPr>
                <w:webHidden/>
              </w:rPr>
              <w:fldChar w:fldCharType="separate"/>
            </w:r>
            <w:r w:rsidR="009B4867">
              <w:rPr>
                <w:webHidden/>
              </w:rPr>
              <w:t>9</w:t>
            </w:r>
            <w:r w:rsidR="000F6E96">
              <w:rPr>
                <w:webHidden/>
              </w:rPr>
              <w:fldChar w:fldCharType="end"/>
            </w:r>
          </w:hyperlink>
        </w:p>
        <w:p w14:paraId="59D893C2" w14:textId="03A340A6" w:rsidR="000F6E96" w:rsidRDefault="004F2B6E">
          <w:pPr>
            <w:pStyle w:val="TOC2"/>
            <w:rPr>
              <w:rFonts w:asciiTheme="minorHAnsi" w:eastAsiaTheme="minorEastAsia" w:hAnsiTheme="minorHAnsi" w:cstheme="minorBidi"/>
              <w:color w:val="auto"/>
              <w:sz w:val="22"/>
              <w:szCs w:val="22"/>
              <w:lang w:eastAsia="zh-CN"/>
            </w:rPr>
          </w:pPr>
          <w:hyperlink w:anchor="_Toc1121962" w:history="1">
            <w:r w:rsidR="000F6E96" w:rsidRPr="00F8666A">
              <w:rPr>
                <w:rStyle w:val="Hyperlink"/>
              </w:rPr>
              <w:t>FIRB agencies</w:t>
            </w:r>
            <w:r w:rsidR="000F6E96">
              <w:rPr>
                <w:webHidden/>
              </w:rPr>
              <w:tab/>
            </w:r>
            <w:r w:rsidR="000F6E96">
              <w:rPr>
                <w:webHidden/>
              </w:rPr>
              <w:fldChar w:fldCharType="begin"/>
            </w:r>
            <w:r w:rsidR="000F6E96">
              <w:rPr>
                <w:webHidden/>
              </w:rPr>
              <w:instrText xml:space="preserve"> PAGEREF _Toc1121962 \h </w:instrText>
            </w:r>
            <w:r w:rsidR="000F6E96">
              <w:rPr>
                <w:webHidden/>
              </w:rPr>
            </w:r>
            <w:r w:rsidR="000F6E96">
              <w:rPr>
                <w:webHidden/>
              </w:rPr>
              <w:fldChar w:fldCharType="separate"/>
            </w:r>
            <w:r w:rsidR="009B4867">
              <w:rPr>
                <w:webHidden/>
              </w:rPr>
              <w:t>9</w:t>
            </w:r>
            <w:r w:rsidR="000F6E96">
              <w:rPr>
                <w:webHidden/>
              </w:rPr>
              <w:fldChar w:fldCharType="end"/>
            </w:r>
          </w:hyperlink>
        </w:p>
        <w:p w14:paraId="64A95E54" w14:textId="28F3DA73" w:rsidR="000F6E96" w:rsidRDefault="004F2B6E">
          <w:pPr>
            <w:pStyle w:val="TOC2"/>
            <w:rPr>
              <w:rFonts w:asciiTheme="minorHAnsi" w:eastAsiaTheme="minorEastAsia" w:hAnsiTheme="minorHAnsi" w:cstheme="minorBidi"/>
              <w:color w:val="auto"/>
              <w:sz w:val="22"/>
              <w:szCs w:val="22"/>
              <w:lang w:eastAsia="zh-CN"/>
            </w:rPr>
          </w:pPr>
          <w:hyperlink w:anchor="_Toc1121963" w:history="1">
            <w:r w:rsidR="000F6E96" w:rsidRPr="00F8666A">
              <w:rPr>
                <w:rStyle w:val="Hyperlink"/>
              </w:rPr>
              <w:t>Stakeholder engagement</w:t>
            </w:r>
            <w:r w:rsidR="000F6E96">
              <w:rPr>
                <w:webHidden/>
              </w:rPr>
              <w:tab/>
            </w:r>
            <w:r w:rsidR="000F6E96">
              <w:rPr>
                <w:webHidden/>
              </w:rPr>
              <w:fldChar w:fldCharType="begin"/>
            </w:r>
            <w:r w:rsidR="000F6E96">
              <w:rPr>
                <w:webHidden/>
              </w:rPr>
              <w:instrText xml:space="preserve"> PAGEREF _Toc1121963 \h </w:instrText>
            </w:r>
            <w:r w:rsidR="000F6E96">
              <w:rPr>
                <w:webHidden/>
              </w:rPr>
            </w:r>
            <w:r w:rsidR="000F6E96">
              <w:rPr>
                <w:webHidden/>
              </w:rPr>
              <w:fldChar w:fldCharType="separate"/>
            </w:r>
            <w:r w:rsidR="009B4867">
              <w:rPr>
                <w:webHidden/>
              </w:rPr>
              <w:t>10</w:t>
            </w:r>
            <w:r w:rsidR="000F6E96">
              <w:rPr>
                <w:webHidden/>
              </w:rPr>
              <w:fldChar w:fldCharType="end"/>
            </w:r>
          </w:hyperlink>
        </w:p>
        <w:p w14:paraId="5094A916" w14:textId="2E1045D2" w:rsidR="000F6E96" w:rsidRDefault="004F2B6E">
          <w:pPr>
            <w:pStyle w:val="TOC2"/>
            <w:rPr>
              <w:rFonts w:asciiTheme="minorHAnsi" w:eastAsiaTheme="minorEastAsia" w:hAnsiTheme="minorHAnsi" w:cstheme="minorBidi"/>
              <w:color w:val="auto"/>
              <w:sz w:val="22"/>
              <w:szCs w:val="22"/>
              <w:lang w:eastAsia="zh-CN"/>
            </w:rPr>
          </w:pPr>
          <w:hyperlink w:anchor="_Toc1121964" w:history="1">
            <w:r w:rsidR="000F6E96" w:rsidRPr="00F8666A">
              <w:rPr>
                <w:rStyle w:val="Hyperlink"/>
              </w:rPr>
              <w:t>Operational costs</w:t>
            </w:r>
            <w:r w:rsidR="000F6E96">
              <w:rPr>
                <w:webHidden/>
              </w:rPr>
              <w:tab/>
            </w:r>
            <w:r w:rsidR="000F6E96">
              <w:rPr>
                <w:webHidden/>
              </w:rPr>
              <w:fldChar w:fldCharType="begin"/>
            </w:r>
            <w:r w:rsidR="000F6E96">
              <w:rPr>
                <w:webHidden/>
              </w:rPr>
              <w:instrText xml:space="preserve"> PAGEREF _Toc1121964 \h </w:instrText>
            </w:r>
            <w:r w:rsidR="000F6E96">
              <w:rPr>
                <w:webHidden/>
              </w:rPr>
            </w:r>
            <w:r w:rsidR="000F6E96">
              <w:rPr>
                <w:webHidden/>
              </w:rPr>
              <w:fldChar w:fldCharType="separate"/>
            </w:r>
            <w:r w:rsidR="009B4867">
              <w:rPr>
                <w:webHidden/>
              </w:rPr>
              <w:t>11</w:t>
            </w:r>
            <w:r w:rsidR="000F6E96">
              <w:rPr>
                <w:webHidden/>
              </w:rPr>
              <w:fldChar w:fldCharType="end"/>
            </w:r>
          </w:hyperlink>
        </w:p>
        <w:p w14:paraId="72279265" w14:textId="41534D2D" w:rsidR="000F6E96" w:rsidRDefault="004F2B6E">
          <w:pPr>
            <w:pStyle w:val="TOC1"/>
            <w:rPr>
              <w:rFonts w:asciiTheme="minorHAnsi" w:eastAsiaTheme="minorEastAsia" w:hAnsiTheme="minorHAnsi" w:cstheme="minorBidi"/>
              <w:b w:val="0"/>
              <w:smallCaps w:val="0"/>
              <w:color w:val="auto"/>
              <w:sz w:val="22"/>
              <w:lang w:eastAsia="zh-CN"/>
            </w:rPr>
          </w:pPr>
          <w:hyperlink w:anchor="_Toc1121965" w:history="1">
            <w:r w:rsidR="000F6E96" w:rsidRPr="00F8666A">
              <w:rPr>
                <w:rStyle w:val="Hyperlink"/>
              </w:rPr>
              <w:t>Chapter Two: The Foreign Investment Framework</w:t>
            </w:r>
            <w:r w:rsidR="000F6E96">
              <w:rPr>
                <w:webHidden/>
              </w:rPr>
              <w:tab/>
            </w:r>
            <w:r w:rsidR="000F6E96">
              <w:rPr>
                <w:webHidden/>
              </w:rPr>
              <w:fldChar w:fldCharType="begin"/>
            </w:r>
            <w:r w:rsidR="000F6E96">
              <w:rPr>
                <w:webHidden/>
              </w:rPr>
              <w:instrText xml:space="preserve"> PAGEREF _Toc1121965 \h </w:instrText>
            </w:r>
            <w:r w:rsidR="000F6E96">
              <w:rPr>
                <w:webHidden/>
              </w:rPr>
            </w:r>
            <w:r w:rsidR="000F6E96">
              <w:rPr>
                <w:webHidden/>
              </w:rPr>
              <w:fldChar w:fldCharType="separate"/>
            </w:r>
            <w:r w:rsidR="009B4867">
              <w:rPr>
                <w:webHidden/>
              </w:rPr>
              <w:t>12</w:t>
            </w:r>
            <w:r w:rsidR="000F6E96">
              <w:rPr>
                <w:webHidden/>
              </w:rPr>
              <w:fldChar w:fldCharType="end"/>
            </w:r>
          </w:hyperlink>
        </w:p>
        <w:p w14:paraId="732831FC" w14:textId="33C4808E" w:rsidR="000F6E96" w:rsidRDefault="004F2B6E">
          <w:pPr>
            <w:pStyle w:val="TOC2"/>
            <w:rPr>
              <w:rFonts w:asciiTheme="minorHAnsi" w:eastAsiaTheme="minorEastAsia" w:hAnsiTheme="minorHAnsi" w:cstheme="minorBidi"/>
              <w:color w:val="auto"/>
              <w:sz w:val="22"/>
              <w:szCs w:val="22"/>
              <w:lang w:eastAsia="zh-CN"/>
            </w:rPr>
          </w:pPr>
          <w:hyperlink w:anchor="_Toc1121966" w:history="1">
            <w:r w:rsidR="000F6E96" w:rsidRPr="00F8666A">
              <w:rPr>
                <w:rStyle w:val="Hyperlink"/>
              </w:rPr>
              <w:t>Foreign investment policies and priorities</w:t>
            </w:r>
            <w:r w:rsidR="000F6E96">
              <w:rPr>
                <w:webHidden/>
              </w:rPr>
              <w:tab/>
            </w:r>
            <w:r w:rsidR="000F6E96">
              <w:rPr>
                <w:webHidden/>
              </w:rPr>
              <w:fldChar w:fldCharType="begin"/>
            </w:r>
            <w:r w:rsidR="000F6E96">
              <w:rPr>
                <w:webHidden/>
              </w:rPr>
              <w:instrText xml:space="preserve"> PAGEREF _Toc1121966 \h </w:instrText>
            </w:r>
            <w:r w:rsidR="000F6E96">
              <w:rPr>
                <w:webHidden/>
              </w:rPr>
            </w:r>
            <w:r w:rsidR="000F6E96">
              <w:rPr>
                <w:webHidden/>
              </w:rPr>
              <w:fldChar w:fldCharType="separate"/>
            </w:r>
            <w:r w:rsidR="009B4867">
              <w:rPr>
                <w:webHidden/>
              </w:rPr>
              <w:t>12</w:t>
            </w:r>
            <w:r w:rsidR="000F6E96">
              <w:rPr>
                <w:webHidden/>
              </w:rPr>
              <w:fldChar w:fldCharType="end"/>
            </w:r>
          </w:hyperlink>
        </w:p>
        <w:p w14:paraId="68129624" w14:textId="14848CD3" w:rsidR="000F6E96" w:rsidRDefault="004F2B6E">
          <w:pPr>
            <w:pStyle w:val="TOC2"/>
            <w:rPr>
              <w:rFonts w:asciiTheme="minorHAnsi" w:eastAsiaTheme="minorEastAsia" w:hAnsiTheme="minorHAnsi" w:cstheme="minorBidi"/>
              <w:color w:val="auto"/>
              <w:sz w:val="22"/>
              <w:szCs w:val="22"/>
              <w:lang w:eastAsia="zh-CN"/>
            </w:rPr>
          </w:pPr>
          <w:hyperlink w:anchor="_Toc1121967" w:history="1">
            <w:r w:rsidR="000F6E96" w:rsidRPr="00F8666A">
              <w:rPr>
                <w:rStyle w:val="Hyperlink"/>
                <w:rFonts w:eastAsiaTheme="majorEastAsia"/>
              </w:rPr>
              <w:t>Managing national security risks to critical infrastructure</w:t>
            </w:r>
            <w:r w:rsidR="000F6E96">
              <w:rPr>
                <w:webHidden/>
              </w:rPr>
              <w:tab/>
            </w:r>
            <w:r w:rsidR="000F6E96">
              <w:rPr>
                <w:webHidden/>
              </w:rPr>
              <w:fldChar w:fldCharType="begin"/>
            </w:r>
            <w:r w:rsidR="000F6E96">
              <w:rPr>
                <w:webHidden/>
              </w:rPr>
              <w:instrText xml:space="preserve"> PAGEREF _Toc1121967 \h </w:instrText>
            </w:r>
            <w:r w:rsidR="000F6E96">
              <w:rPr>
                <w:webHidden/>
              </w:rPr>
            </w:r>
            <w:r w:rsidR="000F6E96">
              <w:rPr>
                <w:webHidden/>
              </w:rPr>
              <w:fldChar w:fldCharType="separate"/>
            </w:r>
            <w:r w:rsidR="009B4867">
              <w:rPr>
                <w:webHidden/>
              </w:rPr>
              <w:t>19</w:t>
            </w:r>
            <w:r w:rsidR="000F6E96">
              <w:rPr>
                <w:webHidden/>
              </w:rPr>
              <w:fldChar w:fldCharType="end"/>
            </w:r>
          </w:hyperlink>
        </w:p>
        <w:p w14:paraId="2C16DE30" w14:textId="3C1B27D6" w:rsidR="000F6E96" w:rsidRDefault="004F2B6E">
          <w:pPr>
            <w:pStyle w:val="TOC2"/>
            <w:rPr>
              <w:rFonts w:asciiTheme="minorHAnsi" w:eastAsiaTheme="minorEastAsia" w:hAnsiTheme="minorHAnsi" w:cstheme="minorBidi"/>
              <w:color w:val="auto"/>
              <w:sz w:val="22"/>
              <w:szCs w:val="22"/>
              <w:lang w:eastAsia="zh-CN"/>
            </w:rPr>
          </w:pPr>
          <w:hyperlink w:anchor="_Toc1121968" w:history="1">
            <w:r w:rsidR="000F6E96" w:rsidRPr="00F8666A">
              <w:rPr>
                <w:rStyle w:val="Hyperlink"/>
              </w:rPr>
              <w:t>The FIRB Application Portal</w:t>
            </w:r>
            <w:r w:rsidR="000F6E96">
              <w:rPr>
                <w:webHidden/>
              </w:rPr>
              <w:tab/>
            </w:r>
            <w:r w:rsidR="000F6E96">
              <w:rPr>
                <w:webHidden/>
              </w:rPr>
              <w:fldChar w:fldCharType="begin"/>
            </w:r>
            <w:r w:rsidR="000F6E96">
              <w:rPr>
                <w:webHidden/>
              </w:rPr>
              <w:instrText xml:space="preserve"> PAGEREF _Toc1121968 \h </w:instrText>
            </w:r>
            <w:r w:rsidR="000F6E96">
              <w:rPr>
                <w:webHidden/>
              </w:rPr>
            </w:r>
            <w:r w:rsidR="000F6E96">
              <w:rPr>
                <w:webHidden/>
              </w:rPr>
              <w:fldChar w:fldCharType="separate"/>
            </w:r>
            <w:r w:rsidR="009B4867">
              <w:rPr>
                <w:webHidden/>
              </w:rPr>
              <w:t>20</w:t>
            </w:r>
            <w:r w:rsidR="000F6E96">
              <w:rPr>
                <w:webHidden/>
              </w:rPr>
              <w:fldChar w:fldCharType="end"/>
            </w:r>
          </w:hyperlink>
        </w:p>
        <w:p w14:paraId="04569BA0" w14:textId="78D40485" w:rsidR="000F6E96" w:rsidRDefault="004F2B6E">
          <w:pPr>
            <w:pStyle w:val="TOC1"/>
            <w:rPr>
              <w:rFonts w:asciiTheme="minorHAnsi" w:eastAsiaTheme="minorEastAsia" w:hAnsiTheme="minorHAnsi" w:cstheme="minorBidi"/>
              <w:b w:val="0"/>
              <w:smallCaps w:val="0"/>
              <w:color w:val="auto"/>
              <w:sz w:val="22"/>
              <w:lang w:eastAsia="zh-CN"/>
            </w:rPr>
          </w:pPr>
          <w:hyperlink w:anchor="_Toc1121969" w:history="1">
            <w:r w:rsidR="000F6E96" w:rsidRPr="00F8666A">
              <w:rPr>
                <w:rStyle w:val="Hyperlink"/>
              </w:rPr>
              <w:t>Chapter Three: Applications Data</w:t>
            </w:r>
            <w:r w:rsidR="000F6E96">
              <w:rPr>
                <w:webHidden/>
              </w:rPr>
              <w:tab/>
            </w:r>
            <w:r w:rsidR="000F6E96">
              <w:rPr>
                <w:webHidden/>
              </w:rPr>
              <w:fldChar w:fldCharType="begin"/>
            </w:r>
            <w:r w:rsidR="000F6E96">
              <w:rPr>
                <w:webHidden/>
              </w:rPr>
              <w:instrText xml:space="preserve"> PAGEREF _Toc1121969 \h </w:instrText>
            </w:r>
            <w:r w:rsidR="000F6E96">
              <w:rPr>
                <w:webHidden/>
              </w:rPr>
            </w:r>
            <w:r w:rsidR="000F6E96">
              <w:rPr>
                <w:webHidden/>
              </w:rPr>
              <w:fldChar w:fldCharType="separate"/>
            </w:r>
            <w:r w:rsidR="009B4867">
              <w:rPr>
                <w:webHidden/>
              </w:rPr>
              <w:t>23</w:t>
            </w:r>
            <w:r w:rsidR="000F6E96">
              <w:rPr>
                <w:webHidden/>
              </w:rPr>
              <w:fldChar w:fldCharType="end"/>
            </w:r>
          </w:hyperlink>
        </w:p>
        <w:p w14:paraId="099D07D8" w14:textId="78BE62F7" w:rsidR="000F6E96" w:rsidRDefault="004F2B6E">
          <w:pPr>
            <w:pStyle w:val="TOC2"/>
            <w:rPr>
              <w:rFonts w:asciiTheme="minorHAnsi" w:eastAsiaTheme="minorEastAsia" w:hAnsiTheme="minorHAnsi" w:cstheme="minorBidi"/>
              <w:color w:val="auto"/>
              <w:sz w:val="22"/>
              <w:szCs w:val="22"/>
              <w:lang w:eastAsia="zh-CN"/>
            </w:rPr>
          </w:pPr>
          <w:hyperlink w:anchor="_Toc1121970" w:history="1">
            <w:r w:rsidR="000F6E96" w:rsidRPr="00F8666A">
              <w:rPr>
                <w:rStyle w:val="Hyperlink"/>
              </w:rPr>
              <w:t>Overall applications considered</w:t>
            </w:r>
            <w:r w:rsidR="000F6E96">
              <w:rPr>
                <w:webHidden/>
              </w:rPr>
              <w:tab/>
            </w:r>
            <w:r w:rsidR="000F6E96">
              <w:rPr>
                <w:webHidden/>
              </w:rPr>
              <w:fldChar w:fldCharType="begin"/>
            </w:r>
            <w:r w:rsidR="000F6E96">
              <w:rPr>
                <w:webHidden/>
              </w:rPr>
              <w:instrText xml:space="preserve"> PAGEREF _Toc1121970 \h </w:instrText>
            </w:r>
            <w:r w:rsidR="000F6E96">
              <w:rPr>
                <w:webHidden/>
              </w:rPr>
            </w:r>
            <w:r w:rsidR="000F6E96">
              <w:rPr>
                <w:webHidden/>
              </w:rPr>
              <w:fldChar w:fldCharType="separate"/>
            </w:r>
            <w:r w:rsidR="009B4867">
              <w:rPr>
                <w:webHidden/>
              </w:rPr>
              <w:t>24</w:t>
            </w:r>
            <w:r w:rsidR="000F6E96">
              <w:rPr>
                <w:webHidden/>
              </w:rPr>
              <w:fldChar w:fldCharType="end"/>
            </w:r>
          </w:hyperlink>
        </w:p>
        <w:p w14:paraId="68429E37" w14:textId="3AE7994A" w:rsidR="000F6E96" w:rsidRDefault="004F2B6E">
          <w:pPr>
            <w:pStyle w:val="TOC2"/>
            <w:rPr>
              <w:rFonts w:asciiTheme="minorHAnsi" w:eastAsiaTheme="minorEastAsia" w:hAnsiTheme="minorHAnsi" w:cstheme="minorBidi"/>
              <w:color w:val="auto"/>
              <w:sz w:val="22"/>
              <w:szCs w:val="22"/>
              <w:lang w:eastAsia="zh-CN"/>
            </w:rPr>
          </w:pPr>
          <w:hyperlink w:anchor="_Toc1121971" w:history="1">
            <w:r w:rsidR="000F6E96" w:rsidRPr="00F8666A">
              <w:rPr>
                <w:rStyle w:val="Hyperlink"/>
              </w:rPr>
              <w:t>Approvals overview</w:t>
            </w:r>
            <w:r w:rsidR="000F6E96">
              <w:rPr>
                <w:webHidden/>
              </w:rPr>
              <w:tab/>
            </w:r>
            <w:r w:rsidR="000F6E96">
              <w:rPr>
                <w:webHidden/>
              </w:rPr>
              <w:fldChar w:fldCharType="begin"/>
            </w:r>
            <w:r w:rsidR="000F6E96">
              <w:rPr>
                <w:webHidden/>
              </w:rPr>
              <w:instrText xml:space="preserve"> PAGEREF _Toc1121971 \h </w:instrText>
            </w:r>
            <w:r w:rsidR="000F6E96">
              <w:rPr>
                <w:webHidden/>
              </w:rPr>
            </w:r>
            <w:r w:rsidR="000F6E96">
              <w:rPr>
                <w:webHidden/>
              </w:rPr>
              <w:fldChar w:fldCharType="separate"/>
            </w:r>
            <w:r w:rsidR="009B4867">
              <w:rPr>
                <w:webHidden/>
              </w:rPr>
              <w:t>26</w:t>
            </w:r>
            <w:r w:rsidR="000F6E96">
              <w:rPr>
                <w:webHidden/>
              </w:rPr>
              <w:fldChar w:fldCharType="end"/>
            </w:r>
          </w:hyperlink>
        </w:p>
        <w:p w14:paraId="5EBC9F63" w14:textId="61F07396" w:rsidR="000F6E96" w:rsidRDefault="004F2B6E">
          <w:pPr>
            <w:pStyle w:val="TOC2"/>
            <w:rPr>
              <w:rFonts w:asciiTheme="minorHAnsi" w:eastAsiaTheme="minorEastAsia" w:hAnsiTheme="minorHAnsi" w:cstheme="minorBidi"/>
              <w:color w:val="auto"/>
              <w:sz w:val="22"/>
              <w:szCs w:val="22"/>
              <w:lang w:eastAsia="zh-CN"/>
            </w:rPr>
          </w:pPr>
          <w:hyperlink w:anchor="_Toc1121972" w:history="1">
            <w:r w:rsidR="000F6E96" w:rsidRPr="00F8666A">
              <w:rPr>
                <w:rStyle w:val="Hyperlink"/>
              </w:rPr>
              <w:t>Approvals by industry sector</w:t>
            </w:r>
            <w:r w:rsidR="000F6E96">
              <w:rPr>
                <w:webHidden/>
              </w:rPr>
              <w:tab/>
            </w:r>
            <w:r w:rsidR="000F6E96">
              <w:rPr>
                <w:webHidden/>
              </w:rPr>
              <w:fldChar w:fldCharType="begin"/>
            </w:r>
            <w:r w:rsidR="000F6E96">
              <w:rPr>
                <w:webHidden/>
              </w:rPr>
              <w:instrText xml:space="preserve"> PAGEREF _Toc1121972 \h </w:instrText>
            </w:r>
            <w:r w:rsidR="000F6E96">
              <w:rPr>
                <w:webHidden/>
              </w:rPr>
            </w:r>
            <w:r w:rsidR="000F6E96">
              <w:rPr>
                <w:webHidden/>
              </w:rPr>
              <w:fldChar w:fldCharType="separate"/>
            </w:r>
            <w:r w:rsidR="009B4867">
              <w:rPr>
                <w:webHidden/>
              </w:rPr>
              <w:t>28</w:t>
            </w:r>
            <w:r w:rsidR="000F6E96">
              <w:rPr>
                <w:webHidden/>
              </w:rPr>
              <w:fldChar w:fldCharType="end"/>
            </w:r>
          </w:hyperlink>
        </w:p>
        <w:p w14:paraId="053B7907" w14:textId="608F3B2D" w:rsidR="000F6E96" w:rsidRDefault="004F2B6E">
          <w:pPr>
            <w:pStyle w:val="TOC2"/>
            <w:rPr>
              <w:rFonts w:asciiTheme="minorHAnsi" w:eastAsiaTheme="minorEastAsia" w:hAnsiTheme="minorHAnsi" w:cstheme="minorBidi"/>
              <w:color w:val="auto"/>
              <w:sz w:val="22"/>
              <w:szCs w:val="22"/>
              <w:lang w:eastAsia="zh-CN"/>
            </w:rPr>
          </w:pPr>
          <w:hyperlink w:anchor="_Toc1121973" w:history="1">
            <w:r w:rsidR="000F6E96" w:rsidRPr="00F8666A">
              <w:rPr>
                <w:rStyle w:val="Hyperlink"/>
              </w:rPr>
              <w:t>New business approvals</w:t>
            </w:r>
            <w:r w:rsidR="000F6E96">
              <w:rPr>
                <w:webHidden/>
              </w:rPr>
              <w:tab/>
            </w:r>
            <w:r w:rsidR="000F6E96">
              <w:rPr>
                <w:webHidden/>
              </w:rPr>
              <w:fldChar w:fldCharType="begin"/>
            </w:r>
            <w:r w:rsidR="000F6E96">
              <w:rPr>
                <w:webHidden/>
              </w:rPr>
              <w:instrText xml:space="preserve"> PAGEREF _Toc1121973 \h </w:instrText>
            </w:r>
            <w:r w:rsidR="000F6E96">
              <w:rPr>
                <w:webHidden/>
              </w:rPr>
            </w:r>
            <w:r w:rsidR="000F6E96">
              <w:rPr>
                <w:webHidden/>
              </w:rPr>
              <w:fldChar w:fldCharType="separate"/>
            </w:r>
            <w:r w:rsidR="009B4867">
              <w:rPr>
                <w:webHidden/>
              </w:rPr>
              <w:t>44</w:t>
            </w:r>
            <w:r w:rsidR="000F6E96">
              <w:rPr>
                <w:webHidden/>
              </w:rPr>
              <w:fldChar w:fldCharType="end"/>
            </w:r>
          </w:hyperlink>
        </w:p>
        <w:p w14:paraId="559EAFC6" w14:textId="71DE0696" w:rsidR="000F6E96" w:rsidRDefault="004F2B6E">
          <w:pPr>
            <w:pStyle w:val="TOC2"/>
            <w:rPr>
              <w:rFonts w:asciiTheme="minorHAnsi" w:eastAsiaTheme="minorEastAsia" w:hAnsiTheme="minorHAnsi" w:cstheme="minorBidi"/>
              <w:color w:val="auto"/>
              <w:sz w:val="22"/>
              <w:szCs w:val="22"/>
              <w:lang w:eastAsia="zh-CN"/>
            </w:rPr>
          </w:pPr>
          <w:hyperlink w:anchor="_Toc1121974" w:history="1">
            <w:r w:rsidR="000F6E96" w:rsidRPr="00F8666A">
              <w:rPr>
                <w:rStyle w:val="Hyperlink"/>
              </w:rPr>
              <w:t>Investor countries</w:t>
            </w:r>
            <w:r w:rsidR="000F6E96">
              <w:rPr>
                <w:webHidden/>
              </w:rPr>
              <w:tab/>
            </w:r>
            <w:r w:rsidR="000F6E96">
              <w:rPr>
                <w:webHidden/>
              </w:rPr>
              <w:fldChar w:fldCharType="begin"/>
            </w:r>
            <w:r w:rsidR="000F6E96">
              <w:rPr>
                <w:webHidden/>
              </w:rPr>
              <w:instrText xml:space="preserve"> PAGEREF _Toc1121974 \h </w:instrText>
            </w:r>
            <w:r w:rsidR="000F6E96">
              <w:rPr>
                <w:webHidden/>
              </w:rPr>
            </w:r>
            <w:r w:rsidR="000F6E96">
              <w:rPr>
                <w:webHidden/>
              </w:rPr>
              <w:fldChar w:fldCharType="separate"/>
            </w:r>
            <w:r w:rsidR="009B4867">
              <w:rPr>
                <w:webHidden/>
              </w:rPr>
              <w:t>45</w:t>
            </w:r>
            <w:r w:rsidR="000F6E96">
              <w:rPr>
                <w:webHidden/>
              </w:rPr>
              <w:fldChar w:fldCharType="end"/>
            </w:r>
          </w:hyperlink>
        </w:p>
        <w:p w14:paraId="43CA1B8B" w14:textId="6DAF8F24" w:rsidR="000F6E96" w:rsidRDefault="004F2B6E">
          <w:pPr>
            <w:pStyle w:val="TOC2"/>
            <w:rPr>
              <w:rFonts w:asciiTheme="minorHAnsi" w:eastAsiaTheme="minorEastAsia" w:hAnsiTheme="minorHAnsi" w:cstheme="minorBidi"/>
              <w:color w:val="auto"/>
              <w:sz w:val="22"/>
              <w:szCs w:val="22"/>
              <w:lang w:eastAsia="zh-CN"/>
            </w:rPr>
          </w:pPr>
          <w:hyperlink w:anchor="_Toc1121975" w:history="1">
            <w:r w:rsidR="000F6E96" w:rsidRPr="00F8666A">
              <w:rPr>
                <w:rStyle w:val="Hyperlink"/>
              </w:rPr>
              <w:t>Variations</w:t>
            </w:r>
            <w:r w:rsidR="000F6E96">
              <w:rPr>
                <w:webHidden/>
              </w:rPr>
              <w:tab/>
            </w:r>
            <w:r w:rsidR="000F6E96">
              <w:rPr>
                <w:webHidden/>
              </w:rPr>
              <w:fldChar w:fldCharType="begin"/>
            </w:r>
            <w:r w:rsidR="000F6E96">
              <w:rPr>
                <w:webHidden/>
              </w:rPr>
              <w:instrText xml:space="preserve"> PAGEREF _Toc1121975 \h </w:instrText>
            </w:r>
            <w:r w:rsidR="000F6E96">
              <w:rPr>
                <w:webHidden/>
              </w:rPr>
            </w:r>
            <w:r w:rsidR="000F6E96">
              <w:rPr>
                <w:webHidden/>
              </w:rPr>
              <w:fldChar w:fldCharType="separate"/>
            </w:r>
            <w:r w:rsidR="009B4867">
              <w:rPr>
                <w:webHidden/>
              </w:rPr>
              <w:t>49</w:t>
            </w:r>
            <w:r w:rsidR="000F6E96">
              <w:rPr>
                <w:webHidden/>
              </w:rPr>
              <w:fldChar w:fldCharType="end"/>
            </w:r>
          </w:hyperlink>
        </w:p>
        <w:p w14:paraId="3B8F6A74" w14:textId="03135271" w:rsidR="000F6E96" w:rsidRDefault="004F2B6E">
          <w:pPr>
            <w:pStyle w:val="TOC2"/>
            <w:rPr>
              <w:rFonts w:asciiTheme="minorHAnsi" w:eastAsiaTheme="minorEastAsia" w:hAnsiTheme="minorHAnsi" w:cstheme="minorBidi"/>
              <w:color w:val="auto"/>
              <w:sz w:val="22"/>
              <w:szCs w:val="22"/>
              <w:lang w:eastAsia="zh-CN"/>
            </w:rPr>
          </w:pPr>
          <w:hyperlink w:anchor="_Toc1121976" w:history="1">
            <w:r w:rsidR="000F6E96" w:rsidRPr="00F8666A">
              <w:rPr>
                <w:rStyle w:val="Hyperlink"/>
              </w:rPr>
              <w:t>Foreign investment application fee collections</w:t>
            </w:r>
            <w:r w:rsidR="000F6E96">
              <w:rPr>
                <w:webHidden/>
              </w:rPr>
              <w:tab/>
            </w:r>
            <w:r w:rsidR="000F6E96">
              <w:rPr>
                <w:webHidden/>
              </w:rPr>
              <w:fldChar w:fldCharType="begin"/>
            </w:r>
            <w:r w:rsidR="000F6E96">
              <w:rPr>
                <w:webHidden/>
              </w:rPr>
              <w:instrText xml:space="preserve"> PAGEREF _Toc1121976 \h </w:instrText>
            </w:r>
            <w:r w:rsidR="000F6E96">
              <w:rPr>
                <w:webHidden/>
              </w:rPr>
            </w:r>
            <w:r w:rsidR="000F6E96">
              <w:rPr>
                <w:webHidden/>
              </w:rPr>
              <w:fldChar w:fldCharType="separate"/>
            </w:r>
            <w:r w:rsidR="009B4867">
              <w:rPr>
                <w:webHidden/>
              </w:rPr>
              <w:t>52</w:t>
            </w:r>
            <w:r w:rsidR="000F6E96">
              <w:rPr>
                <w:webHidden/>
              </w:rPr>
              <w:fldChar w:fldCharType="end"/>
            </w:r>
          </w:hyperlink>
        </w:p>
        <w:p w14:paraId="07F3BE82" w14:textId="174E5DFE" w:rsidR="000F6E96" w:rsidRDefault="004F2B6E">
          <w:pPr>
            <w:pStyle w:val="TOC1"/>
            <w:rPr>
              <w:rFonts w:asciiTheme="minorHAnsi" w:eastAsiaTheme="minorEastAsia" w:hAnsiTheme="minorHAnsi" w:cstheme="minorBidi"/>
              <w:b w:val="0"/>
              <w:smallCaps w:val="0"/>
              <w:color w:val="auto"/>
              <w:sz w:val="22"/>
              <w:lang w:eastAsia="zh-CN"/>
            </w:rPr>
          </w:pPr>
          <w:hyperlink w:anchor="_Toc1121977" w:history="1">
            <w:r w:rsidR="000F6E96" w:rsidRPr="00F8666A">
              <w:rPr>
                <w:rStyle w:val="Hyperlink"/>
              </w:rPr>
              <w:t>Chapter Four: Compliance</w:t>
            </w:r>
            <w:r w:rsidR="000F6E96">
              <w:rPr>
                <w:webHidden/>
              </w:rPr>
              <w:tab/>
            </w:r>
            <w:r w:rsidR="000F6E96">
              <w:rPr>
                <w:webHidden/>
              </w:rPr>
              <w:fldChar w:fldCharType="begin"/>
            </w:r>
            <w:r w:rsidR="000F6E96">
              <w:rPr>
                <w:webHidden/>
              </w:rPr>
              <w:instrText xml:space="preserve"> PAGEREF _Toc1121977 \h </w:instrText>
            </w:r>
            <w:r w:rsidR="000F6E96">
              <w:rPr>
                <w:webHidden/>
              </w:rPr>
            </w:r>
            <w:r w:rsidR="000F6E96">
              <w:rPr>
                <w:webHidden/>
              </w:rPr>
              <w:fldChar w:fldCharType="separate"/>
            </w:r>
            <w:r w:rsidR="009B4867">
              <w:rPr>
                <w:webHidden/>
              </w:rPr>
              <w:t>53</w:t>
            </w:r>
            <w:r w:rsidR="000F6E96">
              <w:rPr>
                <w:webHidden/>
              </w:rPr>
              <w:fldChar w:fldCharType="end"/>
            </w:r>
          </w:hyperlink>
        </w:p>
        <w:p w14:paraId="2CE036F4" w14:textId="3478A1CF" w:rsidR="000F6E96" w:rsidRDefault="004F2B6E">
          <w:pPr>
            <w:pStyle w:val="TOC2"/>
            <w:rPr>
              <w:rFonts w:asciiTheme="minorHAnsi" w:eastAsiaTheme="minorEastAsia" w:hAnsiTheme="minorHAnsi" w:cstheme="minorBidi"/>
              <w:color w:val="auto"/>
              <w:sz w:val="22"/>
              <w:szCs w:val="22"/>
              <w:lang w:eastAsia="zh-CN"/>
            </w:rPr>
          </w:pPr>
          <w:hyperlink w:anchor="_Toc1121978" w:history="1">
            <w:r w:rsidR="000F6E96" w:rsidRPr="00F8666A">
              <w:rPr>
                <w:rStyle w:val="Hyperlink"/>
                <w:rFonts w:eastAsiaTheme="minorHAnsi"/>
                <w:lang w:eastAsia="en-US"/>
              </w:rPr>
              <w:t xml:space="preserve">Compliance </w:t>
            </w:r>
            <w:r w:rsidR="000F6E96" w:rsidRPr="00F8666A">
              <w:rPr>
                <w:rStyle w:val="Hyperlink"/>
                <w:rFonts w:eastAsiaTheme="minorHAnsi"/>
              </w:rPr>
              <w:t>approach</w:t>
            </w:r>
            <w:r w:rsidR="000F6E96">
              <w:rPr>
                <w:webHidden/>
              </w:rPr>
              <w:tab/>
            </w:r>
            <w:r w:rsidR="000F6E96">
              <w:rPr>
                <w:webHidden/>
              </w:rPr>
              <w:fldChar w:fldCharType="begin"/>
            </w:r>
            <w:r w:rsidR="000F6E96">
              <w:rPr>
                <w:webHidden/>
              </w:rPr>
              <w:instrText xml:space="preserve"> PAGEREF _Toc1121978 \h </w:instrText>
            </w:r>
            <w:r w:rsidR="000F6E96">
              <w:rPr>
                <w:webHidden/>
              </w:rPr>
            </w:r>
            <w:r w:rsidR="000F6E96">
              <w:rPr>
                <w:webHidden/>
              </w:rPr>
              <w:fldChar w:fldCharType="separate"/>
            </w:r>
            <w:r w:rsidR="009B4867">
              <w:rPr>
                <w:webHidden/>
              </w:rPr>
              <w:t>53</w:t>
            </w:r>
            <w:r w:rsidR="000F6E96">
              <w:rPr>
                <w:webHidden/>
              </w:rPr>
              <w:fldChar w:fldCharType="end"/>
            </w:r>
          </w:hyperlink>
        </w:p>
        <w:p w14:paraId="30A8EB2F" w14:textId="12E44616" w:rsidR="000F6E96" w:rsidRDefault="004F2B6E">
          <w:pPr>
            <w:pStyle w:val="TOC2"/>
            <w:rPr>
              <w:rFonts w:asciiTheme="minorHAnsi" w:eastAsiaTheme="minorEastAsia" w:hAnsiTheme="minorHAnsi" w:cstheme="minorBidi"/>
              <w:color w:val="auto"/>
              <w:sz w:val="22"/>
              <w:szCs w:val="22"/>
              <w:lang w:eastAsia="zh-CN"/>
            </w:rPr>
          </w:pPr>
          <w:hyperlink w:anchor="_Toc1121979" w:history="1">
            <w:r w:rsidR="000F6E96" w:rsidRPr="00F8666A">
              <w:rPr>
                <w:rStyle w:val="Hyperlink"/>
                <w:rFonts w:eastAsiaTheme="minorHAnsi"/>
                <w:lang w:eastAsia="en-US"/>
              </w:rPr>
              <w:t>Education and promotion</w:t>
            </w:r>
            <w:r w:rsidR="000F6E96">
              <w:rPr>
                <w:webHidden/>
              </w:rPr>
              <w:tab/>
            </w:r>
            <w:r w:rsidR="000F6E96">
              <w:rPr>
                <w:webHidden/>
              </w:rPr>
              <w:fldChar w:fldCharType="begin"/>
            </w:r>
            <w:r w:rsidR="000F6E96">
              <w:rPr>
                <w:webHidden/>
              </w:rPr>
              <w:instrText xml:space="preserve"> PAGEREF _Toc1121979 \h </w:instrText>
            </w:r>
            <w:r w:rsidR="000F6E96">
              <w:rPr>
                <w:webHidden/>
              </w:rPr>
            </w:r>
            <w:r w:rsidR="000F6E96">
              <w:rPr>
                <w:webHidden/>
              </w:rPr>
              <w:fldChar w:fldCharType="separate"/>
            </w:r>
            <w:r w:rsidR="009B4867">
              <w:rPr>
                <w:webHidden/>
              </w:rPr>
              <w:t>54</w:t>
            </w:r>
            <w:r w:rsidR="000F6E96">
              <w:rPr>
                <w:webHidden/>
              </w:rPr>
              <w:fldChar w:fldCharType="end"/>
            </w:r>
          </w:hyperlink>
        </w:p>
        <w:p w14:paraId="5B533AEC" w14:textId="5A618332" w:rsidR="000F6E96" w:rsidRDefault="004F2B6E">
          <w:pPr>
            <w:pStyle w:val="TOC2"/>
            <w:rPr>
              <w:rFonts w:asciiTheme="minorHAnsi" w:eastAsiaTheme="minorEastAsia" w:hAnsiTheme="minorHAnsi" w:cstheme="minorBidi"/>
              <w:color w:val="auto"/>
              <w:sz w:val="22"/>
              <w:szCs w:val="22"/>
              <w:lang w:eastAsia="zh-CN"/>
            </w:rPr>
          </w:pPr>
          <w:hyperlink w:anchor="_Toc1121980" w:history="1">
            <w:r w:rsidR="000F6E96" w:rsidRPr="00F8666A">
              <w:rPr>
                <w:rStyle w:val="Hyperlink"/>
                <w:rFonts w:eastAsiaTheme="minorHAnsi"/>
                <w:lang w:eastAsia="en-US"/>
              </w:rPr>
              <w:t xml:space="preserve">Penalties and </w:t>
            </w:r>
            <w:r w:rsidR="000F6E96" w:rsidRPr="00F8666A">
              <w:rPr>
                <w:rStyle w:val="Hyperlink"/>
                <w:rFonts w:eastAsiaTheme="minorHAnsi"/>
              </w:rPr>
              <w:t>enforcement</w:t>
            </w:r>
            <w:r w:rsidR="000F6E96" w:rsidRPr="00F8666A">
              <w:rPr>
                <w:rStyle w:val="Hyperlink"/>
                <w:rFonts w:eastAsiaTheme="minorHAnsi"/>
                <w:lang w:eastAsia="en-US"/>
              </w:rPr>
              <w:t xml:space="preserve"> powers</w:t>
            </w:r>
            <w:r w:rsidR="000F6E96">
              <w:rPr>
                <w:webHidden/>
              </w:rPr>
              <w:tab/>
            </w:r>
            <w:r w:rsidR="000F6E96">
              <w:rPr>
                <w:webHidden/>
              </w:rPr>
              <w:fldChar w:fldCharType="begin"/>
            </w:r>
            <w:r w:rsidR="000F6E96">
              <w:rPr>
                <w:webHidden/>
              </w:rPr>
              <w:instrText xml:space="preserve"> PAGEREF _Toc1121980 \h </w:instrText>
            </w:r>
            <w:r w:rsidR="000F6E96">
              <w:rPr>
                <w:webHidden/>
              </w:rPr>
            </w:r>
            <w:r w:rsidR="000F6E96">
              <w:rPr>
                <w:webHidden/>
              </w:rPr>
              <w:fldChar w:fldCharType="separate"/>
            </w:r>
            <w:r w:rsidR="009B4867">
              <w:rPr>
                <w:webHidden/>
              </w:rPr>
              <w:t>55</w:t>
            </w:r>
            <w:r w:rsidR="000F6E96">
              <w:rPr>
                <w:webHidden/>
              </w:rPr>
              <w:fldChar w:fldCharType="end"/>
            </w:r>
          </w:hyperlink>
        </w:p>
        <w:p w14:paraId="23084933" w14:textId="69F300C2" w:rsidR="000F6E96" w:rsidRDefault="004F2B6E">
          <w:pPr>
            <w:pStyle w:val="TOC2"/>
            <w:rPr>
              <w:rFonts w:asciiTheme="minorHAnsi" w:eastAsiaTheme="minorEastAsia" w:hAnsiTheme="minorHAnsi" w:cstheme="minorBidi"/>
              <w:color w:val="auto"/>
              <w:sz w:val="22"/>
              <w:szCs w:val="22"/>
              <w:lang w:eastAsia="zh-CN"/>
            </w:rPr>
          </w:pPr>
          <w:hyperlink w:anchor="_Toc1121981" w:history="1">
            <w:r w:rsidR="000F6E96" w:rsidRPr="00F8666A">
              <w:rPr>
                <w:rStyle w:val="Hyperlink"/>
              </w:rPr>
              <w:t>Treasury compliance activities in 2017–18</w:t>
            </w:r>
            <w:r w:rsidR="000F6E96">
              <w:rPr>
                <w:webHidden/>
              </w:rPr>
              <w:tab/>
            </w:r>
            <w:r w:rsidR="000F6E96">
              <w:rPr>
                <w:webHidden/>
              </w:rPr>
              <w:fldChar w:fldCharType="begin"/>
            </w:r>
            <w:r w:rsidR="000F6E96">
              <w:rPr>
                <w:webHidden/>
              </w:rPr>
              <w:instrText xml:space="preserve"> PAGEREF _Toc1121981 \h </w:instrText>
            </w:r>
            <w:r w:rsidR="000F6E96">
              <w:rPr>
                <w:webHidden/>
              </w:rPr>
            </w:r>
            <w:r w:rsidR="000F6E96">
              <w:rPr>
                <w:webHidden/>
              </w:rPr>
              <w:fldChar w:fldCharType="separate"/>
            </w:r>
            <w:r w:rsidR="009B4867">
              <w:rPr>
                <w:webHidden/>
              </w:rPr>
              <w:t>55</w:t>
            </w:r>
            <w:r w:rsidR="000F6E96">
              <w:rPr>
                <w:webHidden/>
              </w:rPr>
              <w:fldChar w:fldCharType="end"/>
            </w:r>
          </w:hyperlink>
        </w:p>
        <w:p w14:paraId="0FECFEB9" w14:textId="2A710C63" w:rsidR="000F6E96" w:rsidRDefault="004F2B6E">
          <w:pPr>
            <w:pStyle w:val="TOC2"/>
            <w:rPr>
              <w:rFonts w:asciiTheme="minorHAnsi" w:eastAsiaTheme="minorEastAsia" w:hAnsiTheme="minorHAnsi" w:cstheme="minorBidi"/>
              <w:color w:val="auto"/>
              <w:sz w:val="22"/>
              <w:szCs w:val="22"/>
              <w:lang w:eastAsia="zh-CN"/>
            </w:rPr>
          </w:pPr>
          <w:hyperlink w:anchor="_Toc1121982" w:history="1">
            <w:r w:rsidR="000F6E96" w:rsidRPr="00F8666A">
              <w:rPr>
                <w:rStyle w:val="Hyperlink"/>
              </w:rPr>
              <w:t>Residential real estate compliance activities</w:t>
            </w:r>
            <w:r w:rsidR="000F6E96">
              <w:rPr>
                <w:webHidden/>
              </w:rPr>
              <w:tab/>
            </w:r>
            <w:r w:rsidR="000F6E96">
              <w:rPr>
                <w:webHidden/>
              </w:rPr>
              <w:fldChar w:fldCharType="begin"/>
            </w:r>
            <w:r w:rsidR="000F6E96">
              <w:rPr>
                <w:webHidden/>
              </w:rPr>
              <w:instrText xml:space="preserve"> PAGEREF _Toc1121982 \h </w:instrText>
            </w:r>
            <w:r w:rsidR="000F6E96">
              <w:rPr>
                <w:webHidden/>
              </w:rPr>
            </w:r>
            <w:r w:rsidR="000F6E96">
              <w:rPr>
                <w:webHidden/>
              </w:rPr>
              <w:fldChar w:fldCharType="separate"/>
            </w:r>
            <w:r w:rsidR="009B4867">
              <w:rPr>
                <w:webHidden/>
              </w:rPr>
              <w:t>57</w:t>
            </w:r>
            <w:r w:rsidR="000F6E96">
              <w:rPr>
                <w:webHidden/>
              </w:rPr>
              <w:fldChar w:fldCharType="end"/>
            </w:r>
          </w:hyperlink>
        </w:p>
        <w:p w14:paraId="11F4C6D7" w14:textId="4DF4F9BF" w:rsidR="000F6E96" w:rsidRDefault="004F2B6E">
          <w:pPr>
            <w:pStyle w:val="TOC1"/>
            <w:rPr>
              <w:rFonts w:asciiTheme="minorHAnsi" w:eastAsiaTheme="minorEastAsia" w:hAnsiTheme="minorHAnsi" w:cstheme="minorBidi"/>
              <w:b w:val="0"/>
              <w:smallCaps w:val="0"/>
              <w:color w:val="auto"/>
              <w:sz w:val="22"/>
              <w:lang w:eastAsia="zh-CN"/>
            </w:rPr>
          </w:pPr>
          <w:hyperlink w:anchor="_Toc1121983" w:history="1">
            <w:r w:rsidR="000F6E96" w:rsidRPr="00F8666A">
              <w:rPr>
                <w:rStyle w:val="Hyperlink"/>
              </w:rPr>
              <w:t>Appendix A: FIRB Meetings during 2017–18</w:t>
            </w:r>
            <w:r w:rsidR="000F6E96">
              <w:rPr>
                <w:webHidden/>
              </w:rPr>
              <w:tab/>
            </w:r>
            <w:r w:rsidR="000F6E96">
              <w:rPr>
                <w:webHidden/>
              </w:rPr>
              <w:fldChar w:fldCharType="begin"/>
            </w:r>
            <w:r w:rsidR="000F6E96">
              <w:rPr>
                <w:webHidden/>
              </w:rPr>
              <w:instrText xml:space="preserve"> PAGEREF _Toc1121983 \h </w:instrText>
            </w:r>
            <w:r w:rsidR="000F6E96">
              <w:rPr>
                <w:webHidden/>
              </w:rPr>
            </w:r>
            <w:r w:rsidR="000F6E96">
              <w:rPr>
                <w:webHidden/>
              </w:rPr>
              <w:fldChar w:fldCharType="separate"/>
            </w:r>
            <w:r w:rsidR="009B4867">
              <w:rPr>
                <w:webHidden/>
              </w:rPr>
              <w:t>61</w:t>
            </w:r>
            <w:r w:rsidR="000F6E96">
              <w:rPr>
                <w:webHidden/>
              </w:rPr>
              <w:fldChar w:fldCharType="end"/>
            </w:r>
          </w:hyperlink>
        </w:p>
        <w:p w14:paraId="767CF274" w14:textId="4A1DEEAD" w:rsidR="000F6E96" w:rsidRDefault="004F2B6E">
          <w:pPr>
            <w:pStyle w:val="TOC1"/>
            <w:rPr>
              <w:rFonts w:asciiTheme="minorHAnsi" w:eastAsiaTheme="minorEastAsia" w:hAnsiTheme="minorHAnsi" w:cstheme="minorBidi"/>
              <w:b w:val="0"/>
              <w:smallCaps w:val="0"/>
              <w:color w:val="auto"/>
              <w:sz w:val="22"/>
              <w:lang w:eastAsia="zh-CN"/>
            </w:rPr>
          </w:pPr>
          <w:hyperlink w:anchor="_Toc1121984" w:history="1">
            <w:r w:rsidR="000F6E96" w:rsidRPr="00F8666A">
              <w:rPr>
                <w:rStyle w:val="Hyperlink"/>
              </w:rPr>
              <w:t>Appendix B: Methodological and Data Caveats</w:t>
            </w:r>
            <w:r w:rsidR="000F6E96">
              <w:rPr>
                <w:webHidden/>
              </w:rPr>
              <w:tab/>
            </w:r>
            <w:r w:rsidR="000F6E96">
              <w:rPr>
                <w:webHidden/>
              </w:rPr>
              <w:fldChar w:fldCharType="begin"/>
            </w:r>
            <w:r w:rsidR="000F6E96">
              <w:rPr>
                <w:webHidden/>
              </w:rPr>
              <w:instrText xml:space="preserve"> PAGEREF _Toc1121984 \h </w:instrText>
            </w:r>
            <w:r w:rsidR="000F6E96">
              <w:rPr>
                <w:webHidden/>
              </w:rPr>
            </w:r>
            <w:r w:rsidR="000F6E96">
              <w:rPr>
                <w:webHidden/>
              </w:rPr>
              <w:fldChar w:fldCharType="separate"/>
            </w:r>
            <w:r w:rsidR="009B4867">
              <w:rPr>
                <w:webHidden/>
              </w:rPr>
              <w:t>63</w:t>
            </w:r>
            <w:r w:rsidR="000F6E96">
              <w:rPr>
                <w:webHidden/>
              </w:rPr>
              <w:fldChar w:fldCharType="end"/>
            </w:r>
          </w:hyperlink>
        </w:p>
        <w:p w14:paraId="326E4FDE" w14:textId="795A37F7" w:rsidR="000F6E96" w:rsidRDefault="004F2B6E">
          <w:pPr>
            <w:pStyle w:val="TOC2"/>
            <w:rPr>
              <w:rFonts w:asciiTheme="minorHAnsi" w:eastAsiaTheme="minorEastAsia" w:hAnsiTheme="minorHAnsi" w:cstheme="minorBidi"/>
              <w:color w:val="auto"/>
              <w:sz w:val="22"/>
              <w:szCs w:val="22"/>
              <w:lang w:eastAsia="zh-CN"/>
            </w:rPr>
          </w:pPr>
          <w:hyperlink w:anchor="_Toc1121985" w:history="1">
            <w:r w:rsidR="000F6E96" w:rsidRPr="00F8666A">
              <w:rPr>
                <w:rStyle w:val="Hyperlink"/>
                <w:rFonts w:eastAsiaTheme="majorEastAsia"/>
              </w:rPr>
              <w:t>Methodological and data caveats</w:t>
            </w:r>
            <w:r w:rsidR="000F6E96">
              <w:rPr>
                <w:webHidden/>
              </w:rPr>
              <w:tab/>
            </w:r>
            <w:r w:rsidR="000F6E96">
              <w:rPr>
                <w:webHidden/>
              </w:rPr>
              <w:fldChar w:fldCharType="begin"/>
            </w:r>
            <w:r w:rsidR="000F6E96">
              <w:rPr>
                <w:webHidden/>
              </w:rPr>
              <w:instrText xml:space="preserve"> PAGEREF _Toc1121985 \h </w:instrText>
            </w:r>
            <w:r w:rsidR="000F6E96">
              <w:rPr>
                <w:webHidden/>
              </w:rPr>
            </w:r>
            <w:r w:rsidR="000F6E96">
              <w:rPr>
                <w:webHidden/>
              </w:rPr>
              <w:fldChar w:fldCharType="separate"/>
            </w:r>
            <w:r w:rsidR="009B4867">
              <w:rPr>
                <w:webHidden/>
              </w:rPr>
              <w:t>63</w:t>
            </w:r>
            <w:r w:rsidR="000F6E96">
              <w:rPr>
                <w:webHidden/>
              </w:rPr>
              <w:fldChar w:fldCharType="end"/>
            </w:r>
          </w:hyperlink>
        </w:p>
        <w:p w14:paraId="4CFAB790" w14:textId="1521E5C3" w:rsidR="000F6E96" w:rsidRDefault="004F2B6E">
          <w:pPr>
            <w:pStyle w:val="TOC1"/>
            <w:rPr>
              <w:rFonts w:asciiTheme="minorHAnsi" w:eastAsiaTheme="minorEastAsia" w:hAnsiTheme="minorHAnsi" w:cstheme="minorBidi"/>
              <w:b w:val="0"/>
              <w:smallCaps w:val="0"/>
              <w:color w:val="auto"/>
              <w:sz w:val="22"/>
              <w:lang w:eastAsia="zh-CN"/>
            </w:rPr>
          </w:pPr>
          <w:hyperlink w:anchor="_Toc1121986" w:history="1">
            <w:r w:rsidR="000F6E96" w:rsidRPr="00F8666A">
              <w:rPr>
                <w:rStyle w:val="Hyperlink"/>
              </w:rPr>
              <w:t>Appendix C: Examination and Approval Process</w:t>
            </w:r>
            <w:r w:rsidR="000F6E96">
              <w:rPr>
                <w:webHidden/>
              </w:rPr>
              <w:tab/>
            </w:r>
            <w:r w:rsidR="000F6E96">
              <w:rPr>
                <w:webHidden/>
              </w:rPr>
              <w:fldChar w:fldCharType="begin"/>
            </w:r>
            <w:r w:rsidR="000F6E96">
              <w:rPr>
                <w:webHidden/>
              </w:rPr>
              <w:instrText xml:space="preserve"> PAGEREF _Toc1121986 \h </w:instrText>
            </w:r>
            <w:r w:rsidR="000F6E96">
              <w:rPr>
                <w:webHidden/>
              </w:rPr>
            </w:r>
            <w:r w:rsidR="000F6E96">
              <w:rPr>
                <w:webHidden/>
              </w:rPr>
              <w:fldChar w:fldCharType="separate"/>
            </w:r>
            <w:r w:rsidR="009B4867">
              <w:rPr>
                <w:webHidden/>
              </w:rPr>
              <w:t>69</w:t>
            </w:r>
            <w:r w:rsidR="000F6E96">
              <w:rPr>
                <w:webHidden/>
              </w:rPr>
              <w:fldChar w:fldCharType="end"/>
            </w:r>
          </w:hyperlink>
        </w:p>
        <w:p w14:paraId="4960E6D4" w14:textId="50781406" w:rsidR="000F6E96" w:rsidRDefault="004F2B6E">
          <w:pPr>
            <w:pStyle w:val="TOC2"/>
            <w:rPr>
              <w:rFonts w:asciiTheme="minorHAnsi" w:eastAsiaTheme="minorEastAsia" w:hAnsiTheme="minorHAnsi" w:cstheme="minorBidi"/>
              <w:color w:val="auto"/>
              <w:sz w:val="22"/>
              <w:szCs w:val="22"/>
              <w:lang w:eastAsia="zh-CN"/>
            </w:rPr>
          </w:pPr>
          <w:hyperlink w:anchor="_Toc1121987" w:history="1">
            <w:r w:rsidR="000F6E96" w:rsidRPr="00F8666A">
              <w:rPr>
                <w:rStyle w:val="Hyperlink"/>
              </w:rPr>
              <w:t>FIRB involvement</w:t>
            </w:r>
            <w:r w:rsidR="000F6E96">
              <w:rPr>
                <w:webHidden/>
              </w:rPr>
              <w:tab/>
            </w:r>
            <w:r w:rsidR="000F6E96">
              <w:rPr>
                <w:webHidden/>
              </w:rPr>
              <w:fldChar w:fldCharType="begin"/>
            </w:r>
            <w:r w:rsidR="000F6E96">
              <w:rPr>
                <w:webHidden/>
              </w:rPr>
              <w:instrText xml:space="preserve"> PAGEREF _Toc1121987 \h </w:instrText>
            </w:r>
            <w:r w:rsidR="000F6E96">
              <w:rPr>
                <w:webHidden/>
              </w:rPr>
            </w:r>
            <w:r w:rsidR="000F6E96">
              <w:rPr>
                <w:webHidden/>
              </w:rPr>
              <w:fldChar w:fldCharType="separate"/>
            </w:r>
            <w:r w:rsidR="009B4867">
              <w:rPr>
                <w:webHidden/>
              </w:rPr>
              <w:t>69</w:t>
            </w:r>
            <w:r w:rsidR="000F6E96">
              <w:rPr>
                <w:webHidden/>
              </w:rPr>
              <w:fldChar w:fldCharType="end"/>
            </w:r>
          </w:hyperlink>
        </w:p>
        <w:p w14:paraId="258432DA" w14:textId="29A50E23" w:rsidR="000F6E96" w:rsidRDefault="004F2B6E">
          <w:pPr>
            <w:pStyle w:val="TOC2"/>
            <w:rPr>
              <w:rFonts w:asciiTheme="minorHAnsi" w:eastAsiaTheme="minorEastAsia" w:hAnsiTheme="minorHAnsi" w:cstheme="minorBidi"/>
              <w:color w:val="auto"/>
              <w:sz w:val="22"/>
              <w:szCs w:val="22"/>
              <w:lang w:eastAsia="zh-CN"/>
            </w:rPr>
          </w:pPr>
          <w:hyperlink w:anchor="_Toc1121988" w:history="1">
            <w:r w:rsidR="000F6E96" w:rsidRPr="00F8666A">
              <w:rPr>
                <w:rStyle w:val="Hyperlink"/>
              </w:rPr>
              <w:t>Handling of commercially sensitive and personal information</w:t>
            </w:r>
            <w:r w:rsidR="000F6E96">
              <w:rPr>
                <w:webHidden/>
              </w:rPr>
              <w:tab/>
            </w:r>
            <w:r w:rsidR="000F6E96">
              <w:rPr>
                <w:webHidden/>
              </w:rPr>
              <w:fldChar w:fldCharType="begin"/>
            </w:r>
            <w:r w:rsidR="000F6E96">
              <w:rPr>
                <w:webHidden/>
              </w:rPr>
              <w:instrText xml:space="preserve"> PAGEREF _Toc1121988 \h </w:instrText>
            </w:r>
            <w:r w:rsidR="000F6E96">
              <w:rPr>
                <w:webHidden/>
              </w:rPr>
            </w:r>
            <w:r w:rsidR="000F6E96">
              <w:rPr>
                <w:webHidden/>
              </w:rPr>
              <w:fldChar w:fldCharType="separate"/>
            </w:r>
            <w:r w:rsidR="009B4867">
              <w:rPr>
                <w:webHidden/>
              </w:rPr>
              <w:t>69</w:t>
            </w:r>
            <w:r w:rsidR="000F6E96">
              <w:rPr>
                <w:webHidden/>
              </w:rPr>
              <w:fldChar w:fldCharType="end"/>
            </w:r>
          </w:hyperlink>
        </w:p>
        <w:p w14:paraId="5B9F94E2" w14:textId="3C1C1408" w:rsidR="000F6E96" w:rsidRDefault="004F2B6E">
          <w:pPr>
            <w:pStyle w:val="TOC2"/>
            <w:rPr>
              <w:rFonts w:asciiTheme="minorHAnsi" w:eastAsiaTheme="minorEastAsia" w:hAnsiTheme="minorHAnsi" w:cstheme="minorBidi"/>
              <w:color w:val="auto"/>
              <w:sz w:val="22"/>
              <w:szCs w:val="22"/>
              <w:lang w:eastAsia="zh-CN"/>
            </w:rPr>
          </w:pPr>
          <w:hyperlink w:anchor="_Toc1121989" w:history="1">
            <w:r w:rsidR="000F6E96" w:rsidRPr="00F8666A">
              <w:rPr>
                <w:rStyle w:val="Hyperlink"/>
              </w:rPr>
              <w:t>Application screening process</w:t>
            </w:r>
            <w:r w:rsidR="000F6E96">
              <w:rPr>
                <w:webHidden/>
              </w:rPr>
              <w:tab/>
            </w:r>
            <w:r w:rsidR="000F6E96">
              <w:rPr>
                <w:webHidden/>
              </w:rPr>
              <w:fldChar w:fldCharType="begin"/>
            </w:r>
            <w:r w:rsidR="000F6E96">
              <w:rPr>
                <w:webHidden/>
              </w:rPr>
              <w:instrText xml:space="preserve"> PAGEREF _Toc1121989 \h </w:instrText>
            </w:r>
            <w:r w:rsidR="000F6E96">
              <w:rPr>
                <w:webHidden/>
              </w:rPr>
            </w:r>
            <w:r w:rsidR="000F6E96">
              <w:rPr>
                <w:webHidden/>
              </w:rPr>
              <w:fldChar w:fldCharType="separate"/>
            </w:r>
            <w:r w:rsidR="009B4867">
              <w:rPr>
                <w:webHidden/>
              </w:rPr>
              <w:t>70</w:t>
            </w:r>
            <w:r w:rsidR="000F6E96">
              <w:rPr>
                <w:webHidden/>
              </w:rPr>
              <w:fldChar w:fldCharType="end"/>
            </w:r>
          </w:hyperlink>
        </w:p>
        <w:p w14:paraId="141F8B14" w14:textId="1C393D0B" w:rsidR="000F6E96" w:rsidRDefault="004F2B6E">
          <w:pPr>
            <w:pStyle w:val="TOC1"/>
            <w:rPr>
              <w:rFonts w:asciiTheme="minorHAnsi" w:eastAsiaTheme="minorEastAsia" w:hAnsiTheme="minorHAnsi" w:cstheme="minorBidi"/>
              <w:b w:val="0"/>
              <w:smallCaps w:val="0"/>
              <w:color w:val="auto"/>
              <w:sz w:val="22"/>
              <w:lang w:eastAsia="zh-CN"/>
            </w:rPr>
          </w:pPr>
          <w:hyperlink w:anchor="_Toc1121990" w:history="1">
            <w:r w:rsidR="000F6E96" w:rsidRPr="00F8666A">
              <w:rPr>
                <w:rStyle w:val="Hyperlink"/>
              </w:rPr>
              <w:t>Appendix D: Glossary</w:t>
            </w:r>
            <w:r w:rsidR="000F6E96">
              <w:rPr>
                <w:webHidden/>
              </w:rPr>
              <w:tab/>
            </w:r>
            <w:r w:rsidR="000F6E96">
              <w:rPr>
                <w:webHidden/>
              </w:rPr>
              <w:fldChar w:fldCharType="begin"/>
            </w:r>
            <w:r w:rsidR="000F6E96">
              <w:rPr>
                <w:webHidden/>
              </w:rPr>
              <w:instrText xml:space="preserve"> PAGEREF _Toc1121990 \h </w:instrText>
            </w:r>
            <w:r w:rsidR="000F6E96">
              <w:rPr>
                <w:webHidden/>
              </w:rPr>
            </w:r>
            <w:r w:rsidR="000F6E96">
              <w:rPr>
                <w:webHidden/>
              </w:rPr>
              <w:fldChar w:fldCharType="separate"/>
            </w:r>
            <w:r w:rsidR="009B4867">
              <w:rPr>
                <w:webHidden/>
              </w:rPr>
              <w:t>73</w:t>
            </w:r>
            <w:r w:rsidR="000F6E96">
              <w:rPr>
                <w:webHidden/>
              </w:rPr>
              <w:fldChar w:fldCharType="end"/>
            </w:r>
          </w:hyperlink>
        </w:p>
        <w:p w14:paraId="4D2210AD" w14:textId="781AFE32" w:rsidR="00395823" w:rsidRDefault="00395823" w:rsidP="00C55F6D">
          <w:pPr>
            <w:pStyle w:val="SingleParagraph"/>
          </w:pPr>
          <w:r>
            <w:rPr>
              <w:smallCaps/>
              <w:color w:val="003E74"/>
              <w:sz w:val="22"/>
            </w:rPr>
            <w:fldChar w:fldCharType="end"/>
          </w:r>
        </w:p>
      </w:sdtContent>
    </w:sdt>
    <w:p w14:paraId="7BB33EE1" w14:textId="77777777" w:rsidR="00CB54C2" w:rsidRPr="001938CE" w:rsidRDefault="00CB54C2" w:rsidP="003C2223">
      <w:pPr>
        <w:pStyle w:val="Heading1noTOC"/>
      </w:pPr>
      <w:bookmarkStart w:id="18" w:name="_Toc529545226"/>
      <w:r w:rsidRPr="003C2223">
        <w:t>Tables</w:t>
      </w:r>
      <w:bookmarkEnd w:id="18"/>
    </w:p>
    <w:p w14:paraId="589C2FFE" w14:textId="55252343" w:rsidR="00676C76" w:rsidRDefault="000D3CAC">
      <w:pPr>
        <w:pStyle w:val="TOC3"/>
        <w:rPr>
          <w:rFonts w:asciiTheme="minorHAnsi" w:eastAsiaTheme="minorEastAsia" w:hAnsiTheme="minorHAnsi" w:cstheme="minorBidi"/>
          <w:sz w:val="22"/>
          <w:szCs w:val="22"/>
          <w:lang w:eastAsia="zh-CN"/>
        </w:rPr>
      </w:pPr>
      <w:r>
        <w:fldChar w:fldCharType="begin"/>
      </w:r>
      <w:r>
        <w:instrText xml:space="preserve"> TOC \h \z \t "Table Heading,3" </w:instrText>
      </w:r>
      <w:r>
        <w:fldChar w:fldCharType="separate"/>
      </w:r>
      <w:hyperlink w:anchor="_Toc1054880" w:history="1">
        <w:r w:rsidR="00676C76" w:rsidRPr="003A6CB3">
          <w:rPr>
            <w:rStyle w:val="Hyperlink"/>
          </w:rPr>
          <w:t>Table 3.1: Applications considered: 2014–15 to 2017–18 (number of applications)</w:t>
        </w:r>
        <w:r w:rsidR="00676C76">
          <w:rPr>
            <w:webHidden/>
          </w:rPr>
          <w:tab/>
        </w:r>
        <w:r w:rsidR="00676C76">
          <w:rPr>
            <w:webHidden/>
          </w:rPr>
          <w:fldChar w:fldCharType="begin"/>
        </w:r>
        <w:r w:rsidR="00676C76">
          <w:rPr>
            <w:webHidden/>
          </w:rPr>
          <w:instrText xml:space="preserve"> PAGEREF _Toc1054880 \h </w:instrText>
        </w:r>
        <w:r w:rsidR="00676C76">
          <w:rPr>
            <w:webHidden/>
          </w:rPr>
        </w:r>
        <w:r w:rsidR="00676C76">
          <w:rPr>
            <w:webHidden/>
          </w:rPr>
          <w:fldChar w:fldCharType="separate"/>
        </w:r>
        <w:r w:rsidR="009B4867">
          <w:rPr>
            <w:webHidden/>
          </w:rPr>
          <w:t>25</w:t>
        </w:r>
        <w:r w:rsidR="00676C76">
          <w:rPr>
            <w:webHidden/>
          </w:rPr>
          <w:fldChar w:fldCharType="end"/>
        </w:r>
      </w:hyperlink>
    </w:p>
    <w:p w14:paraId="7AE9FE3C" w14:textId="0CC6A8D2" w:rsidR="00676C76" w:rsidRDefault="004F2B6E">
      <w:pPr>
        <w:pStyle w:val="TOC3"/>
        <w:rPr>
          <w:rFonts w:asciiTheme="minorHAnsi" w:eastAsiaTheme="minorEastAsia" w:hAnsiTheme="minorHAnsi" w:cstheme="minorBidi"/>
          <w:sz w:val="22"/>
          <w:szCs w:val="22"/>
          <w:lang w:eastAsia="zh-CN"/>
        </w:rPr>
      </w:pPr>
      <w:hyperlink w:anchor="_Toc1054881" w:history="1">
        <w:r w:rsidR="00676C76" w:rsidRPr="003A6CB3">
          <w:rPr>
            <w:rStyle w:val="Hyperlink"/>
            <w:spacing w:val="-2"/>
          </w:rPr>
          <w:t>Table 3.2: Applications decided: 2014–15 to 2017–18 (value of proposed investment)</w:t>
        </w:r>
        <w:r w:rsidR="00676C76">
          <w:rPr>
            <w:webHidden/>
          </w:rPr>
          <w:tab/>
        </w:r>
        <w:r w:rsidR="00676C76">
          <w:rPr>
            <w:webHidden/>
          </w:rPr>
          <w:fldChar w:fldCharType="begin"/>
        </w:r>
        <w:r w:rsidR="00676C76">
          <w:rPr>
            <w:webHidden/>
          </w:rPr>
          <w:instrText xml:space="preserve"> PAGEREF _Toc1054881 \h </w:instrText>
        </w:r>
        <w:r w:rsidR="00676C76">
          <w:rPr>
            <w:webHidden/>
          </w:rPr>
        </w:r>
        <w:r w:rsidR="00676C76">
          <w:rPr>
            <w:webHidden/>
          </w:rPr>
          <w:fldChar w:fldCharType="separate"/>
        </w:r>
        <w:r w:rsidR="009B4867">
          <w:rPr>
            <w:webHidden/>
          </w:rPr>
          <w:t>26</w:t>
        </w:r>
        <w:r w:rsidR="00676C76">
          <w:rPr>
            <w:webHidden/>
          </w:rPr>
          <w:fldChar w:fldCharType="end"/>
        </w:r>
      </w:hyperlink>
    </w:p>
    <w:p w14:paraId="7DCB3143" w14:textId="3C472DD9" w:rsidR="00676C76" w:rsidRDefault="004F2B6E">
      <w:pPr>
        <w:pStyle w:val="TOC3"/>
        <w:rPr>
          <w:rFonts w:asciiTheme="minorHAnsi" w:eastAsiaTheme="minorEastAsia" w:hAnsiTheme="minorHAnsi" w:cstheme="minorBidi"/>
          <w:sz w:val="22"/>
          <w:szCs w:val="22"/>
          <w:lang w:eastAsia="zh-CN"/>
        </w:rPr>
      </w:pPr>
      <w:hyperlink w:anchor="_Toc1054882" w:history="1">
        <w:r w:rsidR="00676C76" w:rsidRPr="003A6CB3">
          <w:rPr>
            <w:rStyle w:val="Hyperlink"/>
          </w:rPr>
          <w:t>Table 3.3: Total approvals by value of proposed investment range: 2014–15 to 2017–18 (number and value of approvals)</w:t>
        </w:r>
        <w:r w:rsidR="00676C76">
          <w:rPr>
            <w:webHidden/>
          </w:rPr>
          <w:tab/>
        </w:r>
        <w:r w:rsidR="00676C76">
          <w:rPr>
            <w:webHidden/>
          </w:rPr>
          <w:fldChar w:fldCharType="begin"/>
        </w:r>
        <w:r w:rsidR="00676C76">
          <w:rPr>
            <w:webHidden/>
          </w:rPr>
          <w:instrText xml:space="preserve"> PAGEREF _Toc1054882 \h </w:instrText>
        </w:r>
        <w:r w:rsidR="00676C76">
          <w:rPr>
            <w:webHidden/>
          </w:rPr>
        </w:r>
        <w:r w:rsidR="00676C76">
          <w:rPr>
            <w:webHidden/>
          </w:rPr>
          <w:fldChar w:fldCharType="separate"/>
        </w:r>
        <w:r w:rsidR="009B4867">
          <w:rPr>
            <w:webHidden/>
          </w:rPr>
          <w:t>27</w:t>
        </w:r>
        <w:r w:rsidR="00676C76">
          <w:rPr>
            <w:webHidden/>
          </w:rPr>
          <w:fldChar w:fldCharType="end"/>
        </w:r>
      </w:hyperlink>
    </w:p>
    <w:p w14:paraId="772DE613" w14:textId="11B6A218" w:rsidR="00676C76" w:rsidRDefault="004F2B6E">
      <w:pPr>
        <w:pStyle w:val="TOC3"/>
        <w:rPr>
          <w:rFonts w:asciiTheme="minorHAnsi" w:eastAsiaTheme="minorEastAsia" w:hAnsiTheme="minorHAnsi" w:cstheme="minorBidi"/>
          <w:sz w:val="22"/>
          <w:szCs w:val="22"/>
          <w:lang w:eastAsia="zh-CN"/>
        </w:rPr>
      </w:pPr>
      <w:hyperlink w:anchor="_Toc1054883" w:history="1">
        <w:r w:rsidR="00676C76" w:rsidRPr="003A6CB3">
          <w:rPr>
            <w:rStyle w:val="Hyperlink"/>
          </w:rPr>
          <w:t>Table 3.4: Total approvals by industry sector: 2014–15 to 2017–18</w:t>
        </w:r>
        <w:r w:rsidR="00676C76">
          <w:rPr>
            <w:webHidden/>
          </w:rPr>
          <w:tab/>
        </w:r>
        <w:r w:rsidR="00676C76">
          <w:rPr>
            <w:webHidden/>
          </w:rPr>
          <w:fldChar w:fldCharType="begin"/>
        </w:r>
        <w:r w:rsidR="00676C76">
          <w:rPr>
            <w:webHidden/>
          </w:rPr>
          <w:instrText xml:space="preserve"> PAGEREF _Toc1054883 \h </w:instrText>
        </w:r>
        <w:r w:rsidR="00676C76">
          <w:rPr>
            <w:webHidden/>
          </w:rPr>
        </w:r>
        <w:r w:rsidR="00676C76">
          <w:rPr>
            <w:webHidden/>
          </w:rPr>
          <w:fldChar w:fldCharType="separate"/>
        </w:r>
        <w:r w:rsidR="009B4867">
          <w:rPr>
            <w:webHidden/>
          </w:rPr>
          <w:t>30</w:t>
        </w:r>
        <w:r w:rsidR="00676C76">
          <w:rPr>
            <w:webHidden/>
          </w:rPr>
          <w:fldChar w:fldCharType="end"/>
        </w:r>
      </w:hyperlink>
    </w:p>
    <w:p w14:paraId="36E06828" w14:textId="26753867" w:rsidR="00676C76" w:rsidRDefault="004F2B6E">
      <w:pPr>
        <w:pStyle w:val="TOC3"/>
        <w:rPr>
          <w:rFonts w:asciiTheme="minorHAnsi" w:eastAsiaTheme="minorEastAsia" w:hAnsiTheme="minorHAnsi" w:cstheme="minorBidi"/>
          <w:sz w:val="22"/>
          <w:szCs w:val="22"/>
          <w:lang w:eastAsia="zh-CN"/>
        </w:rPr>
      </w:pPr>
      <w:hyperlink w:anchor="_Toc1054884" w:history="1">
        <w:r w:rsidR="00676C76" w:rsidRPr="003A6CB3">
          <w:rPr>
            <w:rStyle w:val="Hyperlink"/>
          </w:rPr>
          <w:t>Table 3.5: Manufacturing, electricity and gas sector approvals: 2014–15 to 2017–18</w:t>
        </w:r>
        <w:r w:rsidR="00676C76">
          <w:rPr>
            <w:webHidden/>
          </w:rPr>
          <w:tab/>
        </w:r>
        <w:r w:rsidR="00676C76">
          <w:rPr>
            <w:webHidden/>
          </w:rPr>
          <w:fldChar w:fldCharType="begin"/>
        </w:r>
        <w:r w:rsidR="00676C76">
          <w:rPr>
            <w:webHidden/>
          </w:rPr>
          <w:instrText xml:space="preserve"> PAGEREF _Toc1054884 \h </w:instrText>
        </w:r>
        <w:r w:rsidR="00676C76">
          <w:rPr>
            <w:webHidden/>
          </w:rPr>
        </w:r>
        <w:r w:rsidR="00676C76">
          <w:rPr>
            <w:webHidden/>
          </w:rPr>
          <w:fldChar w:fldCharType="separate"/>
        </w:r>
        <w:r w:rsidR="009B4867">
          <w:rPr>
            <w:webHidden/>
          </w:rPr>
          <w:t>31</w:t>
        </w:r>
        <w:r w:rsidR="00676C76">
          <w:rPr>
            <w:webHidden/>
          </w:rPr>
          <w:fldChar w:fldCharType="end"/>
        </w:r>
      </w:hyperlink>
    </w:p>
    <w:p w14:paraId="5A0886BE" w14:textId="7A019E68" w:rsidR="00676C76" w:rsidRDefault="004F2B6E">
      <w:pPr>
        <w:pStyle w:val="TOC3"/>
        <w:rPr>
          <w:rFonts w:asciiTheme="minorHAnsi" w:eastAsiaTheme="minorEastAsia" w:hAnsiTheme="minorHAnsi" w:cstheme="minorBidi"/>
          <w:sz w:val="22"/>
          <w:szCs w:val="22"/>
          <w:lang w:eastAsia="zh-CN"/>
        </w:rPr>
      </w:pPr>
      <w:hyperlink w:anchor="_Toc1054885" w:history="1">
        <w:r w:rsidR="00676C76" w:rsidRPr="003A6CB3">
          <w:rPr>
            <w:rStyle w:val="Hyperlink"/>
          </w:rPr>
          <w:t>Table 3.6: Mineral exploration and development sector approvals: 2014–15 to 2017–18</w:t>
        </w:r>
        <w:r w:rsidR="00676C76">
          <w:rPr>
            <w:webHidden/>
          </w:rPr>
          <w:tab/>
        </w:r>
        <w:r w:rsidR="00676C76">
          <w:rPr>
            <w:webHidden/>
          </w:rPr>
          <w:fldChar w:fldCharType="begin"/>
        </w:r>
        <w:r w:rsidR="00676C76">
          <w:rPr>
            <w:webHidden/>
          </w:rPr>
          <w:instrText xml:space="preserve"> PAGEREF _Toc1054885 \h </w:instrText>
        </w:r>
        <w:r w:rsidR="00676C76">
          <w:rPr>
            <w:webHidden/>
          </w:rPr>
        </w:r>
        <w:r w:rsidR="00676C76">
          <w:rPr>
            <w:webHidden/>
          </w:rPr>
          <w:fldChar w:fldCharType="separate"/>
        </w:r>
        <w:r w:rsidR="009B4867">
          <w:rPr>
            <w:webHidden/>
          </w:rPr>
          <w:t>33</w:t>
        </w:r>
        <w:r w:rsidR="00676C76">
          <w:rPr>
            <w:webHidden/>
          </w:rPr>
          <w:fldChar w:fldCharType="end"/>
        </w:r>
      </w:hyperlink>
    </w:p>
    <w:p w14:paraId="14261A6A" w14:textId="2B26F790" w:rsidR="00676C76" w:rsidRDefault="004F2B6E">
      <w:pPr>
        <w:pStyle w:val="TOC3"/>
        <w:rPr>
          <w:rFonts w:asciiTheme="minorHAnsi" w:eastAsiaTheme="minorEastAsia" w:hAnsiTheme="minorHAnsi" w:cstheme="minorBidi"/>
          <w:sz w:val="22"/>
          <w:szCs w:val="22"/>
          <w:lang w:eastAsia="zh-CN"/>
        </w:rPr>
      </w:pPr>
      <w:hyperlink w:anchor="_Toc1054886" w:history="1">
        <w:r w:rsidR="00676C76" w:rsidRPr="003A6CB3">
          <w:rPr>
            <w:rStyle w:val="Hyperlink"/>
          </w:rPr>
          <w:t>Table 3.7: Services sector approvals: 2014–15 to 2017–18</w:t>
        </w:r>
        <w:r w:rsidR="00676C76">
          <w:rPr>
            <w:webHidden/>
          </w:rPr>
          <w:tab/>
        </w:r>
        <w:r w:rsidR="00676C76">
          <w:rPr>
            <w:webHidden/>
          </w:rPr>
          <w:fldChar w:fldCharType="begin"/>
        </w:r>
        <w:r w:rsidR="00676C76">
          <w:rPr>
            <w:webHidden/>
          </w:rPr>
          <w:instrText xml:space="preserve"> PAGEREF _Toc1054886 \h </w:instrText>
        </w:r>
        <w:r w:rsidR="00676C76">
          <w:rPr>
            <w:webHidden/>
          </w:rPr>
        </w:r>
        <w:r w:rsidR="00676C76">
          <w:rPr>
            <w:webHidden/>
          </w:rPr>
          <w:fldChar w:fldCharType="separate"/>
        </w:r>
        <w:r w:rsidR="009B4867">
          <w:rPr>
            <w:webHidden/>
          </w:rPr>
          <w:t>35</w:t>
        </w:r>
        <w:r w:rsidR="00676C76">
          <w:rPr>
            <w:webHidden/>
          </w:rPr>
          <w:fldChar w:fldCharType="end"/>
        </w:r>
      </w:hyperlink>
    </w:p>
    <w:p w14:paraId="14D023DC" w14:textId="10F42BDA" w:rsidR="00676C76" w:rsidRDefault="004F2B6E">
      <w:pPr>
        <w:pStyle w:val="TOC3"/>
        <w:rPr>
          <w:rFonts w:asciiTheme="minorHAnsi" w:eastAsiaTheme="minorEastAsia" w:hAnsiTheme="minorHAnsi" w:cstheme="minorBidi"/>
          <w:sz w:val="22"/>
          <w:szCs w:val="22"/>
          <w:lang w:eastAsia="zh-CN"/>
        </w:rPr>
      </w:pPr>
      <w:hyperlink w:anchor="_Toc1054887" w:history="1">
        <w:r w:rsidR="00676C76" w:rsidRPr="003A6CB3">
          <w:rPr>
            <w:rStyle w:val="Hyperlink"/>
          </w:rPr>
          <w:t>Table 3.8: Commercial real estate approvals, by type: 2014–15 to 2017–18</w:t>
        </w:r>
        <w:r w:rsidR="00676C76">
          <w:rPr>
            <w:webHidden/>
          </w:rPr>
          <w:tab/>
        </w:r>
        <w:r w:rsidR="00676C76">
          <w:rPr>
            <w:webHidden/>
          </w:rPr>
          <w:fldChar w:fldCharType="begin"/>
        </w:r>
        <w:r w:rsidR="00676C76">
          <w:rPr>
            <w:webHidden/>
          </w:rPr>
          <w:instrText xml:space="preserve"> PAGEREF _Toc1054887 \h </w:instrText>
        </w:r>
        <w:r w:rsidR="00676C76">
          <w:rPr>
            <w:webHidden/>
          </w:rPr>
        </w:r>
        <w:r w:rsidR="00676C76">
          <w:rPr>
            <w:webHidden/>
          </w:rPr>
          <w:fldChar w:fldCharType="separate"/>
        </w:r>
        <w:r w:rsidR="009B4867">
          <w:rPr>
            <w:webHidden/>
          </w:rPr>
          <w:t>37</w:t>
        </w:r>
        <w:r w:rsidR="00676C76">
          <w:rPr>
            <w:webHidden/>
          </w:rPr>
          <w:fldChar w:fldCharType="end"/>
        </w:r>
      </w:hyperlink>
    </w:p>
    <w:p w14:paraId="0FFC701D" w14:textId="02430A30" w:rsidR="00676C76" w:rsidRDefault="004F2B6E">
      <w:pPr>
        <w:pStyle w:val="TOC3"/>
        <w:rPr>
          <w:rFonts w:asciiTheme="minorHAnsi" w:eastAsiaTheme="minorEastAsia" w:hAnsiTheme="minorHAnsi" w:cstheme="minorBidi"/>
          <w:sz w:val="22"/>
          <w:szCs w:val="22"/>
          <w:lang w:eastAsia="zh-CN"/>
        </w:rPr>
      </w:pPr>
      <w:hyperlink w:anchor="_Toc1054888" w:history="1">
        <w:r w:rsidR="00676C76" w:rsidRPr="003A6CB3">
          <w:rPr>
            <w:rStyle w:val="Hyperlink"/>
          </w:rPr>
          <w:t>Table 3.9: State and territory distribution of proposed investment in commercial real estate in 2017–18</w:t>
        </w:r>
        <w:r w:rsidR="00676C76">
          <w:rPr>
            <w:webHidden/>
          </w:rPr>
          <w:tab/>
        </w:r>
        <w:r w:rsidR="00676C76">
          <w:rPr>
            <w:webHidden/>
          </w:rPr>
          <w:fldChar w:fldCharType="begin"/>
        </w:r>
        <w:r w:rsidR="00676C76">
          <w:rPr>
            <w:webHidden/>
          </w:rPr>
          <w:instrText xml:space="preserve"> PAGEREF _Toc1054888 \h </w:instrText>
        </w:r>
        <w:r w:rsidR="00676C76">
          <w:rPr>
            <w:webHidden/>
          </w:rPr>
        </w:r>
        <w:r w:rsidR="00676C76">
          <w:rPr>
            <w:webHidden/>
          </w:rPr>
          <w:fldChar w:fldCharType="separate"/>
        </w:r>
        <w:r w:rsidR="009B4867">
          <w:rPr>
            <w:webHidden/>
          </w:rPr>
          <w:t>38</w:t>
        </w:r>
        <w:r w:rsidR="00676C76">
          <w:rPr>
            <w:webHidden/>
          </w:rPr>
          <w:fldChar w:fldCharType="end"/>
        </w:r>
      </w:hyperlink>
    </w:p>
    <w:p w14:paraId="6265BD0F" w14:textId="60EA8B8F" w:rsidR="00676C76" w:rsidRDefault="004F2B6E">
      <w:pPr>
        <w:pStyle w:val="TOC3"/>
        <w:rPr>
          <w:rFonts w:asciiTheme="minorHAnsi" w:eastAsiaTheme="minorEastAsia" w:hAnsiTheme="minorHAnsi" w:cstheme="minorBidi"/>
          <w:sz w:val="22"/>
          <w:szCs w:val="22"/>
          <w:lang w:eastAsia="zh-CN"/>
        </w:rPr>
      </w:pPr>
      <w:hyperlink w:anchor="_Toc1054889" w:history="1">
        <w:r w:rsidR="00676C76" w:rsidRPr="003A6CB3">
          <w:rPr>
            <w:rStyle w:val="Hyperlink"/>
          </w:rPr>
          <w:t>Table 3.10: Residential real estate approvals, by type: 2014–15 to 2017–18</w:t>
        </w:r>
        <w:r w:rsidR="00676C76">
          <w:rPr>
            <w:webHidden/>
          </w:rPr>
          <w:tab/>
        </w:r>
        <w:r w:rsidR="00676C76">
          <w:rPr>
            <w:webHidden/>
          </w:rPr>
          <w:fldChar w:fldCharType="begin"/>
        </w:r>
        <w:r w:rsidR="00676C76">
          <w:rPr>
            <w:webHidden/>
          </w:rPr>
          <w:instrText xml:space="preserve"> PAGEREF _Toc1054889 \h </w:instrText>
        </w:r>
        <w:r w:rsidR="00676C76">
          <w:rPr>
            <w:webHidden/>
          </w:rPr>
        </w:r>
        <w:r w:rsidR="00676C76">
          <w:rPr>
            <w:webHidden/>
          </w:rPr>
          <w:fldChar w:fldCharType="separate"/>
        </w:r>
        <w:r w:rsidR="009B4867">
          <w:rPr>
            <w:webHidden/>
          </w:rPr>
          <w:t>42</w:t>
        </w:r>
        <w:r w:rsidR="00676C76">
          <w:rPr>
            <w:webHidden/>
          </w:rPr>
          <w:fldChar w:fldCharType="end"/>
        </w:r>
      </w:hyperlink>
    </w:p>
    <w:p w14:paraId="7412CEF3" w14:textId="20F8C8AA" w:rsidR="00676C76" w:rsidRDefault="004F2B6E">
      <w:pPr>
        <w:pStyle w:val="TOC3"/>
        <w:rPr>
          <w:rFonts w:asciiTheme="minorHAnsi" w:eastAsiaTheme="minorEastAsia" w:hAnsiTheme="minorHAnsi" w:cstheme="minorBidi"/>
          <w:sz w:val="22"/>
          <w:szCs w:val="22"/>
          <w:lang w:eastAsia="zh-CN"/>
        </w:rPr>
      </w:pPr>
      <w:hyperlink w:anchor="_Toc1054890" w:history="1">
        <w:r w:rsidR="00676C76" w:rsidRPr="003A6CB3">
          <w:rPr>
            <w:rStyle w:val="Hyperlink"/>
          </w:rPr>
          <w:t>Table 3.11: State and territory distribution of proposed investment in residential real estate in 2017–18</w:t>
        </w:r>
        <w:r w:rsidR="00676C76">
          <w:rPr>
            <w:webHidden/>
          </w:rPr>
          <w:tab/>
        </w:r>
        <w:r w:rsidR="00676C76">
          <w:rPr>
            <w:webHidden/>
          </w:rPr>
          <w:fldChar w:fldCharType="begin"/>
        </w:r>
        <w:r w:rsidR="00676C76">
          <w:rPr>
            <w:webHidden/>
          </w:rPr>
          <w:instrText xml:space="preserve"> PAGEREF _Toc1054890 \h </w:instrText>
        </w:r>
        <w:r w:rsidR="00676C76">
          <w:rPr>
            <w:webHidden/>
          </w:rPr>
        </w:r>
        <w:r w:rsidR="00676C76">
          <w:rPr>
            <w:webHidden/>
          </w:rPr>
          <w:fldChar w:fldCharType="separate"/>
        </w:r>
        <w:r w:rsidR="009B4867">
          <w:rPr>
            <w:webHidden/>
          </w:rPr>
          <w:t>43</w:t>
        </w:r>
        <w:r w:rsidR="00676C76">
          <w:rPr>
            <w:webHidden/>
          </w:rPr>
          <w:fldChar w:fldCharType="end"/>
        </w:r>
      </w:hyperlink>
    </w:p>
    <w:p w14:paraId="109A2CB4" w14:textId="0336F8D4" w:rsidR="00676C76" w:rsidRDefault="004F2B6E">
      <w:pPr>
        <w:pStyle w:val="TOC3"/>
        <w:rPr>
          <w:rFonts w:asciiTheme="minorHAnsi" w:eastAsiaTheme="minorEastAsia" w:hAnsiTheme="minorHAnsi" w:cstheme="minorBidi"/>
          <w:sz w:val="22"/>
          <w:szCs w:val="22"/>
          <w:lang w:eastAsia="zh-CN"/>
        </w:rPr>
      </w:pPr>
      <w:hyperlink w:anchor="_Toc1054891" w:history="1">
        <w:r w:rsidR="00676C76" w:rsidRPr="003A6CB3">
          <w:rPr>
            <w:rStyle w:val="Hyperlink"/>
          </w:rPr>
          <w:t>Table 3.12: State and territory distribution of proposed investment in residential real estate, by type in 2017–18</w:t>
        </w:r>
        <w:r w:rsidR="00676C76">
          <w:rPr>
            <w:webHidden/>
          </w:rPr>
          <w:tab/>
        </w:r>
        <w:r w:rsidR="00676C76">
          <w:rPr>
            <w:webHidden/>
          </w:rPr>
          <w:fldChar w:fldCharType="begin"/>
        </w:r>
        <w:r w:rsidR="00676C76">
          <w:rPr>
            <w:webHidden/>
          </w:rPr>
          <w:instrText xml:space="preserve"> PAGEREF _Toc1054891 \h </w:instrText>
        </w:r>
        <w:r w:rsidR="00676C76">
          <w:rPr>
            <w:webHidden/>
          </w:rPr>
        </w:r>
        <w:r w:rsidR="00676C76">
          <w:rPr>
            <w:webHidden/>
          </w:rPr>
          <w:fldChar w:fldCharType="separate"/>
        </w:r>
        <w:r w:rsidR="009B4867">
          <w:rPr>
            <w:webHidden/>
          </w:rPr>
          <w:t>43</w:t>
        </w:r>
        <w:r w:rsidR="00676C76">
          <w:rPr>
            <w:webHidden/>
          </w:rPr>
          <w:fldChar w:fldCharType="end"/>
        </w:r>
      </w:hyperlink>
    </w:p>
    <w:p w14:paraId="05B1A294" w14:textId="6EF49309" w:rsidR="00676C76" w:rsidRDefault="004F2B6E">
      <w:pPr>
        <w:pStyle w:val="TOC3"/>
        <w:rPr>
          <w:rFonts w:asciiTheme="minorHAnsi" w:eastAsiaTheme="minorEastAsia" w:hAnsiTheme="minorHAnsi" w:cstheme="minorBidi"/>
          <w:sz w:val="22"/>
          <w:szCs w:val="22"/>
          <w:lang w:eastAsia="zh-CN"/>
        </w:rPr>
      </w:pPr>
      <w:hyperlink w:anchor="_Toc1054892" w:history="1">
        <w:r w:rsidR="00676C76" w:rsidRPr="003A6CB3">
          <w:rPr>
            <w:rStyle w:val="Hyperlink"/>
          </w:rPr>
          <w:t>Table 3.13: New business approvals by industry sector: 2014-15 to 2017-18</w:t>
        </w:r>
        <w:r w:rsidR="00676C76">
          <w:rPr>
            <w:webHidden/>
          </w:rPr>
          <w:tab/>
        </w:r>
        <w:r w:rsidR="00676C76">
          <w:rPr>
            <w:webHidden/>
          </w:rPr>
          <w:fldChar w:fldCharType="begin"/>
        </w:r>
        <w:r w:rsidR="00676C76">
          <w:rPr>
            <w:webHidden/>
          </w:rPr>
          <w:instrText xml:space="preserve"> PAGEREF _Toc1054892 \h </w:instrText>
        </w:r>
        <w:r w:rsidR="00676C76">
          <w:rPr>
            <w:webHidden/>
          </w:rPr>
        </w:r>
        <w:r w:rsidR="00676C76">
          <w:rPr>
            <w:webHidden/>
          </w:rPr>
          <w:fldChar w:fldCharType="separate"/>
        </w:r>
        <w:r w:rsidR="009B4867">
          <w:rPr>
            <w:webHidden/>
          </w:rPr>
          <w:t>44</w:t>
        </w:r>
        <w:r w:rsidR="00676C76">
          <w:rPr>
            <w:webHidden/>
          </w:rPr>
          <w:fldChar w:fldCharType="end"/>
        </w:r>
      </w:hyperlink>
    </w:p>
    <w:p w14:paraId="0AB6A930" w14:textId="37B9BF0D" w:rsidR="00676C76" w:rsidRDefault="004F2B6E">
      <w:pPr>
        <w:pStyle w:val="TOC3"/>
        <w:rPr>
          <w:rFonts w:asciiTheme="minorHAnsi" w:eastAsiaTheme="minorEastAsia" w:hAnsiTheme="minorHAnsi" w:cstheme="minorBidi"/>
          <w:sz w:val="22"/>
          <w:szCs w:val="22"/>
          <w:lang w:eastAsia="zh-CN"/>
        </w:rPr>
      </w:pPr>
      <w:hyperlink w:anchor="_Toc1054893" w:history="1">
        <w:r w:rsidR="00676C76" w:rsidRPr="003A6CB3">
          <w:rPr>
            <w:rStyle w:val="Hyperlink"/>
          </w:rPr>
          <w:t>Table 3.14: Approvals by country of investor, by industry sector in 2017–18</w:t>
        </w:r>
        <w:r w:rsidR="00676C76">
          <w:rPr>
            <w:webHidden/>
          </w:rPr>
          <w:tab/>
        </w:r>
        <w:r w:rsidR="00676C76">
          <w:rPr>
            <w:webHidden/>
          </w:rPr>
          <w:fldChar w:fldCharType="begin"/>
        </w:r>
        <w:r w:rsidR="00676C76">
          <w:rPr>
            <w:webHidden/>
          </w:rPr>
          <w:instrText xml:space="preserve"> PAGEREF _Toc1054893 \h </w:instrText>
        </w:r>
        <w:r w:rsidR="00676C76">
          <w:rPr>
            <w:webHidden/>
          </w:rPr>
        </w:r>
        <w:r w:rsidR="00676C76">
          <w:rPr>
            <w:webHidden/>
          </w:rPr>
          <w:fldChar w:fldCharType="separate"/>
        </w:r>
        <w:r w:rsidR="009B4867">
          <w:rPr>
            <w:webHidden/>
          </w:rPr>
          <w:t>47</w:t>
        </w:r>
        <w:r w:rsidR="00676C76">
          <w:rPr>
            <w:webHidden/>
          </w:rPr>
          <w:fldChar w:fldCharType="end"/>
        </w:r>
      </w:hyperlink>
    </w:p>
    <w:p w14:paraId="1C854A5E" w14:textId="6BE32D03" w:rsidR="00676C76" w:rsidRDefault="004F2B6E">
      <w:pPr>
        <w:pStyle w:val="TOC3"/>
        <w:rPr>
          <w:rFonts w:asciiTheme="minorHAnsi" w:eastAsiaTheme="minorEastAsia" w:hAnsiTheme="minorHAnsi" w:cstheme="minorBidi"/>
          <w:sz w:val="22"/>
          <w:szCs w:val="22"/>
          <w:lang w:eastAsia="zh-CN"/>
        </w:rPr>
      </w:pPr>
      <w:hyperlink w:anchor="_Toc1054894" w:history="1">
        <w:r w:rsidR="00676C76" w:rsidRPr="003A6CB3">
          <w:rPr>
            <w:rStyle w:val="Hyperlink"/>
          </w:rPr>
          <w:t>Table 3.15: Variations considered: 2016–17 to 2017–18 (number of variations by variation type)</w:t>
        </w:r>
        <w:r w:rsidR="00676C76">
          <w:rPr>
            <w:webHidden/>
          </w:rPr>
          <w:tab/>
        </w:r>
        <w:r w:rsidR="00676C76">
          <w:rPr>
            <w:webHidden/>
          </w:rPr>
          <w:fldChar w:fldCharType="begin"/>
        </w:r>
        <w:r w:rsidR="00676C76">
          <w:rPr>
            <w:webHidden/>
          </w:rPr>
          <w:instrText xml:space="preserve"> PAGEREF _Toc1054894 \h </w:instrText>
        </w:r>
        <w:r w:rsidR="00676C76">
          <w:rPr>
            <w:webHidden/>
          </w:rPr>
        </w:r>
        <w:r w:rsidR="00676C76">
          <w:rPr>
            <w:webHidden/>
          </w:rPr>
          <w:fldChar w:fldCharType="separate"/>
        </w:r>
        <w:r w:rsidR="009B4867">
          <w:rPr>
            <w:webHidden/>
          </w:rPr>
          <w:t>50</w:t>
        </w:r>
        <w:r w:rsidR="00676C76">
          <w:rPr>
            <w:webHidden/>
          </w:rPr>
          <w:fldChar w:fldCharType="end"/>
        </w:r>
      </w:hyperlink>
    </w:p>
    <w:p w14:paraId="4082A6E7" w14:textId="0542BD63" w:rsidR="00676C76" w:rsidRDefault="004F2B6E">
      <w:pPr>
        <w:pStyle w:val="TOC3"/>
        <w:rPr>
          <w:rFonts w:asciiTheme="minorHAnsi" w:eastAsiaTheme="minorEastAsia" w:hAnsiTheme="minorHAnsi" w:cstheme="minorBidi"/>
          <w:sz w:val="22"/>
          <w:szCs w:val="22"/>
          <w:lang w:eastAsia="zh-CN"/>
        </w:rPr>
      </w:pPr>
      <w:hyperlink w:anchor="_Toc1054895" w:history="1">
        <w:r w:rsidR="00676C76" w:rsidRPr="003A6CB3">
          <w:rPr>
            <w:rStyle w:val="Hyperlink"/>
          </w:rPr>
          <w:t>Table 3.16: Variations approved: 2016–17 to 2017–18 (number of variations by variation reason)</w:t>
        </w:r>
        <w:r w:rsidR="00676C76">
          <w:rPr>
            <w:webHidden/>
          </w:rPr>
          <w:tab/>
        </w:r>
        <w:r w:rsidR="00676C76">
          <w:rPr>
            <w:webHidden/>
          </w:rPr>
          <w:fldChar w:fldCharType="begin"/>
        </w:r>
        <w:r w:rsidR="00676C76">
          <w:rPr>
            <w:webHidden/>
          </w:rPr>
          <w:instrText xml:space="preserve"> PAGEREF _Toc1054895 \h </w:instrText>
        </w:r>
        <w:r w:rsidR="00676C76">
          <w:rPr>
            <w:webHidden/>
          </w:rPr>
        </w:r>
        <w:r w:rsidR="00676C76">
          <w:rPr>
            <w:webHidden/>
          </w:rPr>
          <w:fldChar w:fldCharType="separate"/>
        </w:r>
        <w:r w:rsidR="009B4867">
          <w:rPr>
            <w:webHidden/>
          </w:rPr>
          <w:t>50</w:t>
        </w:r>
        <w:r w:rsidR="00676C76">
          <w:rPr>
            <w:webHidden/>
          </w:rPr>
          <w:fldChar w:fldCharType="end"/>
        </w:r>
      </w:hyperlink>
    </w:p>
    <w:p w14:paraId="6F49D2F1" w14:textId="6C6824A7" w:rsidR="00676C76" w:rsidRDefault="004F2B6E" w:rsidP="004C22C7">
      <w:pPr>
        <w:pStyle w:val="TOC3"/>
        <w:ind w:right="623"/>
        <w:rPr>
          <w:rFonts w:asciiTheme="minorHAnsi" w:eastAsiaTheme="minorEastAsia" w:hAnsiTheme="minorHAnsi" w:cstheme="minorBidi"/>
          <w:sz w:val="22"/>
          <w:szCs w:val="22"/>
          <w:lang w:eastAsia="zh-CN"/>
        </w:rPr>
      </w:pPr>
      <w:hyperlink w:anchor="_Toc1054896" w:history="1">
        <w:r w:rsidR="00676C76" w:rsidRPr="003A6CB3">
          <w:rPr>
            <w:rStyle w:val="Hyperlink"/>
          </w:rPr>
          <w:t>Table 3.17: Foreign investment fee collections: 2015</w:t>
        </w:r>
        <w:r w:rsidR="00676C76" w:rsidRPr="003A6CB3">
          <w:rPr>
            <w:rStyle w:val="Hyperlink"/>
          </w:rPr>
          <w:noBreakHyphen/>
          <w:t>16 to 2017</w:t>
        </w:r>
        <w:r w:rsidR="00676C76" w:rsidRPr="003A6CB3">
          <w:rPr>
            <w:rStyle w:val="Hyperlink"/>
          </w:rPr>
          <w:noBreakHyphen/>
          <w:t>18</w:t>
        </w:r>
        <w:r w:rsidR="00676C76">
          <w:rPr>
            <w:webHidden/>
          </w:rPr>
          <w:tab/>
        </w:r>
        <w:r w:rsidR="00676C76">
          <w:rPr>
            <w:webHidden/>
          </w:rPr>
          <w:fldChar w:fldCharType="begin"/>
        </w:r>
        <w:r w:rsidR="00676C76">
          <w:rPr>
            <w:webHidden/>
          </w:rPr>
          <w:instrText xml:space="preserve"> PAGEREF _Toc1054896 \h </w:instrText>
        </w:r>
        <w:r w:rsidR="00676C76">
          <w:rPr>
            <w:webHidden/>
          </w:rPr>
        </w:r>
        <w:r w:rsidR="00676C76">
          <w:rPr>
            <w:webHidden/>
          </w:rPr>
          <w:fldChar w:fldCharType="separate"/>
        </w:r>
        <w:r w:rsidR="009B4867">
          <w:rPr>
            <w:webHidden/>
          </w:rPr>
          <w:t>52</w:t>
        </w:r>
        <w:r w:rsidR="00676C76">
          <w:rPr>
            <w:webHidden/>
          </w:rPr>
          <w:fldChar w:fldCharType="end"/>
        </w:r>
      </w:hyperlink>
    </w:p>
    <w:p w14:paraId="7E2E5E62" w14:textId="72530284" w:rsidR="00676C76" w:rsidRDefault="004F2B6E" w:rsidP="004C22C7">
      <w:pPr>
        <w:pStyle w:val="TOC3"/>
        <w:ind w:right="623"/>
        <w:rPr>
          <w:rFonts w:asciiTheme="minorHAnsi" w:eastAsiaTheme="minorEastAsia" w:hAnsiTheme="minorHAnsi" w:cstheme="minorBidi"/>
          <w:sz w:val="22"/>
          <w:szCs w:val="22"/>
          <w:lang w:eastAsia="zh-CN"/>
        </w:rPr>
      </w:pPr>
      <w:hyperlink w:anchor="_Toc1054897" w:history="1">
        <w:r w:rsidR="00676C76" w:rsidRPr="003A6CB3">
          <w:rPr>
            <w:rStyle w:val="Hyperlink"/>
          </w:rPr>
          <w:t>Table 4.1: Residential real estate compliance investigations in 2016–17 and 2017–18</w:t>
        </w:r>
        <w:r w:rsidR="00676C76">
          <w:rPr>
            <w:webHidden/>
          </w:rPr>
          <w:tab/>
        </w:r>
        <w:r w:rsidR="00676C76">
          <w:rPr>
            <w:webHidden/>
          </w:rPr>
          <w:fldChar w:fldCharType="begin"/>
        </w:r>
        <w:r w:rsidR="00676C76">
          <w:rPr>
            <w:webHidden/>
          </w:rPr>
          <w:instrText xml:space="preserve"> PAGEREF _Toc1054897 \h </w:instrText>
        </w:r>
        <w:r w:rsidR="00676C76">
          <w:rPr>
            <w:webHidden/>
          </w:rPr>
        </w:r>
        <w:r w:rsidR="00676C76">
          <w:rPr>
            <w:webHidden/>
          </w:rPr>
          <w:fldChar w:fldCharType="separate"/>
        </w:r>
        <w:r w:rsidR="009B4867">
          <w:rPr>
            <w:webHidden/>
          </w:rPr>
          <w:t>57</w:t>
        </w:r>
        <w:r w:rsidR="00676C76">
          <w:rPr>
            <w:webHidden/>
          </w:rPr>
          <w:fldChar w:fldCharType="end"/>
        </w:r>
      </w:hyperlink>
    </w:p>
    <w:p w14:paraId="53E7D8F3" w14:textId="759478B6" w:rsidR="00676C76" w:rsidRDefault="004F2B6E">
      <w:pPr>
        <w:pStyle w:val="TOC3"/>
        <w:rPr>
          <w:rFonts w:asciiTheme="minorHAnsi" w:eastAsiaTheme="minorEastAsia" w:hAnsiTheme="minorHAnsi" w:cstheme="minorBidi"/>
          <w:sz w:val="22"/>
          <w:szCs w:val="22"/>
          <w:lang w:eastAsia="zh-CN"/>
        </w:rPr>
      </w:pPr>
      <w:hyperlink w:anchor="_Toc1054898" w:history="1">
        <w:r w:rsidR="00676C76" w:rsidRPr="003A6CB3">
          <w:rPr>
            <w:rStyle w:val="Hyperlink"/>
          </w:rPr>
          <w:t>Table 4.2: Outcomes of residential real estate investigations that identified breaches in 2016–17 to 2017–18</w:t>
        </w:r>
        <w:r w:rsidR="00676C76">
          <w:rPr>
            <w:webHidden/>
          </w:rPr>
          <w:tab/>
        </w:r>
        <w:r w:rsidR="00676C76">
          <w:rPr>
            <w:webHidden/>
          </w:rPr>
          <w:fldChar w:fldCharType="begin"/>
        </w:r>
        <w:r w:rsidR="00676C76">
          <w:rPr>
            <w:webHidden/>
          </w:rPr>
          <w:instrText xml:space="preserve"> PAGEREF _Toc1054898 \h </w:instrText>
        </w:r>
        <w:r w:rsidR="00676C76">
          <w:rPr>
            <w:webHidden/>
          </w:rPr>
        </w:r>
        <w:r w:rsidR="00676C76">
          <w:rPr>
            <w:webHidden/>
          </w:rPr>
          <w:fldChar w:fldCharType="separate"/>
        </w:r>
        <w:r w:rsidR="009B4867">
          <w:rPr>
            <w:webHidden/>
          </w:rPr>
          <w:t>58</w:t>
        </w:r>
        <w:r w:rsidR="00676C76">
          <w:rPr>
            <w:webHidden/>
          </w:rPr>
          <w:fldChar w:fldCharType="end"/>
        </w:r>
      </w:hyperlink>
    </w:p>
    <w:p w14:paraId="007ACC28" w14:textId="5BE7DA92" w:rsidR="00676C76" w:rsidRDefault="004F2B6E">
      <w:pPr>
        <w:pStyle w:val="TOC3"/>
        <w:rPr>
          <w:rFonts w:asciiTheme="minorHAnsi" w:eastAsiaTheme="minorEastAsia" w:hAnsiTheme="minorHAnsi" w:cstheme="minorBidi"/>
          <w:sz w:val="22"/>
          <w:szCs w:val="22"/>
          <w:lang w:eastAsia="zh-CN"/>
        </w:rPr>
      </w:pPr>
      <w:hyperlink w:anchor="_Toc1054899" w:history="1">
        <w:r w:rsidR="00676C76" w:rsidRPr="003A6CB3">
          <w:rPr>
            <w:rStyle w:val="Hyperlink"/>
          </w:rPr>
          <w:t>Table 4.3: Source of residential real estate cases in 2016–17 to 2017–18</w:t>
        </w:r>
        <w:r w:rsidR="00676C76">
          <w:rPr>
            <w:webHidden/>
          </w:rPr>
          <w:tab/>
        </w:r>
        <w:r w:rsidR="00676C76">
          <w:rPr>
            <w:webHidden/>
          </w:rPr>
          <w:fldChar w:fldCharType="begin"/>
        </w:r>
        <w:r w:rsidR="00676C76">
          <w:rPr>
            <w:webHidden/>
          </w:rPr>
          <w:instrText xml:space="preserve"> PAGEREF _Toc1054899 \h </w:instrText>
        </w:r>
        <w:r w:rsidR="00676C76">
          <w:rPr>
            <w:webHidden/>
          </w:rPr>
        </w:r>
        <w:r w:rsidR="00676C76">
          <w:rPr>
            <w:webHidden/>
          </w:rPr>
          <w:fldChar w:fldCharType="separate"/>
        </w:r>
        <w:r w:rsidR="009B4867">
          <w:rPr>
            <w:webHidden/>
          </w:rPr>
          <w:t>59</w:t>
        </w:r>
        <w:r w:rsidR="00676C76">
          <w:rPr>
            <w:webHidden/>
          </w:rPr>
          <w:fldChar w:fldCharType="end"/>
        </w:r>
      </w:hyperlink>
    </w:p>
    <w:p w14:paraId="01F6C0E6" w14:textId="68B90800" w:rsidR="00676C76" w:rsidRDefault="004F2B6E">
      <w:pPr>
        <w:pStyle w:val="TOC3"/>
        <w:rPr>
          <w:rFonts w:asciiTheme="minorHAnsi" w:eastAsiaTheme="minorEastAsia" w:hAnsiTheme="minorHAnsi" w:cstheme="minorBidi"/>
          <w:sz w:val="22"/>
          <w:szCs w:val="22"/>
          <w:lang w:eastAsia="zh-CN"/>
        </w:rPr>
      </w:pPr>
      <w:hyperlink w:anchor="_Toc1054900" w:history="1">
        <w:r w:rsidR="00676C76" w:rsidRPr="003A6CB3">
          <w:rPr>
            <w:rStyle w:val="Hyperlink"/>
          </w:rPr>
          <w:t>Table 4.4: Outcomes of completed residential real estate investigations in 2016–17 to 2017–18, by source</w:t>
        </w:r>
        <w:r w:rsidR="00676C76">
          <w:rPr>
            <w:webHidden/>
          </w:rPr>
          <w:tab/>
        </w:r>
        <w:r w:rsidR="00676C76">
          <w:rPr>
            <w:webHidden/>
          </w:rPr>
          <w:fldChar w:fldCharType="begin"/>
        </w:r>
        <w:r w:rsidR="00676C76">
          <w:rPr>
            <w:webHidden/>
          </w:rPr>
          <w:instrText xml:space="preserve"> PAGEREF _Toc1054900 \h </w:instrText>
        </w:r>
        <w:r w:rsidR="00676C76">
          <w:rPr>
            <w:webHidden/>
          </w:rPr>
        </w:r>
        <w:r w:rsidR="00676C76">
          <w:rPr>
            <w:webHidden/>
          </w:rPr>
          <w:fldChar w:fldCharType="separate"/>
        </w:r>
        <w:r w:rsidR="009B4867">
          <w:rPr>
            <w:webHidden/>
          </w:rPr>
          <w:t>60</w:t>
        </w:r>
        <w:r w:rsidR="00676C76">
          <w:rPr>
            <w:webHidden/>
          </w:rPr>
          <w:fldChar w:fldCharType="end"/>
        </w:r>
      </w:hyperlink>
    </w:p>
    <w:p w14:paraId="7252EB07" w14:textId="1D74D699" w:rsidR="00676C76" w:rsidRDefault="004F2B6E">
      <w:pPr>
        <w:pStyle w:val="TOC3"/>
        <w:rPr>
          <w:rFonts w:asciiTheme="minorHAnsi" w:eastAsiaTheme="minorEastAsia" w:hAnsiTheme="minorHAnsi" w:cstheme="minorBidi"/>
          <w:sz w:val="22"/>
          <w:szCs w:val="22"/>
          <w:lang w:eastAsia="zh-CN"/>
        </w:rPr>
      </w:pPr>
      <w:hyperlink w:anchor="_Toc1054901" w:history="1">
        <w:r w:rsidR="00676C76" w:rsidRPr="003A6CB3">
          <w:rPr>
            <w:rStyle w:val="Hyperlink"/>
          </w:rPr>
          <w:t>Table 4.5: Infringement notices issued in relation to residential real estate, 2016–17 to 2017–18</w:t>
        </w:r>
        <w:r w:rsidR="00676C76">
          <w:rPr>
            <w:webHidden/>
          </w:rPr>
          <w:tab/>
        </w:r>
        <w:r w:rsidR="00676C76">
          <w:rPr>
            <w:webHidden/>
          </w:rPr>
          <w:fldChar w:fldCharType="begin"/>
        </w:r>
        <w:r w:rsidR="00676C76">
          <w:rPr>
            <w:webHidden/>
          </w:rPr>
          <w:instrText xml:space="preserve"> PAGEREF _Toc1054901 \h </w:instrText>
        </w:r>
        <w:r w:rsidR="00676C76">
          <w:rPr>
            <w:webHidden/>
          </w:rPr>
        </w:r>
        <w:r w:rsidR="00676C76">
          <w:rPr>
            <w:webHidden/>
          </w:rPr>
          <w:fldChar w:fldCharType="separate"/>
        </w:r>
        <w:r w:rsidR="009B4867">
          <w:rPr>
            <w:webHidden/>
          </w:rPr>
          <w:t>60</w:t>
        </w:r>
        <w:r w:rsidR="00676C76">
          <w:rPr>
            <w:webHidden/>
          </w:rPr>
          <w:fldChar w:fldCharType="end"/>
        </w:r>
      </w:hyperlink>
    </w:p>
    <w:p w14:paraId="720F6F13" w14:textId="265962F5" w:rsidR="00676C76" w:rsidRDefault="004F2B6E">
      <w:pPr>
        <w:pStyle w:val="TOC3"/>
        <w:rPr>
          <w:rFonts w:asciiTheme="minorHAnsi" w:eastAsiaTheme="minorEastAsia" w:hAnsiTheme="minorHAnsi" w:cstheme="minorBidi"/>
          <w:sz w:val="22"/>
          <w:szCs w:val="22"/>
          <w:lang w:eastAsia="zh-CN"/>
        </w:rPr>
      </w:pPr>
      <w:hyperlink w:anchor="_Toc1054902" w:history="1">
        <w:r w:rsidR="00676C76" w:rsidRPr="003A6CB3">
          <w:rPr>
            <w:rStyle w:val="Hyperlink"/>
          </w:rPr>
          <w:t>Table A.1: FIRB meeting attendance during 2017–18</w:t>
        </w:r>
        <w:r w:rsidR="00676C76">
          <w:rPr>
            <w:webHidden/>
          </w:rPr>
          <w:tab/>
        </w:r>
        <w:r w:rsidR="00676C76">
          <w:rPr>
            <w:webHidden/>
          </w:rPr>
          <w:fldChar w:fldCharType="begin"/>
        </w:r>
        <w:r w:rsidR="00676C76">
          <w:rPr>
            <w:webHidden/>
          </w:rPr>
          <w:instrText xml:space="preserve"> PAGEREF _Toc1054902 \h </w:instrText>
        </w:r>
        <w:r w:rsidR="00676C76">
          <w:rPr>
            <w:webHidden/>
          </w:rPr>
        </w:r>
        <w:r w:rsidR="00676C76">
          <w:rPr>
            <w:webHidden/>
          </w:rPr>
          <w:fldChar w:fldCharType="separate"/>
        </w:r>
        <w:r w:rsidR="009B4867">
          <w:rPr>
            <w:webHidden/>
          </w:rPr>
          <w:t>61</w:t>
        </w:r>
        <w:r w:rsidR="00676C76">
          <w:rPr>
            <w:webHidden/>
          </w:rPr>
          <w:fldChar w:fldCharType="end"/>
        </w:r>
      </w:hyperlink>
    </w:p>
    <w:p w14:paraId="6724A8FF" w14:textId="5D28944E" w:rsidR="00A344BF" w:rsidRDefault="000D3CAC" w:rsidP="00A344BF">
      <w:pPr>
        <w:pStyle w:val="SingleParagraph"/>
      </w:pPr>
      <w:r>
        <w:fldChar w:fldCharType="end"/>
      </w:r>
      <w:r w:rsidR="00A344BF">
        <w:br w:type="page"/>
      </w:r>
    </w:p>
    <w:p w14:paraId="1F04B4F8" w14:textId="7889A791" w:rsidR="00CB54C2" w:rsidRPr="001938CE" w:rsidRDefault="00CB54C2" w:rsidP="003C2223">
      <w:pPr>
        <w:pStyle w:val="Heading1noTOC"/>
      </w:pPr>
      <w:bookmarkStart w:id="19" w:name="_Toc529545227"/>
      <w:r w:rsidRPr="001938CE">
        <w:t>Charts</w:t>
      </w:r>
      <w:bookmarkEnd w:id="19"/>
      <w:r w:rsidR="007423D1">
        <w:t xml:space="preserve"> and </w:t>
      </w:r>
      <w:r w:rsidR="007423D1" w:rsidRPr="003C2223">
        <w:t>Figures</w:t>
      </w:r>
    </w:p>
    <w:p w14:paraId="17044372" w14:textId="7E4A03A2" w:rsidR="00676C76" w:rsidRDefault="00FE0B08">
      <w:pPr>
        <w:pStyle w:val="TOC3"/>
        <w:rPr>
          <w:rFonts w:asciiTheme="minorHAnsi" w:eastAsiaTheme="minorEastAsia" w:hAnsiTheme="minorHAnsi" w:cstheme="minorBidi"/>
          <w:sz w:val="22"/>
          <w:szCs w:val="22"/>
          <w:lang w:eastAsia="zh-CN"/>
        </w:rPr>
      </w:pPr>
      <w:r>
        <w:rPr>
          <w:color w:val="003E74"/>
        </w:rPr>
        <w:fldChar w:fldCharType="begin"/>
      </w:r>
      <w:r>
        <w:instrText xml:space="preserve"> TOC \h \z \t "Chart Heading,3" </w:instrText>
      </w:r>
      <w:r>
        <w:rPr>
          <w:color w:val="003E74"/>
        </w:rPr>
        <w:fldChar w:fldCharType="separate"/>
      </w:r>
      <w:hyperlink w:anchor="_Toc1054875" w:history="1">
        <w:r w:rsidR="00676C76" w:rsidRPr="006E2265">
          <w:rPr>
            <w:rStyle w:val="Hyperlink"/>
          </w:rPr>
          <w:t>Chart 3.1: Approvals value by industry sector: 2016–17 and 2017–18</w:t>
        </w:r>
        <w:r w:rsidR="00676C76">
          <w:rPr>
            <w:webHidden/>
          </w:rPr>
          <w:tab/>
        </w:r>
        <w:r w:rsidR="00676C76">
          <w:rPr>
            <w:webHidden/>
          </w:rPr>
          <w:fldChar w:fldCharType="begin"/>
        </w:r>
        <w:r w:rsidR="00676C76">
          <w:rPr>
            <w:webHidden/>
          </w:rPr>
          <w:instrText xml:space="preserve"> PAGEREF _Toc1054875 \h </w:instrText>
        </w:r>
        <w:r w:rsidR="00676C76">
          <w:rPr>
            <w:webHidden/>
          </w:rPr>
        </w:r>
        <w:r w:rsidR="00676C76">
          <w:rPr>
            <w:webHidden/>
          </w:rPr>
          <w:fldChar w:fldCharType="separate"/>
        </w:r>
        <w:r w:rsidR="009B4867">
          <w:rPr>
            <w:webHidden/>
          </w:rPr>
          <w:t>28</w:t>
        </w:r>
        <w:r w:rsidR="00676C76">
          <w:rPr>
            <w:webHidden/>
          </w:rPr>
          <w:fldChar w:fldCharType="end"/>
        </w:r>
      </w:hyperlink>
    </w:p>
    <w:p w14:paraId="199C20DE" w14:textId="787A50DD" w:rsidR="00676C76" w:rsidRDefault="004F2B6E">
      <w:pPr>
        <w:pStyle w:val="TOC3"/>
        <w:rPr>
          <w:rFonts w:asciiTheme="minorHAnsi" w:eastAsiaTheme="minorEastAsia" w:hAnsiTheme="minorHAnsi" w:cstheme="minorBidi"/>
          <w:sz w:val="22"/>
          <w:szCs w:val="22"/>
          <w:lang w:eastAsia="zh-CN"/>
        </w:rPr>
      </w:pPr>
      <w:hyperlink w:anchor="_Toc1054876" w:history="1">
        <w:r w:rsidR="00676C76" w:rsidRPr="006E2265">
          <w:rPr>
            <w:rStyle w:val="Hyperlink"/>
          </w:rPr>
          <w:t>Chart 3.2: Share of total value of approvals, by industry sector in 2017–18</w:t>
        </w:r>
        <w:r w:rsidR="00676C76">
          <w:rPr>
            <w:webHidden/>
          </w:rPr>
          <w:tab/>
        </w:r>
        <w:r w:rsidR="00676C76">
          <w:rPr>
            <w:webHidden/>
          </w:rPr>
          <w:fldChar w:fldCharType="begin"/>
        </w:r>
        <w:r w:rsidR="00676C76">
          <w:rPr>
            <w:webHidden/>
          </w:rPr>
          <w:instrText xml:space="preserve"> PAGEREF _Toc1054876 \h </w:instrText>
        </w:r>
        <w:r w:rsidR="00676C76">
          <w:rPr>
            <w:webHidden/>
          </w:rPr>
        </w:r>
        <w:r w:rsidR="00676C76">
          <w:rPr>
            <w:webHidden/>
          </w:rPr>
          <w:fldChar w:fldCharType="separate"/>
        </w:r>
        <w:r w:rsidR="009B4867">
          <w:rPr>
            <w:webHidden/>
          </w:rPr>
          <w:t>29</w:t>
        </w:r>
        <w:r w:rsidR="00676C76">
          <w:rPr>
            <w:webHidden/>
          </w:rPr>
          <w:fldChar w:fldCharType="end"/>
        </w:r>
      </w:hyperlink>
    </w:p>
    <w:p w14:paraId="15A59DD2" w14:textId="077D2799" w:rsidR="00676C76" w:rsidRDefault="004F2B6E" w:rsidP="000E2B76">
      <w:pPr>
        <w:pStyle w:val="TOC3"/>
        <w:ind w:right="623"/>
        <w:rPr>
          <w:rFonts w:asciiTheme="minorHAnsi" w:eastAsiaTheme="minorEastAsia" w:hAnsiTheme="minorHAnsi" w:cstheme="minorBidi"/>
          <w:sz w:val="22"/>
          <w:szCs w:val="22"/>
          <w:lang w:eastAsia="zh-CN"/>
        </w:rPr>
      </w:pPr>
      <w:hyperlink w:anchor="_Toc1054877" w:history="1">
        <w:r w:rsidR="00676C76" w:rsidRPr="006E2265">
          <w:rPr>
            <w:rStyle w:val="Hyperlink"/>
          </w:rPr>
          <w:t>Chart 3.3: Share of residential real estate approvals by state and territory in 2017–18, by number</w:t>
        </w:r>
        <w:r w:rsidR="00676C76">
          <w:rPr>
            <w:webHidden/>
          </w:rPr>
          <w:tab/>
        </w:r>
        <w:r w:rsidR="00676C76">
          <w:rPr>
            <w:webHidden/>
          </w:rPr>
          <w:fldChar w:fldCharType="begin"/>
        </w:r>
        <w:r w:rsidR="00676C76">
          <w:rPr>
            <w:webHidden/>
          </w:rPr>
          <w:instrText xml:space="preserve"> PAGEREF _Toc1054877 \h </w:instrText>
        </w:r>
        <w:r w:rsidR="00676C76">
          <w:rPr>
            <w:webHidden/>
          </w:rPr>
        </w:r>
        <w:r w:rsidR="00676C76">
          <w:rPr>
            <w:webHidden/>
          </w:rPr>
          <w:fldChar w:fldCharType="separate"/>
        </w:r>
        <w:r w:rsidR="009B4867">
          <w:rPr>
            <w:webHidden/>
          </w:rPr>
          <w:t>39</w:t>
        </w:r>
        <w:r w:rsidR="00676C76">
          <w:rPr>
            <w:webHidden/>
          </w:rPr>
          <w:fldChar w:fldCharType="end"/>
        </w:r>
      </w:hyperlink>
    </w:p>
    <w:p w14:paraId="0DA44B79" w14:textId="6764CF0E" w:rsidR="00676C76" w:rsidRDefault="004F2B6E">
      <w:pPr>
        <w:pStyle w:val="TOC3"/>
        <w:rPr>
          <w:rFonts w:asciiTheme="minorHAnsi" w:eastAsiaTheme="minorEastAsia" w:hAnsiTheme="minorHAnsi" w:cstheme="minorBidi"/>
          <w:sz w:val="22"/>
          <w:szCs w:val="22"/>
          <w:lang w:eastAsia="zh-CN"/>
        </w:rPr>
      </w:pPr>
      <w:hyperlink w:anchor="_Toc1054878" w:history="1">
        <w:r w:rsidR="00676C76" w:rsidRPr="006E2265">
          <w:rPr>
            <w:rStyle w:val="Hyperlink"/>
          </w:rPr>
          <w:t>Chart 4.1: Location of residential real estate breaches identified in 2017–18</w:t>
        </w:r>
        <w:r w:rsidR="00676C76">
          <w:rPr>
            <w:webHidden/>
          </w:rPr>
          <w:tab/>
        </w:r>
        <w:r w:rsidR="00676C76">
          <w:rPr>
            <w:webHidden/>
          </w:rPr>
          <w:fldChar w:fldCharType="begin"/>
        </w:r>
        <w:r w:rsidR="00676C76">
          <w:rPr>
            <w:webHidden/>
          </w:rPr>
          <w:instrText xml:space="preserve"> PAGEREF _Toc1054878 \h </w:instrText>
        </w:r>
        <w:r w:rsidR="00676C76">
          <w:rPr>
            <w:webHidden/>
          </w:rPr>
        </w:r>
        <w:r w:rsidR="00676C76">
          <w:rPr>
            <w:webHidden/>
          </w:rPr>
          <w:fldChar w:fldCharType="separate"/>
        </w:r>
        <w:r w:rsidR="009B4867">
          <w:rPr>
            <w:webHidden/>
          </w:rPr>
          <w:t>59</w:t>
        </w:r>
        <w:r w:rsidR="00676C76">
          <w:rPr>
            <w:webHidden/>
          </w:rPr>
          <w:fldChar w:fldCharType="end"/>
        </w:r>
      </w:hyperlink>
    </w:p>
    <w:p w14:paraId="72F00DB0" w14:textId="216827F3" w:rsidR="00676C76" w:rsidRDefault="004F2B6E">
      <w:pPr>
        <w:pStyle w:val="TOC3"/>
        <w:rPr>
          <w:rFonts w:asciiTheme="minorHAnsi" w:eastAsiaTheme="minorEastAsia" w:hAnsiTheme="minorHAnsi" w:cstheme="minorBidi"/>
          <w:sz w:val="22"/>
          <w:szCs w:val="22"/>
          <w:lang w:eastAsia="zh-CN"/>
        </w:rPr>
      </w:pPr>
      <w:hyperlink w:anchor="_Toc1054879" w:history="1">
        <w:r w:rsidR="00676C76" w:rsidRPr="006E2265">
          <w:rPr>
            <w:rStyle w:val="Hyperlink"/>
          </w:rPr>
          <w:t>Figure C.1: FIRB application screening process</w:t>
        </w:r>
        <w:r w:rsidR="00676C76">
          <w:rPr>
            <w:webHidden/>
          </w:rPr>
          <w:tab/>
        </w:r>
        <w:r w:rsidR="00676C76">
          <w:rPr>
            <w:webHidden/>
          </w:rPr>
          <w:fldChar w:fldCharType="begin"/>
        </w:r>
        <w:r w:rsidR="00676C76">
          <w:rPr>
            <w:webHidden/>
          </w:rPr>
          <w:instrText xml:space="preserve"> PAGEREF _Toc1054879 \h </w:instrText>
        </w:r>
        <w:r w:rsidR="00676C76">
          <w:rPr>
            <w:webHidden/>
          </w:rPr>
        </w:r>
        <w:r w:rsidR="00676C76">
          <w:rPr>
            <w:webHidden/>
          </w:rPr>
          <w:fldChar w:fldCharType="separate"/>
        </w:r>
        <w:r w:rsidR="009B4867">
          <w:rPr>
            <w:webHidden/>
          </w:rPr>
          <w:t>72</w:t>
        </w:r>
        <w:r w:rsidR="00676C76">
          <w:rPr>
            <w:webHidden/>
          </w:rPr>
          <w:fldChar w:fldCharType="end"/>
        </w:r>
      </w:hyperlink>
    </w:p>
    <w:p w14:paraId="4B7DAF11" w14:textId="1713BAA2" w:rsidR="00CB54C2" w:rsidRPr="007D2B54" w:rsidRDefault="00FE0B08" w:rsidP="003C2223">
      <w:pPr>
        <w:pStyle w:val="Heading1noTOC"/>
        <w:spacing w:before="360"/>
      </w:pPr>
      <w:r>
        <w:fldChar w:fldCharType="end"/>
      </w:r>
      <w:bookmarkStart w:id="20" w:name="_Toc529545228"/>
      <w:r w:rsidR="00CB54C2" w:rsidRPr="007D2B54">
        <w:t>Case</w:t>
      </w:r>
      <w:r w:rsidR="000C17B2" w:rsidRPr="007D2B54">
        <w:t xml:space="preserve"> </w:t>
      </w:r>
      <w:r w:rsidR="00CB54C2" w:rsidRPr="007D2B54">
        <w:t>studies</w:t>
      </w:r>
      <w:bookmarkEnd w:id="20"/>
      <w:r w:rsidR="00C0790A">
        <w:t xml:space="preserve"> and feature topics</w:t>
      </w:r>
    </w:p>
    <w:p w14:paraId="3CFD5722" w14:textId="272DD494" w:rsidR="00676C76" w:rsidRDefault="007D2B54">
      <w:pPr>
        <w:pStyle w:val="TOC3"/>
        <w:rPr>
          <w:rFonts w:asciiTheme="minorHAnsi" w:eastAsiaTheme="minorEastAsia" w:hAnsiTheme="minorHAnsi" w:cstheme="minorBidi"/>
          <w:sz w:val="22"/>
          <w:szCs w:val="22"/>
          <w:lang w:eastAsia="zh-CN"/>
        </w:rPr>
      </w:pPr>
      <w:r>
        <w:fldChar w:fldCharType="begin"/>
      </w:r>
      <w:r>
        <w:instrText xml:space="preserve"> TOC \h \z \t "Case Study Heading,3" </w:instrText>
      </w:r>
      <w:r>
        <w:fldChar w:fldCharType="separate"/>
      </w:r>
      <w:hyperlink r:id="rId33" w:anchor="_Toc1054868" w:history="1">
        <w:r w:rsidR="00676C76" w:rsidRPr="0086688F">
          <w:rPr>
            <w:rStyle w:val="Hyperlink"/>
          </w:rPr>
          <w:t>Arrium case study</w:t>
        </w:r>
        <w:r w:rsidR="00676C76">
          <w:rPr>
            <w:webHidden/>
          </w:rPr>
          <w:tab/>
        </w:r>
        <w:r w:rsidR="00676C76">
          <w:rPr>
            <w:webHidden/>
          </w:rPr>
          <w:fldChar w:fldCharType="begin"/>
        </w:r>
        <w:r w:rsidR="00676C76">
          <w:rPr>
            <w:webHidden/>
          </w:rPr>
          <w:instrText xml:space="preserve"> PAGEREF _Toc1054868 \h </w:instrText>
        </w:r>
        <w:r w:rsidR="00676C76">
          <w:rPr>
            <w:webHidden/>
          </w:rPr>
        </w:r>
        <w:r w:rsidR="00676C76">
          <w:rPr>
            <w:webHidden/>
          </w:rPr>
          <w:fldChar w:fldCharType="separate"/>
        </w:r>
        <w:r w:rsidR="009B4867">
          <w:rPr>
            <w:webHidden/>
          </w:rPr>
          <w:t>14</w:t>
        </w:r>
        <w:r w:rsidR="00676C76">
          <w:rPr>
            <w:webHidden/>
          </w:rPr>
          <w:fldChar w:fldCharType="end"/>
        </w:r>
      </w:hyperlink>
    </w:p>
    <w:p w14:paraId="5E047ECE" w14:textId="2441078F" w:rsidR="00676C76" w:rsidRDefault="004F2B6E">
      <w:pPr>
        <w:pStyle w:val="TOC3"/>
        <w:rPr>
          <w:rFonts w:asciiTheme="minorHAnsi" w:eastAsiaTheme="minorEastAsia" w:hAnsiTheme="minorHAnsi" w:cstheme="minorBidi"/>
          <w:sz w:val="22"/>
          <w:szCs w:val="22"/>
          <w:lang w:eastAsia="zh-CN"/>
        </w:rPr>
      </w:pPr>
      <w:hyperlink w:anchor="_Toc1054869" w:history="1">
        <w:r w:rsidR="00676C76" w:rsidRPr="0086688F">
          <w:rPr>
            <w:rStyle w:val="Hyperlink"/>
          </w:rPr>
          <w:t>Business exemption certificates</w:t>
        </w:r>
        <w:r w:rsidR="00676C76">
          <w:rPr>
            <w:webHidden/>
          </w:rPr>
          <w:tab/>
        </w:r>
        <w:r w:rsidR="00676C76">
          <w:rPr>
            <w:webHidden/>
          </w:rPr>
          <w:fldChar w:fldCharType="begin"/>
        </w:r>
        <w:r w:rsidR="00676C76">
          <w:rPr>
            <w:webHidden/>
          </w:rPr>
          <w:instrText xml:space="preserve"> PAGEREF _Toc1054869 \h </w:instrText>
        </w:r>
        <w:r w:rsidR="00676C76">
          <w:rPr>
            <w:webHidden/>
          </w:rPr>
        </w:r>
        <w:r w:rsidR="00676C76">
          <w:rPr>
            <w:webHidden/>
          </w:rPr>
          <w:fldChar w:fldCharType="separate"/>
        </w:r>
        <w:r w:rsidR="009B4867">
          <w:rPr>
            <w:webHidden/>
          </w:rPr>
          <w:t>17</w:t>
        </w:r>
        <w:r w:rsidR="00676C76">
          <w:rPr>
            <w:webHidden/>
          </w:rPr>
          <w:fldChar w:fldCharType="end"/>
        </w:r>
      </w:hyperlink>
    </w:p>
    <w:p w14:paraId="6D817B4D" w14:textId="6DCBD1F6" w:rsidR="00676C76" w:rsidRDefault="004F2B6E">
      <w:pPr>
        <w:pStyle w:val="TOC3"/>
        <w:rPr>
          <w:rFonts w:asciiTheme="minorHAnsi" w:eastAsiaTheme="minorEastAsia" w:hAnsiTheme="minorHAnsi" w:cstheme="minorBidi"/>
          <w:sz w:val="22"/>
          <w:szCs w:val="22"/>
          <w:lang w:eastAsia="zh-CN"/>
        </w:rPr>
      </w:pPr>
      <w:hyperlink w:anchor="_Toc1054870" w:history="1">
        <w:r w:rsidR="00676C76" w:rsidRPr="0086688F">
          <w:rPr>
            <w:rStyle w:val="Hyperlink"/>
          </w:rPr>
          <w:t>The Chinese investment in Australia (CHIIA) database</w:t>
        </w:r>
        <w:r w:rsidR="00676C76">
          <w:rPr>
            <w:webHidden/>
          </w:rPr>
          <w:tab/>
        </w:r>
        <w:r w:rsidR="00676C76">
          <w:rPr>
            <w:webHidden/>
          </w:rPr>
          <w:fldChar w:fldCharType="begin"/>
        </w:r>
        <w:r w:rsidR="00676C76">
          <w:rPr>
            <w:webHidden/>
          </w:rPr>
          <w:instrText xml:space="preserve"> PAGEREF _Toc1054870 \h </w:instrText>
        </w:r>
        <w:r w:rsidR="00676C76">
          <w:rPr>
            <w:webHidden/>
          </w:rPr>
        </w:r>
        <w:r w:rsidR="00676C76">
          <w:rPr>
            <w:webHidden/>
          </w:rPr>
          <w:fldChar w:fldCharType="separate"/>
        </w:r>
        <w:r w:rsidR="009B4867">
          <w:rPr>
            <w:webHidden/>
          </w:rPr>
          <w:t>21</w:t>
        </w:r>
        <w:r w:rsidR="00676C76">
          <w:rPr>
            <w:webHidden/>
          </w:rPr>
          <w:fldChar w:fldCharType="end"/>
        </w:r>
      </w:hyperlink>
    </w:p>
    <w:p w14:paraId="1B642A57" w14:textId="3F42C27A" w:rsidR="00676C76" w:rsidRDefault="004F2B6E">
      <w:pPr>
        <w:pStyle w:val="TOC3"/>
        <w:rPr>
          <w:rFonts w:asciiTheme="minorHAnsi" w:eastAsiaTheme="minorEastAsia" w:hAnsiTheme="minorHAnsi" w:cstheme="minorBidi"/>
          <w:sz w:val="22"/>
          <w:szCs w:val="22"/>
          <w:lang w:eastAsia="zh-CN"/>
        </w:rPr>
      </w:pPr>
      <w:hyperlink w:anchor="_Toc1054871" w:history="1">
        <w:r w:rsidR="00676C76" w:rsidRPr="0086688F">
          <w:rPr>
            <w:rStyle w:val="Hyperlink"/>
          </w:rPr>
          <w:t>Foreign investment outlook</w:t>
        </w:r>
        <w:r w:rsidR="00676C76">
          <w:rPr>
            <w:webHidden/>
          </w:rPr>
          <w:tab/>
        </w:r>
        <w:r w:rsidR="00676C76">
          <w:rPr>
            <w:webHidden/>
          </w:rPr>
          <w:fldChar w:fldCharType="begin"/>
        </w:r>
        <w:r w:rsidR="00676C76">
          <w:rPr>
            <w:webHidden/>
          </w:rPr>
          <w:instrText xml:space="preserve"> PAGEREF _Toc1054871 \h </w:instrText>
        </w:r>
        <w:r w:rsidR="00676C76">
          <w:rPr>
            <w:webHidden/>
          </w:rPr>
        </w:r>
        <w:r w:rsidR="00676C76">
          <w:rPr>
            <w:webHidden/>
          </w:rPr>
          <w:fldChar w:fldCharType="separate"/>
        </w:r>
        <w:r w:rsidR="009B4867">
          <w:rPr>
            <w:webHidden/>
          </w:rPr>
          <w:t>22</w:t>
        </w:r>
        <w:r w:rsidR="00676C76">
          <w:rPr>
            <w:webHidden/>
          </w:rPr>
          <w:fldChar w:fldCharType="end"/>
        </w:r>
      </w:hyperlink>
    </w:p>
    <w:p w14:paraId="6CB91EB3" w14:textId="7F2BA2C0" w:rsidR="00676C76" w:rsidRDefault="004F2B6E">
      <w:pPr>
        <w:pStyle w:val="TOC3"/>
        <w:rPr>
          <w:rFonts w:asciiTheme="minorHAnsi" w:eastAsiaTheme="minorEastAsia" w:hAnsiTheme="minorHAnsi" w:cstheme="minorBidi"/>
          <w:sz w:val="22"/>
          <w:szCs w:val="22"/>
          <w:lang w:eastAsia="zh-CN"/>
        </w:rPr>
      </w:pPr>
      <w:hyperlink w:anchor="_Toc1054872" w:history="1">
        <w:r w:rsidR="00676C76" w:rsidRPr="0086688F">
          <w:rPr>
            <w:rStyle w:val="Hyperlink"/>
          </w:rPr>
          <w:t>Alinta Energy case study</w:t>
        </w:r>
        <w:r w:rsidR="00676C76">
          <w:rPr>
            <w:webHidden/>
          </w:rPr>
          <w:tab/>
        </w:r>
        <w:r w:rsidR="00676C76">
          <w:rPr>
            <w:webHidden/>
          </w:rPr>
          <w:fldChar w:fldCharType="begin"/>
        </w:r>
        <w:r w:rsidR="00676C76">
          <w:rPr>
            <w:webHidden/>
          </w:rPr>
          <w:instrText xml:space="preserve"> PAGEREF _Toc1054872 \h </w:instrText>
        </w:r>
        <w:r w:rsidR="00676C76">
          <w:rPr>
            <w:webHidden/>
          </w:rPr>
        </w:r>
        <w:r w:rsidR="00676C76">
          <w:rPr>
            <w:webHidden/>
          </w:rPr>
          <w:fldChar w:fldCharType="separate"/>
        </w:r>
        <w:r w:rsidR="009B4867">
          <w:rPr>
            <w:webHidden/>
          </w:rPr>
          <w:t>32</w:t>
        </w:r>
        <w:r w:rsidR="00676C76">
          <w:rPr>
            <w:webHidden/>
          </w:rPr>
          <w:fldChar w:fldCharType="end"/>
        </w:r>
      </w:hyperlink>
    </w:p>
    <w:p w14:paraId="14DBA3BA" w14:textId="480F972F" w:rsidR="00676C76" w:rsidRDefault="004F2B6E">
      <w:pPr>
        <w:pStyle w:val="TOC3"/>
        <w:rPr>
          <w:rFonts w:asciiTheme="minorHAnsi" w:eastAsiaTheme="minorEastAsia" w:hAnsiTheme="minorHAnsi" w:cstheme="minorBidi"/>
          <w:sz w:val="22"/>
          <w:szCs w:val="22"/>
          <w:lang w:eastAsia="zh-CN"/>
        </w:rPr>
      </w:pPr>
      <w:hyperlink w:anchor="_Toc1054873" w:history="1">
        <w:r w:rsidR="00676C76" w:rsidRPr="0086688F">
          <w:rPr>
            <w:rStyle w:val="Hyperlink"/>
          </w:rPr>
          <w:t>I-MED Radiology Network case study</w:t>
        </w:r>
        <w:r w:rsidR="00676C76">
          <w:rPr>
            <w:webHidden/>
          </w:rPr>
          <w:tab/>
        </w:r>
        <w:r w:rsidR="00676C76">
          <w:rPr>
            <w:webHidden/>
          </w:rPr>
          <w:fldChar w:fldCharType="begin"/>
        </w:r>
        <w:r w:rsidR="00676C76">
          <w:rPr>
            <w:webHidden/>
          </w:rPr>
          <w:instrText xml:space="preserve"> PAGEREF _Toc1054873 \h </w:instrText>
        </w:r>
        <w:r w:rsidR="00676C76">
          <w:rPr>
            <w:webHidden/>
          </w:rPr>
        </w:r>
        <w:r w:rsidR="00676C76">
          <w:rPr>
            <w:webHidden/>
          </w:rPr>
          <w:fldChar w:fldCharType="separate"/>
        </w:r>
        <w:r w:rsidR="009B4867">
          <w:rPr>
            <w:webHidden/>
          </w:rPr>
          <w:t>36</w:t>
        </w:r>
        <w:r w:rsidR="00676C76">
          <w:rPr>
            <w:webHidden/>
          </w:rPr>
          <w:fldChar w:fldCharType="end"/>
        </w:r>
      </w:hyperlink>
    </w:p>
    <w:p w14:paraId="4924E339" w14:textId="1927D472" w:rsidR="00676C76" w:rsidRDefault="004F2B6E">
      <w:pPr>
        <w:pStyle w:val="TOC3"/>
        <w:rPr>
          <w:rFonts w:asciiTheme="minorHAnsi" w:eastAsiaTheme="minorEastAsia" w:hAnsiTheme="minorHAnsi" w:cstheme="minorBidi"/>
          <w:sz w:val="22"/>
          <w:szCs w:val="22"/>
          <w:lang w:eastAsia="zh-CN"/>
        </w:rPr>
      </w:pPr>
      <w:hyperlink w:anchor="_Toc1054874" w:history="1">
        <w:r w:rsidR="00676C76" w:rsidRPr="0086688F">
          <w:rPr>
            <w:rStyle w:val="Hyperlink"/>
          </w:rPr>
          <w:t>Trends in the Australian Housing Market</w:t>
        </w:r>
        <w:r w:rsidR="00676C76">
          <w:rPr>
            <w:webHidden/>
          </w:rPr>
          <w:tab/>
        </w:r>
        <w:r w:rsidR="00676C76">
          <w:rPr>
            <w:webHidden/>
          </w:rPr>
          <w:fldChar w:fldCharType="begin"/>
        </w:r>
        <w:r w:rsidR="00676C76">
          <w:rPr>
            <w:webHidden/>
          </w:rPr>
          <w:instrText xml:space="preserve"> PAGEREF _Toc1054874 \h </w:instrText>
        </w:r>
        <w:r w:rsidR="00676C76">
          <w:rPr>
            <w:webHidden/>
          </w:rPr>
        </w:r>
        <w:r w:rsidR="00676C76">
          <w:rPr>
            <w:webHidden/>
          </w:rPr>
          <w:fldChar w:fldCharType="separate"/>
        </w:r>
        <w:r w:rsidR="009B4867">
          <w:rPr>
            <w:webHidden/>
          </w:rPr>
          <w:t>40</w:t>
        </w:r>
        <w:r w:rsidR="00676C76">
          <w:rPr>
            <w:webHidden/>
          </w:rPr>
          <w:fldChar w:fldCharType="end"/>
        </w:r>
      </w:hyperlink>
    </w:p>
    <w:p w14:paraId="00BB7E56" w14:textId="52A1CCD3" w:rsidR="00C109F5" w:rsidRPr="00C109F5" w:rsidRDefault="007D2B54">
      <w:r>
        <w:fldChar w:fldCharType="end"/>
      </w:r>
    </w:p>
    <w:p w14:paraId="2FB1EB61" w14:textId="77777777" w:rsidR="00CB54C2" w:rsidRPr="00FE0B08" w:rsidRDefault="00CB54C2" w:rsidP="00FE0B08">
      <w:pPr>
        <w:sectPr w:rsidR="00CB54C2" w:rsidRPr="00FE0B08" w:rsidSect="00CB54C2">
          <w:headerReference w:type="first" r:id="rId34"/>
          <w:footerReference w:type="first" r:id="rId35"/>
          <w:type w:val="oddPage"/>
          <w:pgSz w:w="11907" w:h="16840" w:code="9"/>
          <w:pgMar w:top="2466" w:right="2098" w:bottom="2466" w:left="2098" w:header="1899" w:footer="1899" w:gutter="0"/>
          <w:pgNumType w:fmt="lowerRoman"/>
          <w:cols w:space="720"/>
          <w:titlePg/>
          <w:docGrid w:linePitch="360"/>
        </w:sectPr>
      </w:pPr>
    </w:p>
    <w:p w14:paraId="579FB7A9" w14:textId="0B71ED60" w:rsidR="00CB54C2" w:rsidRPr="007D2B54" w:rsidRDefault="00CB54C2" w:rsidP="003C2223">
      <w:pPr>
        <w:pStyle w:val="Heading1-TOC"/>
      </w:pPr>
      <w:bookmarkStart w:id="21" w:name="_Toc512259049"/>
      <w:bookmarkStart w:id="22" w:name="_Toc512523471"/>
      <w:bookmarkStart w:id="23" w:name="_Toc512524840"/>
      <w:bookmarkStart w:id="24" w:name="_Toc513021729"/>
      <w:bookmarkStart w:id="25" w:name="_Toc513122745"/>
      <w:bookmarkStart w:id="26" w:name="_Toc513131315"/>
      <w:bookmarkStart w:id="27" w:name="_Toc513456048"/>
      <w:bookmarkStart w:id="28" w:name="_Toc513457294"/>
      <w:bookmarkStart w:id="29" w:name="_Toc513557372"/>
      <w:bookmarkStart w:id="30" w:name="_Toc513559388"/>
      <w:bookmarkStart w:id="31" w:name="_Toc529545229"/>
      <w:bookmarkStart w:id="32" w:name="_Toc532207318"/>
      <w:bookmarkStart w:id="33" w:name="_Toc532217706"/>
      <w:bookmarkStart w:id="34" w:name="_Toc532218727"/>
      <w:bookmarkStart w:id="35" w:name="_Toc532219039"/>
      <w:bookmarkStart w:id="36" w:name="_Toc532223723"/>
      <w:bookmarkStart w:id="37" w:name="_Toc532224182"/>
      <w:bookmarkStart w:id="38" w:name="_Toc532226661"/>
      <w:bookmarkStart w:id="39" w:name="_Toc536029363"/>
      <w:bookmarkStart w:id="40" w:name="_Toc1120385"/>
      <w:bookmarkStart w:id="41" w:name="_Toc1121956"/>
      <w:r w:rsidRPr="007D2B54">
        <w:t xml:space="preserve">Executive </w:t>
      </w:r>
      <w:r w:rsidRPr="003C2223">
        <w:t>Summary</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0CCBE449" w14:textId="2EFA2F96" w:rsidR="000260C7" w:rsidRDefault="000260C7" w:rsidP="000260C7">
      <w:pPr>
        <w:pStyle w:val="Bullet"/>
      </w:pPr>
      <w:r>
        <w:t>Australia continues to receive solid foreign investment interest as shown by the</w:t>
      </w:r>
      <w:r w:rsidR="00F04576">
        <w:t xml:space="preserve"> in excess of</w:t>
      </w:r>
      <w:r w:rsidR="00617A68">
        <w:t xml:space="preserve"> </w:t>
      </w:r>
      <w:r w:rsidRPr="00CB54C2">
        <w:t>11</w:t>
      </w:r>
      <w:r>
        <w:t>,</w:t>
      </w:r>
      <w:r w:rsidRPr="00CB54C2">
        <w:t>000</w:t>
      </w:r>
      <w:r>
        <w:t xml:space="preserve"> proposed transactions approved in 2017–18,</w:t>
      </w:r>
      <w:r w:rsidDel="00486982">
        <w:t xml:space="preserve"> </w:t>
      </w:r>
      <w:r>
        <w:t xml:space="preserve">representing </w:t>
      </w:r>
      <w:r w:rsidRPr="00CB54C2">
        <w:t xml:space="preserve">a combined </w:t>
      </w:r>
      <w:r>
        <w:t xml:space="preserve">potential investment </w:t>
      </w:r>
      <w:r w:rsidRPr="00CB54C2">
        <w:t>value of $16</w:t>
      </w:r>
      <w:r w:rsidR="00C87681">
        <w:t>3</w:t>
      </w:r>
      <w:r w:rsidRPr="00CB54C2">
        <w:t>.</w:t>
      </w:r>
      <w:r w:rsidR="00C87681">
        <w:t>1</w:t>
      </w:r>
      <w:r w:rsidRPr="00CB54C2">
        <w:t xml:space="preserve"> billion.</w:t>
      </w:r>
    </w:p>
    <w:p w14:paraId="409AB97D" w14:textId="3F117A99" w:rsidR="000A477A" w:rsidRDefault="00630B71" w:rsidP="0017766B">
      <w:pPr>
        <w:pStyle w:val="Bullet"/>
      </w:pPr>
      <w:r>
        <w:t>In 2017</w:t>
      </w:r>
      <w:r>
        <w:noBreakHyphen/>
        <w:t xml:space="preserve">18, there were </w:t>
      </w:r>
      <w:r w:rsidR="000260C7">
        <w:t xml:space="preserve">nevertheless </w:t>
      </w:r>
      <w:r>
        <w:t>declines in approval</w:t>
      </w:r>
      <w:r w:rsidR="00FD60B0">
        <w:t>s</w:t>
      </w:r>
      <w:r>
        <w:t xml:space="preserve"> by both number and </w:t>
      </w:r>
      <w:r w:rsidR="001277D5">
        <w:t>proposed investment</w:t>
      </w:r>
      <w:r w:rsidR="00FF574E">
        <w:t xml:space="preserve"> value</w:t>
      </w:r>
      <w:r>
        <w:t xml:space="preserve"> for both residential and non</w:t>
      </w:r>
      <w:r>
        <w:noBreakHyphen/>
        <w:t>residential sectors.</w:t>
      </w:r>
      <w:r w:rsidR="001277D5">
        <w:t xml:space="preserve"> </w:t>
      </w:r>
      <w:r w:rsidR="009E55C6">
        <w:t>T</w:t>
      </w:r>
      <w:r w:rsidR="00875072">
        <w:t xml:space="preserve">he </w:t>
      </w:r>
      <w:r w:rsidR="009E55C6">
        <w:t xml:space="preserve">value of approvals for the </w:t>
      </w:r>
      <w:r w:rsidR="00875072">
        <w:t>manufacturing, electricity and gas sector decrease</w:t>
      </w:r>
      <w:r w:rsidR="009E55C6">
        <w:t>d 59.3 per cent, whil</w:t>
      </w:r>
      <w:r w:rsidR="0039520D">
        <w:t>e</w:t>
      </w:r>
      <w:r w:rsidR="009E55C6">
        <w:t xml:space="preserve"> the value of approvals for</w:t>
      </w:r>
      <w:r w:rsidR="00875072">
        <w:t xml:space="preserve"> </w:t>
      </w:r>
      <w:r w:rsidR="001277D5">
        <w:t xml:space="preserve">the services sector </w:t>
      </w:r>
      <w:r w:rsidR="009E55C6">
        <w:t>increased 11.8 per cent</w:t>
      </w:r>
      <w:r w:rsidR="001277D5">
        <w:t xml:space="preserve">. </w:t>
      </w:r>
      <w:r w:rsidR="00084D64">
        <w:t xml:space="preserve">Such </w:t>
      </w:r>
      <w:r w:rsidR="00FF574E">
        <w:t xml:space="preserve">large </w:t>
      </w:r>
      <w:r w:rsidR="00084D64">
        <w:t xml:space="preserve">shifts are not unusual as </w:t>
      </w:r>
      <w:r w:rsidR="00312888">
        <w:t xml:space="preserve">proposed investment in </w:t>
      </w:r>
      <w:r w:rsidR="00084D64">
        <w:t xml:space="preserve">a sector </w:t>
      </w:r>
      <w:r w:rsidR="00E20B43">
        <w:t xml:space="preserve">in a particular year </w:t>
      </w:r>
      <w:r w:rsidR="00084D64">
        <w:t xml:space="preserve">may be elevated by </w:t>
      </w:r>
      <w:r w:rsidR="00FF574E">
        <w:t>high</w:t>
      </w:r>
      <w:r w:rsidR="00E20B43">
        <w:noBreakHyphen/>
      </w:r>
      <w:r w:rsidR="00FF574E">
        <w:t xml:space="preserve">value </w:t>
      </w:r>
      <w:r w:rsidR="00084D64">
        <w:t>or competing proposals. Proposed investment in a sector is also impacted year</w:t>
      </w:r>
      <w:r w:rsidR="00EB7CF5" w:rsidRPr="00264BB4">
        <w:noBreakHyphen/>
        <w:t>to</w:t>
      </w:r>
      <w:r w:rsidR="00EB7CF5" w:rsidRPr="00264BB4">
        <w:noBreakHyphen/>
      </w:r>
      <w:r w:rsidR="00084D64">
        <w:t xml:space="preserve">year by factors such as </w:t>
      </w:r>
      <w:r w:rsidR="003662FF">
        <w:t xml:space="preserve">the state of the sector and sale offerings. </w:t>
      </w:r>
      <w:r w:rsidR="000F4E78">
        <w:t xml:space="preserve">In residential real estate, </w:t>
      </w:r>
      <w:r w:rsidR="00084D64">
        <w:t>there was a decline in New South Wale</w:t>
      </w:r>
      <w:r w:rsidR="00393409">
        <w:t>s</w:t>
      </w:r>
      <w:r w:rsidR="00084D64">
        <w:t>’ share of approvals, which was offset by increases in Victoria and Western Australia’s share</w:t>
      </w:r>
      <w:r w:rsidR="00393409">
        <w:t>s</w:t>
      </w:r>
      <w:r>
        <w:t>.</w:t>
      </w:r>
      <w:r w:rsidR="00875072">
        <w:t xml:space="preserve"> The </w:t>
      </w:r>
      <w:r w:rsidR="000260C7">
        <w:t>decrease</w:t>
      </w:r>
      <w:r w:rsidR="00875072">
        <w:t xml:space="preserve"> </w:t>
      </w:r>
      <w:r w:rsidR="00E20B43">
        <w:t>in residential real estate approvals</w:t>
      </w:r>
      <w:r w:rsidR="00875072">
        <w:t xml:space="preserve"> by value was driven by a drop in new dwelling related approvals</w:t>
      </w:r>
      <w:r w:rsidR="00617A68">
        <w:t xml:space="preserve">. Like other similar economies we have seen a decline in proposed investment from China </w:t>
      </w:r>
      <w:r w:rsidR="00617A68" w:rsidRPr="00683D05">
        <w:t>as</w:t>
      </w:r>
      <w:r w:rsidR="00617A68">
        <w:t xml:space="preserve"> Chinese</w:t>
      </w:r>
      <w:r w:rsidR="00617A68" w:rsidRPr="00683D05">
        <w:t xml:space="preserve"> authorities have tightened capital controls</w:t>
      </w:r>
      <w:r w:rsidR="00875072">
        <w:t>.</w:t>
      </w:r>
    </w:p>
    <w:p w14:paraId="73A4AB14" w14:textId="7054BCA4" w:rsidR="0017766B" w:rsidRDefault="0017766B" w:rsidP="0017766B">
      <w:pPr>
        <w:pStyle w:val="Bullet"/>
      </w:pPr>
      <w:r>
        <w:t>A total of 1,024 business applications worth $150</w:t>
      </w:r>
      <w:r w:rsidR="003F7DC1">
        <w:t>.6</w:t>
      </w:r>
      <w:r w:rsidR="00A265CB">
        <w:t> billion were approved in 2017–</w:t>
      </w:r>
      <w:r>
        <w:t>18. These figu</w:t>
      </w:r>
      <w:r w:rsidR="00A265CB">
        <w:t>res are down from 2016–</w:t>
      </w:r>
      <w:r>
        <w:t>17, with 125 fewer approvals and around $</w:t>
      </w:r>
      <w:r w:rsidR="003F7DC1">
        <w:t>17 </w:t>
      </w:r>
      <w:r>
        <w:t>billion less of proposed approved investment</w:t>
      </w:r>
      <w:r w:rsidRPr="00CB54C2">
        <w:t>.</w:t>
      </w:r>
      <w:r>
        <w:t xml:space="preserve"> A large portion of the decline by value in comparison to the last two financial years is attributable to a drop in the number of large </w:t>
      </w:r>
      <w:r w:rsidR="001C6411">
        <w:t xml:space="preserve">proposed transactions </w:t>
      </w:r>
      <w:r>
        <w:t>(over $2 billion), which aligns with a decrease in sales of major energy and infrastructure assets.</w:t>
      </w:r>
      <w:r w:rsidR="00630B71">
        <w:t xml:space="preserve"> The last two financial years were also elevated by competing </w:t>
      </w:r>
      <w:r w:rsidR="00393409">
        <w:t xml:space="preserve">foreign </w:t>
      </w:r>
      <w:r w:rsidR="00630B71">
        <w:t>bids for such major assets</w:t>
      </w:r>
      <w:r w:rsidR="00617A68">
        <w:t xml:space="preserve"> – the proposed foreign investment approvals data covers foreign investment approvals, not actual foreign investment, so double counting occurs when multiple investors bid for the same target</w:t>
      </w:r>
      <w:r w:rsidR="00630B71">
        <w:t>.</w:t>
      </w:r>
    </w:p>
    <w:p w14:paraId="2F10AE25" w14:textId="1C9916E0" w:rsidR="0017766B" w:rsidRDefault="0017766B" w:rsidP="00463EFC">
      <w:pPr>
        <w:pStyle w:val="Bullet"/>
      </w:pPr>
      <w:r>
        <w:t>F</w:t>
      </w:r>
      <w:r w:rsidRPr="00CB54C2">
        <w:t>or the first time since 201</w:t>
      </w:r>
      <w:r>
        <w:t>2</w:t>
      </w:r>
      <w:r w:rsidRPr="00CB54C2">
        <w:t>–1</w:t>
      </w:r>
      <w:r>
        <w:t>3</w:t>
      </w:r>
      <w:r w:rsidRPr="00CB54C2">
        <w:t xml:space="preserve">, the United States surpassed China as the largest source country for approved </w:t>
      </w:r>
      <w:r>
        <w:t xml:space="preserve">proposed </w:t>
      </w:r>
      <w:r w:rsidRPr="00CB54C2">
        <w:t>investment</w:t>
      </w:r>
      <w:r w:rsidR="00463EFC">
        <w:t xml:space="preserve"> due to an increase in </w:t>
      </w:r>
      <w:r w:rsidR="00842EF3">
        <w:t xml:space="preserve">United </w:t>
      </w:r>
      <w:r w:rsidR="00463EFC">
        <w:t>States approvals and a decline in Chinese approvals</w:t>
      </w:r>
      <w:r w:rsidRPr="00CB54C2">
        <w:t>.</w:t>
      </w:r>
      <w:r w:rsidRPr="00714C76">
        <w:t xml:space="preserve"> </w:t>
      </w:r>
      <w:r>
        <w:t>Th</w:t>
      </w:r>
      <w:r w:rsidR="00463EFC">
        <w:t xml:space="preserve">e United States recorded an increase in approved investment from </w:t>
      </w:r>
      <w:r w:rsidR="00703BD1" w:rsidRPr="007E1442">
        <w:t>$2</w:t>
      </w:r>
      <w:r w:rsidR="00703BD1">
        <w:t>6.5</w:t>
      </w:r>
      <w:r w:rsidR="00703BD1" w:rsidRPr="007E1442">
        <w:t> billion</w:t>
      </w:r>
      <w:r w:rsidR="00463EFC">
        <w:t xml:space="preserve"> in 2016</w:t>
      </w:r>
      <w:r w:rsidR="00463EFC">
        <w:noBreakHyphen/>
        <w:t xml:space="preserve">17 to </w:t>
      </w:r>
      <w:r w:rsidR="00703BD1" w:rsidRPr="007E1442">
        <w:t>$</w:t>
      </w:r>
      <w:r w:rsidR="00703BD1">
        <w:t>36.5</w:t>
      </w:r>
      <w:r w:rsidR="00703BD1" w:rsidRPr="007E1442">
        <w:t> billion</w:t>
      </w:r>
      <w:r w:rsidR="00463EFC">
        <w:t xml:space="preserve"> in 2017</w:t>
      </w:r>
      <w:r w:rsidR="00463EFC">
        <w:noBreakHyphen/>
        <w:t xml:space="preserve">18, with </w:t>
      </w:r>
      <w:r>
        <w:t xml:space="preserve">significant increases in real estate and </w:t>
      </w:r>
      <w:r w:rsidR="002B0765">
        <w:t xml:space="preserve">the </w:t>
      </w:r>
      <w:r>
        <w:t>manufactur</w:t>
      </w:r>
      <w:r w:rsidR="002B0765">
        <w:t>ing, electricity and gas sector</w:t>
      </w:r>
      <w:r>
        <w:t>.</w:t>
      </w:r>
      <w:r w:rsidR="00346640">
        <w:t xml:space="preserve"> </w:t>
      </w:r>
    </w:p>
    <w:p w14:paraId="2DF594D7" w14:textId="0A99BAF2" w:rsidR="0017766B" w:rsidRPr="00CB54C2" w:rsidRDefault="0017766B" w:rsidP="0017766B">
      <w:pPr>
        <w:pStyle w:val="Bullet"/>
      </w:pPr>
      <w:r>
        <w:t>China was the second largest source</w:t>
      </w:r>
      <w:r w:rsidRPr="00CB54C2">
        <w:t xml:space="preserve"> </w:t>
      </w:r>
      <w:r>
        <w:t>country following a decrease in approved p</w:t>
      </w:r>
      <w:r w:rsidRPr="007E1442">
        <w:t>roposed investment to $23.7 billion in 2017–18</w:t>
      </w:r>
      <w:r>
        <w:t xml:space="preserve"> </w:t>
      </w:r>
      <w:r w:rsidRPr="007E1442">
        <w:t xml:space="preserve">from $38.9 billion in 2016–17. </w:t>
      </w:r>
      <w:r w:rsidR="00FF574E">
        <w:t>This</w:t>
      </w:r>
      <w:r>
        <w:t xml:space="preserve"> reduction </w:t>
      </w:r>
      <w:r w:rsidR="00463EFC">
        <w:t xml:space="preserve">was due to falls </w:t>
      </w:r>
      <w:r w:rsidRPr="007E1442">
        <w:t xml:space="preserve">in the value of approvals </w:t>
      </w:r>
      <w:r w:rsidR="00463EFC">
        <w:t>across all sectors</w:t>
      </w:r>
      <w:r>
        <w:t>.</w:t>
      </w:r>
      <w:r w:rsidR="00346640">
        <w:t xml:space="preserve"> </w:t>
      </w:r>
      <w:r w:rsidR="00FF574E">
        <w:t>Over the last five years</w:t>
      </w:r>
      <w:r w:rsidR="00393409">
        <w:t>, Chinese proposed investment peaked</w:t>
      </w:r>
      <w:r w:rsidR="00346640" w:rsidDel="00393409">
        <w:t xml:space="preserve"> </w:t>
      </w:r>
      <w:r w:rsidR="00393409">
        <w:t xml:space="preserve">at </w:t>
      </w:r>
      <w:r w:rsidR="00346640">
        <w:t>$47.3 billion in 2015</w:t>
      </w:r>
      <w:r w:rsidR="00346640" w:rsidRPr="007E1442">
        <w:t>–</w:t>
      </w:r>
      <w:r w:rsidR="00346640">
        <w:t xml:space="preserve">16 and </w:t>
      </w:r>
      <w:r w:rsidR="00393409">
        <w:t xml:space="preserve">also reached </w:t>
      </w:r>
      <w:r w:rsidR="00346640">
        <w:t>$46.6 billion in 2014</w:t>
      </w:r>
      <w:r w:rsidR="00346640" w:rsidRPr="007E1442">
        <w:t>–</w:t>
      </w:r>
      <w:r w:rsidR="00346640">
        <w:t>15.</w:t>
      </w:r>
      <w:r w:rsidR="00CC1085">
        <w:t xml:space="preserve"> </w:t>
      </w:r>
      <w:r w:rsidR="00375236" w:rsidRPr="00C94762">
        <w:t xml:space="preserve">While proposed investment will not </w:t>
      </w:r>
      <w:r w:rsidR="00925D39" w:rsidRPr="00C94762">
        <w:t xml:space="preserve">necessarily translate to actual investment and such datasets are not comparable, </w:t>
      </w:r>
      <w:r w:rsidR="00375236" w:rsidRPr="00C94762">
        <w:t xml:space="preserve">International Monetary Fund and Australian Bureau of Statistics </w:t>
      </w:r>
      <w:r w:rsidR="00CC1085" w:rsidRPr="00C94762">
        <w:t>data</w:t>
      </w:r>
      <w:r w:rsidR="009A07BF" w:rsidRPr="00C94762">
        <w:t xml:space="preserve"> to the end of 2017</w:t>
      </w:r>
      <w:r w:rsidR="00375236" w:rsidRPr="00C94762">
        <w:t xml:space="preserve"> indicate that </w:t>
      </w:r>
      <w:r w:rsidR="00CC1085" w:rsidRPr="00C94762">
        <w:t>Australia has</w:t>
      </w:r>
      <w:r w:rsidR="00622B5D" w:rsidRPr="00C94762">
        <w:t xml:space="preserve"> been impacted to a lesser degree by the </w:t>
      </w:r>
      <w:r w:rsidR="0039520D">
        <w:t>decrease</w:t>
      </w:r>
      <w:r w:rsidR="00622B5D" w:rsidRPr="00C94762">
        <w:t xml:space="preserve"> in Chinese outward investment compared to similar economies.</w:t>
      </w:r>
    </w:p>
    <w:p w14:paraId="415BC174" w14:textId="1DBEE26D" w:rsidR="0017766B" w:rsidRDefault="00A265CB" w:rsidP="0017766B">
      <w:pPr>
        <w:pStyle w:val="Bullet"/>
      </w:pPr>
      <w:r>
        <w:t>In 2017–</w:t>
      </w:r>
      <w:r w:rsidR="0017766B">
        <w:t>18, there was a significant increase in pr</w:t>
      </w:r>
      <w:r w:rsidR="002B5B95">
        <w:t>oposed investment approvals in</w:t>
      </w:r>
      <w:r w:rsidR="00F04576">
        <w:t xml:space="preserve"> service sectors, particularly</w:t>
      </w:r>
      <w:r w:rsidR="002B5B95">
        <w:t xml:space="preserve"> </w:t>
      </w:r>
      <w:r w:rsidR="00B8687A">
        <w:t xml:space="preserve">in </w:t>
      </w:r>
      <w:r w:rsidR="0017766B">
        <w:t>health</w:t>
      </w:r>
      <w:r w:rsidR="002B5B95">
        <w:t xml:space="preserve"> care</w:t>
      </w:r>
      <w:r w:rsidR="0017766B">
        <w:t xml:space="preserve"> and </w:t>
      </w:r>
      <w:r w:rsidR="002B5B95">
        <w:t xml:space="preserve">the </w:t>
      </w:r>
      <w:r w:rsidR="0017766B">
        <w:t xml:space="preserve">finance and insurance sector. </w:t>
      </w:r>
      <w:r w:rsidR="002B5B95">
        <w:t xml:space="preserve">With increased investment in these areas, protection of personal data and data security continued to be an area of focus for the </w:t>
      </w:r>
      <w:r w:rsidR="00FF574E">
        <w:t xml:space="preserve">Board </w:t>
      </w:r>
      <w:r w:rsidR="002B5B95">
        <w:t>and other agencies, such as the Critical Infrastructure Centre</w:t>
      </w:r>
      <w:r w:rsidR="002653B1">
        <w:t xml:space="preserve"> (CIC)</w:t>
      </w:r>
      <w:r w:rsidR="002B5B95">
        <w:t>.</w:t>
      </w:r>
    </w:p>
    <w:p w14:paraId="1D26922F" w14:textId="6A00AF4A" w:rsidR="00586BA7" w:rsidRDefault="0017766B" w:rsidP="00586BA7">
      <w:pPr>
        <w:pStyle w:val="Bullet"/>
      </w:pPr>
      <w:r>
        <w:t xml:space="preserve">By </w:t>
      </w:r>
      <w:r w:rsidR="009F29D6">
        <w:t>number of approvals</w:t>
      </w:r>
      <w:r>
        <w:t xml:space="preserve">, </w:t>
      </w:r>
      <w:r w:rsidR="00093689">
        <w:t xml:space="preserve">91 per cent </w:t>
      </w:r>
      <w:r>
        <w:t>were for proposed investment in residential real estate worth $</w:t>
      </w:r>
      <w:r w:rsidR="00C87681">
        <w:t>12</w:t>
      </w:r>
      <w:r>
        <w:t>.</w:t>
      </w:r>
      <w:r w:rsidR="00C87681">
        <w:t>5</w:t>
      </w:r>
      <w:r>
        <w:t> billion</w:t>
      </w:r>
      <w:r w:rsidR="009F29D6">
        <w:t xml:space="preserve"> by value</w:t>
      </w:r>
      <w:r>
        <w:t xml:space="preserve">. This was a drop of </w:t>
      </w:r>
      <w:r w:rsidR="002B5B95">
        <w:t>$</w:t>
      </w:r>
      <w:r w:rsidR="00C87681">
        <w:t>17</w:t>
      </w:r>
      <w:r w:rsidR="006E37A8">
        <w:t>.</w:t>
      </w:r>
      <w:r w:rsidR="00C87681">
        <w:t>5</w:t>
      </w:r>
      <w:r w:rsidR="002B5B95">
        <w:t xml:space="preserve"> billion </w:t>
      </w:r>
      <w:r w:rsidR="00A265CB">
        <w:t>from 2016–</w:t>
      </w:r>
      <w:r>
        <w:t xml:space="preserve">17 </w:t>
      </w:r>
      <w:r w:rsidR="00F75F7F">
        <w:t xml:space="preserve">reflecting </w:t>
      </w:r>
      <w:r>
        <w:t>a slowing in foreign demand for residential real estate.</w:t>
      </w:r>
      <w:r w:rsidR="0090074A">
        <w:t xml:space="preserve"> </w:t>
      </w:r>
    </w:p>
    <w:p w14:paraId="6704C037" w14:textId="2C26C853" w:rsidR="00586BA7" w:rsidRDefault="00796E1F" w:rsidP="00F75F7F">
      <w:pPr>
        <w:pStyle w:val="Dash"/>
      </w:pPr>
      <w:r>
        <w:t xml:space="preserve">The main driver of the drop </w:t>
      </w:r>
      <w:r w:rsidDel="002135D3">
        <w:t xml:space="preserve">by value </w:t>
      </w:r>
      <w:r>
        <w:t xml:space="preserve">was </w:t>
      </w:r>
      <w:r w:rsidR="00586BA7">
        <w:t>a</w:t>
      </w:r>
      <w:r>
        <w:t xml:space="preserve"> decline in new dwelling related approvals, in particular</w:t>
      </w:r>
      <w:r w:rsidR="00312888">
        <w:t>,</w:t>
      </w:r>
      <w:r>
        <w:t xml:space="preserve"> in developers seeking exemption certificates that provide pre</w:t>
      </w:r>
      <w:r>
        <w:noBreakHyphen/>
        <w:t>approval for foreign persons to purchase new dwelling</w:t>
      </w:r>
      <w:r w:rsidR="00312888">
        <w:t>s in</w:t>
      </w:r>
      <w:r>
        <w:t xml:space="preserve"> developments. </w:t>
      </w:r>
      <w:r w:rsidR="0070270D">
        <w:t>However, approvals in the same category were significantly elevated in 2014-15 and 2015-16 at three to four times</w:t>
      </w:r>
      <w:r w:rsidR="005A6577">
        <w:t xml:space="preserve"> the average of the immediate years prior</w:t>
      </w:r>
      <w:r w:rsidR="0070270D">
        <w:t>.</w:t>
      </w:r>
    </w:p>
    <w:p w14:paraId="7E68B188" w14:textId="42244E3B" w:rsidR="00586BA7" w:rsidRDefault="00C05BC5" w:rsidP="00F75F7F">
      <w:pPr>
        <w:pStyle w:val="Dash"/>
      </w:pPr>
      <w:r>
        <w:t>C</w:t>
      </w:r>
      <w:r w:rsidR="00586BA7">
        <w:t xml:space="preserve">onsistent with </w:t>
      </w:r>
      <w:r w:rsidR="008D30E5">
        <w:t>the overarching principle</w:t>
      </w:r>
      <w:r w:rsidR="00586BA7">
        <w:t xml:space="preserve"> of Australia’s Foreign Investment Policy</w:t>
      </w:r>
      <w:r w:rsidR="008D30E5">
        <w:t xml:space="preserve"> that </w:t>
      </w:r>
      <w:r w:rsidR="008D30E5" w:rsidRPr="008D30E5">
        <w:t xml:space="preserve">proposed investment </w:t>
      </w:r>
      <w:r w:rsidR="008D30E5">
        <w:t xml:space="preserve">in residential real estate </w:t>
      </w:r>
      <w:r w:rsidR="008D30E5" w:rsidRPr="008D30E5">
        <w:t>should increase Australia’s housing stock</w:t>
      </w:r>
      <w:r w:rsidR="00586BA7">
        <w:t xml:space="preserve">, 84 per cent </w:t>
      </w:r>
      <w:r w:rsidR="008D30E5">
        <w:t xml:space="preserve">of approvals </w:t>
      </w:r>
      <w:r w:rsidR="00B37C75">
        <w:t xml:space="preserve">by number </w:t>
      </w:r>
      <w:r w:rsidR="00586BA7">
        <w:t>were for categories</w:t>
      </w:r>
      <w:r w:rsidR="008D30E5">
        <w:t>, such as new dwellings and vacant land for development,</w:t>
      </w:r>
      <w:r w:rsidR="00586BA7">
        <w:t xml:space="preserve"> that contribute to </w:t>
      </w:r>
      <w:r w:rsidR="008D30E5">
        <w:t>increasing</w:t>
      </w:r>
      <w:r w:rsidR="00586BA7">
        <w:t xml:space="preserve"> Australia’s housing stock.</w:t>
      </w:r>
    </w:p>
    <w:p w14:paraId="7D3710D2" w14:textId="5C2347FD" w:rsidR="0017766B" w:rsidDel="002C704D" w:rsidRDefault="0090074A" w:rsidP="00F75F7F">
      <w:pPr>
        <w:pStyle w:val="Dash"/>
      </w:pPr>
      <w:r w:rsidDel="002C704D">
        <w:t xml:space="preserve">While Chinese demand </w:t>
      </w:r>
      <w:r w:rsidR="005A6577" w:rsidDel="002C704D">
        <w:t xml:space="preserve">for residential real estate </w:t>
      </w:r>
      <w:r w:rsidR="00A811C1" w:rsidDel="002C704D">
        <w:t>has fallen, China</w:t>
      </w:r>
      <w:r w:rsidDel="002C704D">
        <w:t xml:space="preserve"> still account</w:t>
      </w:r>
      <w:r w:rsidR="00A811C1" w:rsidDel="002C704D">
        <w:t>s</w:t>
      </w:r>
      <w:r w:rsidDel="002C704D">
        <w:t xml:space="preserve"> for a majority of </w:t>
      </w:r>
      <w:r w:rsidR="00312888" w:rsidDel="002C704D">
        <w:t xml:space="preserve">residential </w:t>
      </w:r>
      <w:r w:rsidR="00C05BC5">
        <w:t xml:space="preserve">real estate </w:t>
      </w:r>
      <w:r w:rsidDel="002C704D">
        <w:t>approvals.</w:t>
      </w:r>
    </w:p>
    <w:p w14:paraId="448D39CE" w14:textId="30107CB2" w:rsidR="0017766B" w:rsidRDefault="0017766B" w:rsidP="0017766B">
      <w:pPr>
        <w:pStyle w:val="Bullet"/>
      </w:pPr>
      <w:r>
        <w:t>Strengthening the foreign investment compliance framework is a</w:t>
      </w:r>
      <w:r w:rsidR="002B5B95">
        <w:t xml:space="preserve"> key</w:t>
      </w:r>
      <w:r>
        <w:t xml:space="preserve"> area of focus. In 2017-18, Treasury completed 11</w:t>
      </w:r>
      <w:r w:rsidRPr="004B653D">
        <w:t xml:space="preserve"> </w:t>
      </w:r>
      <w:r>
        <w:t xml:space="preserve">business investment </w:t>
      </w:r>
      <w:r w:rsidRPr="004B653D">
        <w:t>audits</w:t>
      </w:r>
      <w:r>
        <w:t xml:space="preserve"> </w:t>
      </w:r>
      <w:r w:rsidR="006737E5">
        <w:t xml:space="preserve">relating to </w:t>
      </w:r>
      <w:r w:rsidR="00F04576">
        <w:t xml:space="preserve">more than </w:t>
      </w:r>
      <w:r w:rsidR="006737E5">
        <w:t xml:space="preserve">$25 billion of </w:t>
      </w:r>
      <w:r w:rsidR="00375236">
        <w:t xml:space="preserve">proposed </w:t>
      </w:r>
      <w:r w:rsidR="00F04576">
        <w:t xml:space="preserve">investment and there was a </w:t>
      </w:r>
      <w:r>
        <w:t xml:space="preserve">generally high level of compliance among those audited. </w:t>
      </w:r>
      <w:r w:rsidR="002B5B95">
        <w:t xml:space="preserve">The Australian Taxation Office </w:t>
      </w:r>
      <w:r w:rsidR="00A03FE0">
        <w:t xml:space="preserve">(ATO) </w:t>
      </w:r>
      <w:r w:rsidR="002B5B95">
        <w:t xml:space="preserve">completed around 1,400 residential real estate investigations and </w:t>
      </w:r>
      <w:r w:rsidR="000372A5">
        <w:t xml:space="preserve">found 600 </w:t>
      </w:r>
      <w:r w:rsidR="00051726">
        <w:t xml:space="preserve">properties that were in </w:t>
      </w:r>
      <w:r w:rsidR="000372A5">
        <w:t xml:space="preserve">breach. </w:t>
      </w:r>
      <w:r w:rsidR="00C50586" w:rsidRPr="00654BAA">
        <w:t xml:space="preserve">In </w:t>
      </w:r>
      <w:r w:rsidR="00C50586">
        <w:t>most</w:t>
      </w:r>
      <w:r w:rsidR="00C50586" w:rsidRPr="00654BAA">
        <w:t xml:space="preserve"> circumstances, an infringement notice </w:t>
      </w:r>
      <w:r w:rsidR="00C50586">
        <w:t>was</w:t>
      </w:r>
      <w:r w:rsidR="00C50586" w:rsidRPr="00654BAA">
        <w:t xml:space="preserve"> applied</w:t>
      </w:r>
      <w:r w:rsidR="00C50586">
        <w:t xml:space="preserve"> to these breaches</w:t>
      </w:r>
      <w:r w:rsidR="00C50586" w:rsidRPr="00654BAA">
        <w:t>.</w:t>
      </w:r>
      <w:r w:rsidR="000372A5">
        <w:t xml:space="preserve"> </w:t>
      </w:r>
      <w:r>
        <w:t xml:space="preserve">The Australian National Audit Office also completed a comprehensive performance review into the </w:t>
      </w:r>
      <w:r w:rsidR="002135D3" w:rsidRPr="009F29D6">
        <w:t>m</w:t>
      </w:r>
      <w:r w:rsidRPr="009F29D6">
        <w:t>anagement of foreign investment compliance obligations for residential real estate</w:t>
      </w:r>
      <w:r>
        <w:t xml:space="preserve">. The final report was largely positive </w:t>
      </w:r>
      <w:r w:rsidR="00A03FE0">
        <w:t xml:space="preserve">about </w:t>
      </w:r>
      <w:r>
        <w:t xml:space="preserve">the processes implemented by </w:t>
      </w:r>
      <w:r w:rsidR="00145988">
        <w:t>the ATO</w:t>
      </w:r>
      <w:r>
        <w:t xml:space="preserve"> to manage compliance</w:t>
      </w:r>
      <w:r w:rsidR="002135D3">
        <w:t xml:space="preserve"> and </w:t>
      </w:r>
      <w:r w:rsidR="00145988">
        <w:t>additional improvements</w:t>
      </w:r>
      <w:r w:rsidR="002135D3">
        <w:t xml:space="preserve"> are</w:t>
      </w:r>
      <w:r w:rsidR="00145988">
        <w:t xml:space="preserve"> being made as a result of the report.</w:t>
      </w:r>
    </w:p>
    <w:p w14:paraId="203A4F67" w14:textId="2FB6C56A" w:rsidR="00586BA7" w:rsidRPr="003C2223" w:rsidRDefault="000372A5" w:rsidP="003C2223">
      <w:pPr>
        <w:pStyle w:val="Bullet"/>
      </w:pPr>
      <w:r>
        <w:t xml:space="preserve">With major reforms </w:t>
      </w:r>
      <w:r w:rsidR="00082D66">
        <w:t xml:space="preserve">having </w:t>
      </w:r>
      <w:r>
        <w:t>been made to foreign investment regimes overseas, such as in the United States</w:t>
      </w:r>
      <w:r w:rsidR="006027D9">
        <w:t xml:space="preserve"> </w:t>
      </w:r>
      <w:r w:rsidR="006027D9" w:rsidRPr="005610C8">
        <w:t xml:space="preserve">and </w:t>
      </w:r>
      <w:r w:rsidR="00A811C1">
        <w:t>the U</w:t>
      </w:r>
      <w:r w:rsidR="002135D3">
        <w:t xml:space="preserve">nited </w:t>
      </w:r>
      <w:r w:rsidR="00A811C1">
        <w:t>K</w:t>
      </w:r>
      <w:r w:rsidR="002135D3">
        <w:t>ingdom</w:t>
      </w:r>
      <w:r w:rsidR="00A811C1">
        <w:t>, the Australian Government</w:t>
      </w:r>
      <w:r>
        <w:t xml:space="preserve"> has enhanced its cooperation with counterpart agencies overseas, particularly in relation to national security developments.</w:t>
      </w:r>
      <w:r w:rsidR="001C6411">
        <w:t xml:space="preserve"> </w:t>
      </w:r>
      <w:r w:rsidR="00F04576">
        <w:t>T</w:t>
      </w:r>
      <w:r w:rsidR="001C6411" w:rsidRPr="001C6411">
        <w:t>he comparatively well</w:t>
      </w:r>
      <w:r w:rsidR="001C6411">
        <w:noBreakHyphen/>
      </w:r>
      <w:r w:rsidR="001C6411" w:rsidRPr="001C6411">
        <w:t>developed nature of th</w:t>
      </w:r>
      <w:r w:rsidR="001C6411">
        <w:t>e Australian foreign investment</w:t>
      </w:r>
      <w:r w:rsidR="001C6411" w:rsidRPr="001C6411">
        <w:t xml:space="preserve"> review mechanism has been the subject of close scrutiny by other like</w:t>
      </w:r>
      <w:r w:rsidR="001C6411">
        <w:noBreakHyphen/>
      </w:r>
      <w:r w:rsidR="001C6411" w:rsidRPr="001C6411">
        <w:t xml:space="preserve">minded countries as </w:t>
      </w:r>
      <w:r w:rsidR="00F04576">
        <w:t>part of their consideration of addressing</w:t>
      </w:r>
      <w:r w:rsidR="001C6411" w:rsidRPr="001C6411">
        <w:t xml:space="preserve"> national security and other issues </w:t>
      </w:r>
      <w:r w:rsidR="00F04576">
        <w:t>relevant to</w:t>
      </w:r>
      <w:r w:rsidR="00F04576" w:rsidRPr="001C6411">
        <w:t xml:space="preserve"> </w:t>
      </w:r>
      <w:r w:rsidR="001C6411">
        <w:t xml:space="preserve">their foreign investment </w:t>
      </w:r>
      <w:r w:rsidR="001C6411" w:rsidRPr="001C6411">
        <w:t>regimes.</w:t>
      </w:r>
      <w:bookmarkStart w:id="42" w:name="_Toc532207319"/>
      <w:bookmarkStart w:id="43" w:name="_Toc532217707"/>
      <w:bookmarkStart w:id="44" w:name="_Toc532218728"/>
      <w:bookmarkStart w:id="45" w:name="_Toc532219040"/>
      <w:bookmarkStart w:id="46" w:name="_Toc532223724"/>
      <w:bookmarkStart w:id="47" w:name="_Toc532224183"/>
      <w:bookmarkStart w:id="48" w:name="_Toc532226662"/>
      <w:r w:rsidR="00586BA7">
        <w:br w:type="page"/>
      </w:r>
    </w:p>
    <w:p w14:paraId="1FA7F714" w14:textId="38473EA0" w:rsidR="00CB54C2" w:rsidRPr="003E1D3A" w:rsidRDefault="00CB54C2" w:rsidP="003C2223">
      <w:pPr>
        <w:pStyle w:val="Heading1-TOC"/>
      </w:pPr>
      <w:bookmarkStart w:id="49" w:name="_Toc536029364"/>
      <w:bookmarkStart w:id="50" w:name="_Toc1120386"/>
      <w:bookmarkStart w:id="51" w:name="_Toc1121957"/>
      <w:r w:rsidRPr="003E1D3A">
        <w:t xml:space="preserve">Overview of </w:t>
      </w:r>
      <w:r w:rsidRPr="003C2223">
        <w:t>report</w:t>
      </w:r>
      <w:bookmarkEnd w:id="42"/>
      <w:bookmarkEnd w:id="43"/>
      <w:bookmarkEnd w:id="44"/>
      <w:bookmarkEnd w:id="45"/>
      <w:bookmarkEnd w:id="46"/>
      <w:bookmarkEnd w:id="47"/>
      <w:bookmarkEnd w:id="48"/>
      <w:bookmarkEnd w:id="49"/>
      <w:bookmarkEnd w:id="50"/>
      <w:bookmarkEnd w:id="51"/>
    </w:p>
    <w:p w14:paraId="09BE8559" w14:textId="5A8DBBD3" w:rsidR="00CB54C2" w:rsidRPr="00CB54C2" w:rsidRDefault="00CB54C2" w:rsidP="00241E7E">
      <w:r w:rsidRPr="00CB54C2">
        <w:t xml:space="preserve">This report </w:t>
      </w:r>
      <w:r w:rsidR="00A415C8">
        <w:t>ha</w:t>
      </w:r>
      <w:r w:rsidRPr="00CB54C2">
        <w:t xml:space="preserve">s </w:t>
      </w:r>
      <w:r w:rsidR="00A415C8">
        <w:t>four chapters</w:t>
      </w:r>
      <w:r w:rsidR="00BC6E17">
        <w:t xml:space="preserve"> </w:t>
      </w:r>
      <w:r w:rsidR="00F64C1E">
        <w:t>and four a</w:t>
      </w:r>
      <w:r w:rsidR="00BC6E17">
        <w:t>ppendices</w:t>
      </w:r>
      <w:r w:rsidRPr="00CB54C2" w:rsidDel="00CA0831">
        <w:t>:</w:t>
      </w:r>
    </w:p>
    <w:p w14:paraId="6D0E5AF5" w14:textId="564D8B15" w:rsidR="00CB54C2" w:rsidRPr="00CB54C2" w:rsidRDefault="00CA0831" w:rsidP="00CB54C2">
      <w:pPr>
        <w:pStyle w:val="Bullet"/>
      </w:pPr>
      <w:r>
        <w:t>C</w:t>
      </w:r>
      <w:r w:rsidRPr="00CB54C2">
        <w:t xml:space="preserve">hapter </w:t>
      </w:r>
      <w:r w:rsidR="003E1146">
        <w:t>one</w:t>
      </w:r>
      <w:r w:rsidR="00CB54C2" w:rsidRPr="00CB54C2">
        <w:t xml:space="preserve"> provides an overview of the Foreign Investment Review Board (</w:t>
      </w:r>
      <w:r w:rsidR="0085621F">
        <w:t>the Board</w:t>
      </w:r>
      <w:r w:rsidR="00CB54C2" w:rsidRPr="00CB54C2">
        <w:t xml:space="preserve">) and the </w:t>
      </w:r>
      <w:r w:rsidR="0085621F">
        <w:t>Foreign Investment Review Board (</w:t>
      </w:r>
      <w:r w:rsidR="00CB54C2" w:rsidRPr="00CB54C2">
        <w:t>FIRB</w:t>
      </w:r>
      <w:r w:rsidR="0085621F">
        <w:t>)</w:t>
      </w:r>
      <w:r w:rsidR="00CB54C2" w:rsidRPr="00CB54C2">
        <w:t xml:space="preserve"> agencies</w:t>
      </w:r>
      <w:r w:rsidR="002B3721" w:rsidDel="008D730C">
        <w:t>,</w:t>
      </w:r>
      <w:r w:rsidR="00CB54C2" w:rsidRPr="00CB54C2">
        <w:rPr>
          <w:vertAlign w:val="superscript"/>
        </w:rPr>
        <w:footnoteReference w:id="2"/>
      </w:r>
      <w:r w:rsidR="00CB54C2" w:rsidRPr="00CB54C2">
        <w:t xml:space="preserve"> including responsibilities, membership and operational costs;</w:t>
      </w:r>
    </w:p>
    <w:p w14:paraId="5AC4489C" w14:textId="14E873D2" w:rsidR="00CB54C2" w:rsidRPr="00CA21BE" w:rsidRDefault="00CA0831" w:rsidP="00CA21BE">
      <w:pPr>
        <w:pStyle w:val="Bullet"/>
      </w:pPr>
      <w:r w:rsidRPr="00CA21BE">
        <w:t xml:space="preserve">Chapter </w:t>
      </w:r>
      <w:r w:rsidR="003E1146" w:rsidRPr="00CA21BE">
        <w:t>two</w:t>
      </w:r>
      <w:r w:rsidR="00CB54C2" w:rsidRPr="00CA21BE">
        <w:t xml:space="preserve"> di</w:t>
      </w:r>
      <w:r w:rsidR="00E269FA" w:rsidRPr="00CA21BE">
        <w:t xml:space="preserve">scusses the accomplishments and </w:t>
      </w:r>
      <w:r w:rsidR="00CB54C2" w:rsidRPr="00CA21BE">
        <w:t xml:space="preserve">challenges faced by the </w:t>
      </w:r>
      <w:r w:rsidR="002653B1" w:rsidRPr="00CA21BE">
        <w:t>Board</w:t>
      </w:r>
      <w:r w:rsidR="00CA21BE" w:rsidRPr="00CA21BE">
        <w:t xml:space="preserve"> and FIRB agencies </w:t>
      </w:r>
      <w:r w:rsidR="00CB54C2" w:rsidRPr="00CA21BE">
        <w:t>in</w:t>
      </w:r>
      <w:r w:rsidR="00CA21BE">
        <w:t xml:space="preserve"> </w:t>
      </w:r>
      <w:r w:rsidR="00CB54C2" w:rsidRPr="00CA21BE">
        <w:t>2017</w:t>
      </w:r>
      <w:r w:rsidR="0080522B" w:rsidRPr="00CA21BE">
        <w:t>–</w:t>
      </w:r>
      <w:r w:rsidR="00CB54C2" w:rsidRPr="00CA21BE">
        <w:t>18</w:t>
      </w:r>
      <w:r w:rsidR="00E0092D" w:rsidRPr="00CA21BE">
        <w:t>. It reviews the</w:t>
      </w:r>
      <w:r w:rsidR="00CB54C2" w:rsidRPr="00CA21BE">
        <w:t xml:space="preserve"> changes to the foreign investment framework, stakeholder engagement</w:t>
      </w:r>
      <w:r w:rsidR="00E0092D" w:rsidRPr="00CA21BE">
        <w:t xml:space="preserve"> conducted by the </w:t>
      </w:r>
      <w:r w:rsidR="002653B1" w:rsidRPr="00CA21BE">
        <w:t>Board</w:t>
      </w:r>
      <w:r w:rsidR="00E0092D" w:rsidRPr="00CA21BE">
        <w:t xml:space="preserve"> </w:t>
      </w:r>
      <w:r w:rsidR="00CB54C2" w:rsidRPr="00CA21BE">
        <w:t xml:space="preserve">and </w:t>
      </w:r>
      <w:r w:rsidR="00E0092D" w:rsidRPr="00CA21BE">
        <w:t>FIRB agencies</w:t>
      </w:r>
      <w:r w:rsidR="00C1451E" w:rsidRPr="00CA21BE">
        <w:t xml:space="preserve"> and</w:t>
      </w:r>
      <w:r w:rsidR="00E0092D" w:rsidRPr="00CA21BE">
        <w:t xml:space="preserve"> </w:t>
      </w:r>
      <w:r w:rsidR="00CB54C2" w:rsidRPr="00CA21BE">
        <w:t xml:space="preserve">the </w:t>
      </w:r>
      <w:r w:rsidR="00E0092D" w:rsidRPr="00CA21BE">
        <w:t xml:space="preserve">redesign </w:t>
      </w:r>
      <w:r w:rsidR="00CB54C2" w:rsidRPr="00CA21BE">
        <w:t xml:space="preserve">of </w:t>
      </w:r>
      <w:r w:rsidR="00E0092D" w:rsidRPr="00CA21BE">
        <w:t xml:space="preserve">the </w:t>
      </w:r>
      <w:r w:rsidR="00CB54C2" w:rsidRPr="00CA21BE">
        <w:t xml:space="preserve">FIRB </w:t>
      </w:r>
      <w:r w:rsidR="00DC77B8" w:rsidRPr="00CA21BE">
        <w:t xml:space="preserve">Application </w:t>
      </w:r>
      <w:r w:rsidR="00E0092D" w:rsidRPr="00CA21BE">
        <w:t>P</w:t>
      </w:r>
      <w:r w:rsidR="00CB54C2" w:rsidRPr="00CA21BE">
        <w:t>ortal;</w:t>
      </w:r>
    </w:p>
    <w:p w14:paraId="3ED96333" w14:textId="1B230C5B" w:rsidR="007867BB" w:rsidRDefault="00CA0831" w:rsidP="003C2223">
      <w:pPr>
        <w:pStyle w:val="Bullet"/>
      </w:pPr>
      <w:r>
        <w:t>C</w:t>
      </w:r>
      <w:r w:rsidRPr="00CB54C2">
        <w:t xml:space="preserve">hapter </w:t>
      </w:r>
      <w:r w:rsidR="003E1146">
        <w:t>three</w:t>
      </w:r>
      <w:r w:rsidR="00CB54C2" w:rsidRPr="00CB54C2">
        <w:t xml:space="preserve"> analyses data </w:t>
      </w:r>
      <w:r w:rsidR="001164B7">
        <w:t>on foreign investment applications finalised in</w:t>
      </w:r>
      <w:r w:rsidR="001164B7" w:rsidRPr="00CB54C2">
        <w:t xml:space="preserve"> </w:t>
      </w:r>
      <w:r w:rsidR="00CB54C2" w:rsidRPr="00CB54C2">
        <w:t>2017</w:t>
      </w:r>
      <w:r w:rsidR="0080522B">
        <w:t>–</w:t>
      </w:r>
      <w:r w:rsidR="00CB54C2" w:rsidRPr="00CB54C2">
        <w:t xml:space="preserve">18. </w:t>
      </w:r>
      <w:r w:rsidR="007C6CF0" w:rsidRPr="00CB54C2">
        <w:t>It</w:t>
      </w:r>
      <w:r w:rsidR="007C6CF0">
        <w:t> </w:t>
      </w:r>
      <w:r w:rsidR="00CB54C2" w:rsidRPr="00CB54C2">
        <w:t>includes approvals data by number, value, sector</w:t>
      </w:r>
      <w:r w:rsidR="00E0092D">
        <w:t>,</w:t>
      </w:r>
      <w:r w:rsidR="00CB54C2" w:rsidRPr="00CB54C2">
        <w:t xml:space="preserve"> and </w:t>
      </w:r>
      <w:r w:rsidR="00305505">
        <w:t xml:space="preserve">investor </w:t>
      </w:r>
      <w:r w:rsidR="00CB54C2" w:rsidRPr="00CB54C2">
        <w:t xml:space="preserve">country. </w:t>
      </w:r>
      <w:r w:rsidR="003E1146">
        <w:t>It also includes data on variations and for</w:t>
      </w:r>
      <w:r w:rsidR="00E269FA">
        <w:t xml:space="preserve">eign investment </w:t>
      </w:r>
      <w:r w:rsidR="00842EF3">
        <w:t xml:space="preserve">application </w:t>
      </w:r>
      <w:r w:rsidR="00E269FA">
        <w:t>fee collections</w:t>
      </w:r>
      <w:r w:rsidR="00CB59BF">
        <w:t>;</w:t>
      </w:r>
    </w:p>
    <w:p w14:paraId="0618E3E2" w14:textId="5320940B" w:rsidR="00CB54C2" w:rsidRDefault="00CA0831" w:rsidP="00CB54C2">
      <w:pPr>
        <w:pStyle w:val="Bullet"/>
      </w:pPr>
      <w:r>
        <w:t xml:space="preserve">Chapter </w:t>
      </w:r>
      <w:r w:rsidR="003E1146">
        <w:t>four</w:t>
      </w:r>
      <w:r w:rsidR="00CB54C2" w:rsidRPr="00CB54C2">
        <w:t xml:space="preserve"> explains key developments in Australia’s foreign investment </w:t>
      </w:r>
      <w:r w:rsidR="00C16F87">
        <w:t xml:space="preserve">framework </w:t>
      </w:r>
      <w:r w:rsidR="00CB54C2" w:rsidRPr="00CB54C2">
        <w:t>compliance program.</w:t>
      </w:r>
      <w:r w:rsidR="00CB54C2">
        <w:t xml:space="preserve"> It </w:t>
      </w:r>
      <w:r w:rsidR="00CB54C2">
        <w:rPr>
          <w:rFonts w:ascii="Calibri" w:hAnsi="Calibri" w:cs="Calibri"/>
        </w:rPr>
        <w:t xml:space="preserve">discusses the approach to compliance by </w:t>
      </w:r>
      <w:r w:rsidR="00CB54C2">
        <w:t>FIRB</w:t>
      </w:r>
      <w:r w:rsidR="00CB54C2">
        <w:rPr>
          <w:rFonts w:ascii="Calibri" w:hAnsi="Calibri" w:cs="Calibri"/>
        </w:rPr>
        <w:t xml:space="preserve"> agencies</w:t>
      </w:r>
      <w:r w:rsidR="00F37B9E">
        <w:rPr>
          <w:rFonts w:ascii="Calibri" w:hAnsi="Calibri" w:cs="Calibri"/>
        </w:rPr>
        <w:t>,</w:t>
      </w:r>
      <w:r w:rsidR="00CB54C2">
        <w:rPr>
          <w:rFonts w:ascii="Calibri" w:hAnsi="Calibri" w:cs="Calibri"/>
        </w:rPr>
        <w:t xml:space="preserve"> and the work underway to strengthen assurance that foreign </w:t>
      </w:r>
      <w:r w:rsidR="002C6880">
        <w:rPr>
          <w:rFonts w:ascii="Calibri" w:hAnsi="Calibri" w:cs="Calibri"/>
        </w:rPr>
        <w:t>persons</w:t>
      </w:r>
      <w:r w:rsidR="00CB54C2">
        <w:rPr>
          <w:rFonts w:ascii="Calibri" w:hAnsi="Calibri" w:cs="Calibri"/>
        </w:rPr>
        <w:t xml:space="preserve"> are meeting their obligations</w:t>
      </w:r>
      <w:r w:rsidR="00F37B9E">
        <w:rPr>
          <w:rFonts w:ascii="Calibri" w:hAnsi="Calibri" w:cs="Calibri"/>
        </w:rPr>
        <w:t>. This includes</w:t>
      </w:r>
      <w:r w:rsidR="00CB54C2" w:rsidDel="003C68EE">
        <w:rPr>
          <w:rFonts w:ascii="Calibri" w:hAnsi="Calibri" w:cs="Calibri"/>
        </w:rPr>
        <w:t xml:space="preserve"> </w:t>
      </w:r>
      <w:r w:rsidR="00CB54C2">
        <w:rPr>
          <w:rFonts w:ascii="Calibri" w:hAnsi="Calibri" w:cs="Calibri"/>
        </w:rPr>
        <w:t>stakeholder engagement</w:t>
      </w:r>
      <w:r w:rsidR="003C68EE" w:rsidRPr="003C68EE">
        <w:rPr>
          <w:rFonts w:ascii="Calibri" w:hAnsi="Calibri" w:cs="Calibri"/>
        </w:rPr>
        <w:t xml:space="preserve"> </w:t>
      </w:r>
      <w:r w:rsidR="003C68EE">
        <w:rPr>
          <w:rFonts w:ascii="Calibri" w:hAnsi="Calibri" w:cs="Calibri"/>
        </w:rPr>
        <w:t>and education</w:t>
      </w:r>
      <w:r w:rsidR="00CB54C2">
        <w:rPr>
          <w:rFonts w:ascii="Calibri" w:hAnsi="Calibri" w:cs="Calibri"/>
        </w:rPr>
        <w:t xml:space="preserve">, audits and investigations, and the </w:t>
      </w:r>
      <w:r w:rsidR="00305505">
        <w:rPr>
          <w:rFonts w:ascii="Calibri" w:hAnsi="Calibri" w:cs="Calibri"/>
        </w:rPr>
        <w:t xml:space="preserve">imposition </w:t>
      </w:r>
      <w:r w:rsidR="00CB54C2">
        <w:rPr>
          <w:rFonts w:ascii="Calibri" w:hAnsi="Calibri" w:cs="Calibri"/>
        </w:rPr>
        <w:t xml:space="preserve">of penalties under the </w:t>
      </w:r>
      <w:r w:rsidR="00F37B9E" w:rsidRPr="00F37B9E">
        <w:rPr>
          <w:rFonts w:ascii="Calibri" w:hAnsi="Calibri" w:cs="Calibri"/>
          <w:i/>
        </w:rPr>
        <w:t xml:space="preserve">Foreign Acquisitions and Takeovers </w:t>
      </w:r>
      <w:r w:rsidR="00CB54C2" w:rsidRPr="00F37B9E">
        <w:rPr>
          <w:rFonts w:ascii="Calibri" w:hAnsi="Calibri" w:cs="Calibri"/>
          <w:i/>
        </w:rPr>
        <w:t>Act</w:t>
      </w:r>
      <w:r w:rsidR="00F37B9E" w:rsidRPr="00F37B9E">
        <w:rPr>
          <w:rFonts w:ascii="Calibri" w:hAnsi="Calibri" w:cs="Calibri"/>
          <w:i/>
        </w:rPr>
        <w:t xml:space="preserve"> 1975</w:t>
      </w:r>
      <w:r w:rsidR="00AF36B7">
        <w:rPr>
          <w:rFonts w:ascii="Calibri" w:hAnsi="Calibri" w:cs="Calibri"/>
        </w:rPr>
        <w:t>;</w:t>
      </w:r>
    </w:p>
    <w:p w14:paraId="55CB2B77" w14:textId="62A3AF13" w:rsidR="00FC4D9D" w:rsidRDefault="00CA0831" w:rsidP="00CB54C2">
      <w:pPr>
        <w:pStyle w:val="Bullet"/>
      </w:pPr>
      <w:r>
        <w:t xml:space="preserve">Appendix </w:t>
      </w:r>
      <w:r w:rsidR="00FC4D9D">
        <w:t xml:space="preserve">A lists </w:t>
      </w:r>
      <w:r w:rsidR="002653B1">
        <w:t>Board</w:t>
      </w:r>
      <w:r w:rsidR="00FC4D9D">
        <w:t xml:space="preserve"> members’ attendance at </w:t>
      </w:r>
      <w:r w:rsidR="00B8687A">
        <w:t xml:space="preserve">Board </w:t>
      </w:r>
      <w:r w:rsidR="00FC4D9D">
        <w:t>meetings;</w:t>
      </w:r>
    </w:p>
    <w:p w14:paraId="18781D34" w14:textId="45FC5C38" w:rsidR="00FC4D9D" w:rsidRDefault="00CA0831" w:rsidP="00CB54C2">
      <w:pPr>
        <w:pStyle w:val="Bullet"/>
      </w:pPr>
      <w:r>
        <w:t xml:space="preserve">Appendix </w:t>
      </w:r>
      <w:r w:rsidR="00FC4D9D">
        <w:t xml:space="preserve">B provides an overview of the main methodological and data caveats that apply to </w:t>
      </w:r>
      <w:r w:rsidR="000940C9">
        <w:t>applications and approvals</w:t>
      </w:r>
      <w:r w:rsidR="00FC4D9D">
        <w:t xml:space="preserve"> data in this report. Of particular note in this regard is the transition</w:t>
      </w:r>
      <w:r w:rsidR="00023FE4">
        <w:t>,</w:t>
      </w:r>
      <w:r w:rsidR="00FC4D9D">
        <w:t xml:space="preserve"> in 2017–18</w:t>
      </w:r>
      <w:r w:rsidR="00023FE4">
        <w:t>,</w:t>
      </w:r>
      <w:r w:rsidR="00FC4D9D">
        <w:t xml:space="preserve"> from identifying the source country </w:t>
      </w:r>
      <w:r w:rsidR="00305505">
        <w:t xml:space="preserve">of proposed investment based on who controlled </w:t>
      </w:r>
      <w:r w:rsidR="00842EF3">
        <w:t xml:space="preserve">or likely controlled </w:t>
      </w:r>
      <w:r w:rsidR="00305505">
        <w:t>the investor</w:t>
      </w:r>
      <w:r w:rsidR="00FC4D9D">
        <w:t>, to the ultimate known underlying ownership of the investor</w:t>
      </w:r>
      <w:r w:rsidR="00023FE4">
        <w:t>;</w:t>
      </w:r>
    </w:p>
    <w:p w14:paraId="3562B702" w14:textId="2D3F075F" w:rsidR="00FC4D9D" w:rsidRDefault="00CA0831" w:rsidP="00CB54C2">
      <w:pPr>
        <w:pStyle w:val="Bullet"/>
      </w:pPr>
      <w:r>
        <w:t>A</w:t>
      </w:r>
      <w:r w:rsidR="00FC4D9D">
        <w:t xml:space="preserve">ppendix C sets out </w:t>
      </w:r>
      <w:r w:rsidR="00B8687A">
        <w:t xml:space="preserve">the </w:t>
      </w:r>
      <w:r w:rsidR="00FC4D9D">
        <w:t>examination and approval process</w:t>
      </w:r>
      <w:r w:rsidR="000940C9">
        <w:t xml:space="preserve"> for foreign investment applications</w:t>
      </w:r>
      <w:r w:rsidR="00FC4D9D">
        <w:t>; and</w:t>
      </w:r>
    </w:p>
    <w:p w14:paraId="308C15AF" w14:textId="761C4F27" w:rsidR="00CB54C2" w:rsidRPr="00C55F6D" w:rsidRDefault="00CA0831" w:rsidP="00C55F6D">
      <w:pPr>
        <w:pStyle w:val="Bullet"/>
      </w:pPr>
      <w:r>
        <w:t xml:space="preserve">Appendix </w:t>
      </w:r>
      <w:r w:rsidR="00FC4D9D">
        <w:t>D contains a glossary.</w:t>
      </w:r>
    </w:p>
    <w:p w14:paraId="1971C214" w14:textId="77777777" w:rsidR="00CB54C2" w:rsidRPr="00AA2126" w:rsidRDefault="00CB54C2" w:rsidP="00AA2126">
      <w:pPr>
        <w:sectPr w:rsidR="00CB54C2" w:rsidRPr="00AA2126" w:rsidSect="002B0765">
          <w:headerReference w:type="first" r:id="rId36"/>
          <w:type w:val="oddPage"/>
          <w:pgSz w:w="11907" w:h="16840" w:code="9"/>
          <w:pgMar w:top="2466" w:right="2098" w:bottom="2466" w:left="2098" w:header="1899" w:footer="1899" w:gutter="0"/>
          <w:pgNumType w:start="1"/>
          <w:cols w:space="720"/>
          <w:titlePg/>
          <w:docGrid w:linePitch="360"/>
        </w:sectPr>
      </w:pPr>
    </w:p>
    <w:p w14:paraId="4E128A42" w14:textId="40ECA36D" w:rsidR="004A4959" w:rsidRPr="00CB54C2" w:rsidRDefault="00CB54C2" w:rsidP="00E30A27">
      <w:pPr>
        <w:spacing w:after="0" w:line="240" w:lineRule="auto"/>
        <w:jc w:val="center"/>
        <w:rPr>
          <w:rFonts w:ascii="Calibri" w:hAnsi="Calibri"/>
          <w:color w:val="003E74"/>
        </w:rPr>
      </w:pPr>
      <w:r w:rsidRPr="00CB54C2">
        <w:rPr>
          <w:rFonts w:ascii="Calibri" w:hAnsi="Calibri"/>
          <w:noProof/>
          <w:color w:val="003E74"/>
        </w:rPr>
        <w:drawing>
          <wp:inline distT="0" distB="0" distL="0" distR="0" wp14:anchorId="6193FFCC" wp14:editId="63CD6F59">
            <wp:extent cx="4896000" cy="3059809"/>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B part pag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96000" cy="3059809"/>
                    </a:xfrm>
                    <a:prstGeom prst="rect">
                      <a:avLst/>
                    </a:prstGeom>
                  </pic:spPr>
                </pic:pic>
              </a:graphicData>
            </a:graphic>
          </wp:inline>
        </w:drawing>
      </w:r>
    </w:p>
    <w:p w14:paraId="1B094FF4" w14:textId="677BC498" w:rsidR="00E30A27" w:rsidRDefault="00E30A27" w:rsidP="00E30A27">
      <w:pPr>
        <w:pStyle w:val="Heading1"/>
      </w:pPr>
      <w:bookmarkStart w:id="52" w:name="_Toc536029365"/>
      <w:bookmarkStart w:id="53" w:name="_Toc529530633"/>
      <w:bookmarkStart w:id="54" w:name="_Toc529545230"/>
      <w:bookmarkStart w:id="55" w:name="_Toc529794996"/>
      <w:bookmarkStart w:id="56" w:name="_Toc529802479"/>
      <w:bookmarkStart w:id="57" w:name="_Toc529878054"/>
      <w:bookmarkStart w:id="58" w:name="_Toc529879278"/>
      <w:bookmarkStart w:id="59" w:name="_Toc529882543"/>
      <w:bookmarkStart w:id="60" w:name="_Toc529885214"/>
      <w:bookmarkStart w:id="61" w:name="_Toc529890686"/>
      <w:bookmarkStart w:id="62" w:name="_Toc529970057"/>
      <w:bookmarkStart w:id="63" w:name="_Toc529979412"/>
      <w:bookmarkStart w:id="64" w:name="_Toc530050457"/>
      <w:bookmarkStart w:id="65" w:name="_Toc530065536"/>
      <w:bookmarkStart w:id="66" w:name="_Toc530066364"/>
      <w:bookmarkStart w:id="67" w:name="_Toc530145084"/>
      <w:bookmarkStart w:id="68" w:name="_Toc530146054"/>
      <w:bookmarkStart w:id="69" w:name="_Toc530146975"/>
      <w:bookmarkStart w:id="70" w:name="_Toc530148333"/>
      <w:bookmarkStart w:id="71" w:name="_Toc530148534"/>
      <w:bookmarkStart w:id="72" w:name="_Toc530149206"/>
      <w:bookmarkStart w:id="73" w:name="_Toc530149777"/>
      <w:bookmarkStart w:id="74" w:name="_Toc532207320"/>
      <w:bookmarkStart w:id="75" w:name="_Toc532217708"/>
      <w:bookmarkStart w:id="76" w:name="_Toc532218729"/>
      <w:bookmarkStart w:id="77" w:name="_Toc532219041"/>
      <w:bookmarkStart w:id="78" w:name="_Toc532223725"/>
      <w:bookmarkStart w:id="79" w:name="_Toc532224184"/>
      <w:bookmarkStart w:id="80" w:name="_Toc532226663"/>
      <w:bookmarkStart w:id="81" w:name="_Toc1120387"/>
      <w:bookmarkStart w:id="82" w:name="_Toc1121958"/>
      <w:r>
        <w:t>Chapter One: The Foreign Investment</w:t>
      </w:r>
      <w:bookmarkEnd w:id="52"/>
      <w:r>
        <w:t xml:space="preserve"> </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AD3C90" w:rsidRPr="00AD3C90">
        <w:t>Review</w:t>
      </w:r>
      <w:r w:rsidR="00AD3C90">
        <w:t xml:space="preserve"> Board</w:t>
      </w:r>
      <w:bookmarkEnd w:id="81"/>
      <w:bookmarkEnd w:id="82"/>
    </w:p>
    <w:p w14:paraId="13B696C6" w14:textId="0F5AC0B6" w:rsidR="00CB54C2" w:rsidRPr="00CB54C2" w:rsidRDefault="00CB54C2" w:rsidP="00CB54C2">
      <w:r w:rsidRPr="00CB54C2">
        <w:t xml:space="preserve">This chapter provides an overview of the </w:t>
      </w:r>
      <w:r w:rsidR="000E67C2">
        <w:t xml:space="preserve">Board </w:t>
      </w:r>
      <w:r w:rsidRPr="00CB54C2">
        <w:t xml:space="preserve">and FIRB agencies, including details on the </w:t>
      </w:r>
      <w:r w:rsidR="00A43395">
        <w:t>Board’s</w:t>
      </w:r>
      <w:r w:rsidRPr="00CB54C2">
        <w:t xml:space="preserve"> responsibilities, the </w:t>
      </w:r>
      <w:r w:rsidR="00A43395">
        <w:t>Board</w:t>
      </w:r>
      <w:r w:rsidRPr="00CB54C2">
        <w:t>’s membership and operational costs.</w:t>
      </w:r>
    </w:p>
    <w:p w14:paraId="5EC2DB3B" w14:textId="494A092D" w:rsidR="00CB54C2" w:rsidRPr="00CB54C2" w:rsidRDefault="00CB54C2" w:rsidP="00CB54C2">
      <w:pPr>
        <w:rPr>
          <w:szCs w:val="24"/>
        </w:rPr>
      </w:pPr>
      <w:r w:rsidRPr="00CB54C2">
        <w:t xml:space="preserve">The </w:t>
      </w:r>
      <w:r w:rsidR="00A43395">
        <w:t>Board</w:t>
      </w:r>
      <w:r w:rsidRPr="00CB54C2">
        <w:t xml:space="preserve"> is a non-statutory body established in 1976 to advise the Treasurer and the Government on foreign investment matters. The </w:t>
      </w:r>
      <w:r w:rsidR="002653B1">
        <w:t>Board</w:t>
      </w:r>
      <w:r w:rsidRPr="00CB54C2">
        <w:t xml:space="preserve">’s functions are advisory only. The </w:t>
      </w:r>
      <w:r w:rsidR="00A43395">
        <w:t>Board</w:t>
      </w:r>
      <w:r w:rsidRPr="00CB54C2">
        <w:t xml:space="preserve"> does not make binding decisions on foreign investment for government. Responsibility for making decisions on foreign investment policy and investment proposals rests with the </w:t>
      </w:r>
      <w:r w:rsidRPr="00CB54C2">
        <w:rPr>
          <w:szCs w:val="24"/>
        </w:rPr>
        <w:t>Treasurer.</w:t>
      </w:r>
      <w:r w:rsidR="00654118">
        <w:rPr>
          <w:rStyle w:val="FootnoteReference"/>
        </w:rPr>
        <w:footnoteReference w:id="3"/>
      </w:r>
    </w:p>
    <w:p w14:paraId="74615433" w14:textId="2124400E" w:rsidR="00CB54C2" w:rsidRPr="00CB54C2" w:rsidRDefault="00CB54C2" w:rsidP="00CB54C2">
      <w:pPr>
        <w:rPr>
          <w:szCs w:val="24"/>
        </w:rPr>
      </w:pPr>
      <w:r w:rsidRPr="00CB54C2">
        <w:rPr>
          <w:szCs w:val="24"/>
        </w:rPr>
        <w:t xml:space="preserve">During </w:t>
      </w:r>
      <w:r w:rsidRPr="00CB54C2">
        <w:t xml:space="preserve">2017–18, the </w:t>
      </w:r>
      <w:r w:rsidR="00A43395">
        <w:t>Board</w:t>
      </w:r>
      <w:r w:rsidRPr="00CB54C2">
        <w:t xml:space="preserve"> comprised </w:t>
      </w:r>
      <w:r w:rsidR="00D82F7E" w:rsidRPr="00CB54C2">
        <w:t>six</w:t>
      </w:r>
      <w:r w:rsidR="00D82F7E">
        <w:t xml:space="preserve"> </w:t>
      </w:r>
      <w:r w:rsidRPr="00CB54C2">
        <w:t>par</w:t>
      </w:r>
      <w:r w:rsidR="00E269FA">
        <w:t>t-time members and a full-time executive m</w:t>
      </w:r>
      <w:r w:rsidRPr="00CB54C2">
        <w:t xml:space="preserve">ember—the </w:t>
      </w:r>
      <w:r w:rsidR="00E269FA">
        <w:t>h</w:t>
      </w:r>
      <w:r w:rsidRPr="00CB54C2">
        <w:t>ead of Treasury’s Foreign Investment Division</w:t>
      </w:r>
      <w:r w:rsidRPr="00CB54C2">
        <w:rPr>
          <w:szCs w:val="24"/>
        </w:rPr>
        <w:t xml:space="preserve">. The Government seeks to attract members to the </w:t>
      </w:r>
      <w:r w:rsidR="00A43395">
        <w:rPr>
          <w:szCs w:val="24"/>
        </w:rPr>
        <w:t>Board</w:t>
      </w:r>
      <w:r w:rsidRPr="00CB54C2">
        <w:rPr>
          <w:szCs w:val="24"/>
        </w:rPr>
        <w:t xml:space="preserve"> with deep knowledge and experience in a range of sectors that can actively contribute to </w:t>
      </w:r>
      <w:r w:rsidRPr="00CB54C2" w:rsidDel="00654118">
        <w:rPr>
          <w:szCs w:val="24"/>
        </w:rPr>
        <w:t xml:space="preserve">the </w:t>
      </w:r>
      <w:r w:rsidR="00A43395">
        <w:rPr>
          <w:szCs w:val="24"/>
        </w:rPr>
        <w:t>Board</w:t>
      </w:r>
      <w:r w:rsidRPr="00CB54C2">
        <w:rPr>
          <w:szCs w:val="24"/>
        </w:rPr>
        <w:t>’s responsibilities. Strong probity procedures are in place to</w:t>
      </w:r>
      <w:r w:rsidR="00D25CFC">
        <w:rPr>
          <w:szCs w:val="24"/>
        </w:rPr>
        <w:t xml:space="preserve"> </w:t>
      </w:r>
      <w:r w:rsidRPr="00CB54C2">
        <w:rPr>
          <w:szCs w:val="24"/>
        </w:rPr>
        <w:t>ensure any conflicts of interest that may occur are managed appropriately.</w:t>
      </w:r>
    </w:p>
    <w:p w14:paraId="54E82CB3" w14:textId="43F49B25" w:rsidR="00CB54C2" w:rsidRPr="00CB54C2" w:rsidRDefault="00CB54C2" w:rsidP="00CB54C2">
      <w:bookmarkStart w:id="83" w:name="_Toc513122747"/>
      <w:bookmarkStart w:id="84" w:name="_Toc513131317"/>
      <w:r w:rsidRPr="00CB54C2">
        <w:t xml:space="preserve">The </w:t>
      </w:r>
      <w:r w:rsidR="002A792D">
        <w:t>Board</w:t>
      </w:r>
      <w:r w:rsidRPr="00CB54C2">
        <w:t xml:space="preserve"> considers all applications </w:t>
      </w:r>
      <w:r w:rsidR="00CA21BE">
        <w:t>that are provided to</w:t>
      </w:r>
      <w:r w:rsidRPr="00CB54C2">
        <w:t xml:space="preserve"> the Treasurer</w:t>
      </w:r>
      <w:r w:rsidR="00CA21BE">
        <w:t xml:space="preserve"> for decision</w:t>
      </w:r>
      <w:r w:rsidRPr="00CB54C2">
        <w:t xml:space="preserve">. To facilitate its advice, the </w:t>
      </w:r>
      <w:r w:rsidR="002A792D">
        <w:t>Board</w:t>
      </w:r>
      <w:r w:rsidRPr="00CB54C2">
        <w:t xml:space="preserve"> meets face-to-face monthl</w:t>
      </w:r>
      <w:r w:rsidR="00B8687A">
        <w:t>y, weekly by telephone, and out</w:t>
      </w:r>
      <w:r w:rsidR="00B8687A">
        <w:noBreakHyphen/>
      </w:r>
      <w:r w:rsidRPr="00CB54C2">
        <w:t>of</w:t>
      </w:r>
      <w:r w:rsidR="00B8687A">
        <w:noBreakHyphen/>
      </w:r>
      <w:r w:rsidRPr="00CB54C2">
        <w:t xml:space="preserve">session via email. </w:t>
      </w:r>
      <w:r w:rsidR="00CF302B">
        <w:t>Appendix </w:t>
      </w:r>
      <w:r w:rsidR="00D25CFC">
        <w:t>A lists</w:t>
      </w:r>
      <w:r w:rsidRPr="00CB54C2">
        <w:t xml:space="preserve"> </w:t>
      </w:r>
      <w:r w:rsidR="002A792D">
        <w:t>Board</w:t>
      </w:r>
      <w:r w:rsidRPr="00CB54C2">
        <w:t xml:space="preserve"> members’ attendance for </w:t>
      </w:r>
      <w:r w:rsidR="00580003">
        <w:t>the</w:t>
      </w:r>
      <w:r w:rsidRPr="00CB54C2">
        <w:t xml:space="preserve"> monthly face-to-face meeting</w:t>
      </w:r>
      <w:r w:rsidR="00580003">
        <w:t>s</w:t>
      </w:r>
      <w:r w:rsidRPr="00CB54C2">
        <w:t xml:space="preserve"> during the reporting period.</w:t>
      </w:r>
    </w:p>
    <w:p w14:paraId="454782E7" w14:textId="3EE8F341" w:rsidR="00CB54C2" w:rsidRPr="00CB54C2" w:rsidRDefault="009A02EA" w:rsidP="003C2223">
      <w:pPr>
        <w:pStyle w:val="Heading2"/>
        <w:rPr>
          <w:rFonts w:eastAsiaTheme="majorEastAsia"/>
          <w:b w:val="0"/>
        </w:rPr>
      </w:pPr>
      <w:bookmarkStart w:id="85" w:name="_Toc529545231"/>
      <w:bookmarkStart w:id="86" w:name="_Toc529794997"/>
      <w:bookmarkStart w:id="87" w:name="_Toc529802480"/>
      <w:bookmarkStart w:id="88" w:name="_Toc529878055"/>
      <w:bookmarkStart w:id="89" w:name="_Toc529879279"/>
      <w:bookmarkStart w:id="90" w:name="_Toc529882544"/>
      <w:bookmarkStart w:id="91" w:name="_Toc529885215"/>
      <w:bookmarkStart w:id="92" w:name="_Toc529890687"/>
      <w:bookmarkStart w:id="93" w:name="_Toc529970058"/>
      <w:bookmarkStart w:id="94" w:name="_Toc529979413"/>
      <w:bookmarkStart w:id="95" w:name="_Toc530050458"/>
      <w:bookmarkStart w:id="96" w:name="_Toc530065537"/>
      <w:bookmarkStart w:id="97" w:name="_Toc530066365"/>
      <w:bookmarkStart w:id="98" w:name="_Toc530145085"/>
      <w:bookmarkStart w:id="99" w:name="_Toc530146055"/>
      <w:bookmarkStart w:id="100" w:name="_Toc530146976"/>
      <w:bookmarkStart w:id="101" w:name="_Toc530148334"/>
      <w:bookmarkStart w:id="102" w:name="_Toc530148535"/>
      <w:bookmarkStart w:id="103" w:name="_Toc530149207"/>
      <w:bookmarkStart w:id="104" w:name="_Toc530149778"/>
      <w:bookmarkStart w:id="105" w:name="_Toc532207321"/>
      <w:bookmarkStart w:id="106" w:name="_Toc532217709"/>
      <w:bookmarkStart w:id="107" w:name="_Toc532218730"/>
      <w:bookmarkStart w:id="108" w:name="_Toc532219042"/>
      <w:bookmarkStart w:id="109" w:name="_Toc532223726"/>
      <w:bookmarkStart w:id="110" w:name="_Toc532224185"/>
      <w:bookmarkStart w:id="111" w:name="_Toc532226664"/>
      <w:bookmarkStart w:id="112" w:name="_Toc536029366"/>
      <w:bookmarkStart w:id="113" w:name="_Toc1120388"/>
      <w:bookmarkStart w:id="114" w:name="_Toc1121959"/>
      <w:bookmarkStart w:id="115" w:name="_Toc513456050"/>
      <w:bookmarkStart w:id="116" w:name="_Toc513457296"/>
      <w:bookmarkStart w:id="117" w:name="_Toc513557374"/>
      <w:bookmarkStart w:id="118" w:name="_Toc513559390"/>
      <w:r>
        <w:rPr>
          <w:rFonts w:eastAsiaTheme="majorEastAsia"/>
        </w:rPr>
        <w:t>FIRB</w:t>
      </w:r>
      <w:r w:rsidR="00CB54C2" w:rsidRPr="00CB54C2">
        <w:rPr>
          <w:rFonts w:eastAsiaTheme="majorEastAsia"/>
        </w:rPr>
        <w:t xml:space="preserve"> </w:t>
      </w:r>
      <w:r w:rsidR="00CB54C2" w:rsidRPr="003C2223">
        <w:rPr>
          <w:rFonts w:eastAsiaTheme="majorEastAsia"/>
        </w:rPr>
        <w:t>responsibilities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375B9FF" w14:textId="419694F2" w:rsidR="00CB54C2" w:rsidRPr="00CB54C2" w:rsidRDefault="00CB54C2" w:rsidP="00CB54C2">
      <w:pPr>
        <w:spacing w:line="240" w:lineRule="auto"/>
        <w:ind w:left="284" w:hanging="284"/>
        <w:jc w:val="left"/>
      </w:pPr>
      <w:r w:rsidRPr="00CB54C2">
        <w:t xml:space="preserve">The role of the </w:t>
      </w:r>
      <w:r w:rsidR="002A792D">
        <w:t>Board</w:t>
      </w:r>
      <w:r w:rsidRPr="00CB54C2">
        <w:t xml:space="preserve"> is to:</w:t>
      </w:r>
    </w:p>
    <w:p w14:paraId="366D62EC" w14:textId="1847382B" w:rsidR="00CB54C2" w:rsidRPr="00CB54C2" w:rsidRDefault="00CB54C2" w:rsidP="00930EC8">
      <w:pPr>
        <w:pStyle w:val="Bullet"/>
      </w:pPr>
      <w:r w:rsidRPr="00CB54C2">
        <w:t xml:space="preserve">examine proposed investments that are subject to the </w:t>
      </w:r>
      <w:r w:rsidRPr="00CB54C2">
        <w:rPr>
          <w:i/>
        </w:rPr>
        <w:t>Foreign</w:t>
      </w:r>
      <w:r w:rsidR="008D2C52">
        <w:rPr>
          <w:i/>
        </w:rPr>
        <w:t xml:space="preserve"> </w:t>
      </w:r>
      <w:r w:rsidRPr="00CB54C2">
        <w:rPr>
          <w:i/>
        </w:rPr>
        <w:t>Acquisitions and Takeovers Act 1975</w:t>
      </w:r>
      <w:r w:rsidRPr="00CB54C2">
        <w:t xml:space="preserve"> (the Act) and supporting legislation, and to make recommendations to the Treasurer and other Treasury portfolio ministers on the national interest implications of these proposals;</w:t>
      </w:r>
    </w:p>
    <w:p w14:paraId="1D78D82B" w14:textId="34A75E40" w:rsidR="00CB54C2" w:rsidRPr="00CB54C2" w:rsidRDefault="00CB54C2" w:rsidP="00930EC8">
      <w:pPr>
        <w:pStyle w:val="Bullet"/>
      </w:pPr>
      <w:r w:rsidRPr="00CB54C2">
        <w:t>provide advice on the operation of the foreign investment framework and related matters;</w:t>
      </w:r>
    </w:p>
    <w:p w14:paraId="4009BAB2" w14:textId="78718DA9" w:rsidR="00CB54C2" w:rsidRPr="00CB54C2" w:rsidRDefault="00CB54C2" w:rsidP="00930EC8">
      <w:pPr>
        <w:pStyle w:val="Bullet"/>
      </w:pPr>
      <w:r w:rsidRPr="00CB54C2">
        <w:t>foster awareness and understanding, both in Australia and abroad, of Austra</w:t>
      </w:r>
      <w:r w:rsidRPr="003631F0">
        <w:rPr>
          <w:color w:val="auto"/>
        </w:rPr>
        <w:t>li</w:t>
      </w:r>
      <w:r w:rsidRPr="00CB54C2">
        <w:t xml:space="preserve">a’s </w:t>
      </w:r>
      <w:r w:rsidR="00BC4E47">
        <w:t xml:space="preserve">foreign investment </w:t>
      </w:r>
      <w:r w:rsidRPr="00CB54C2">
        <w:t>policy;</w:t>
      </w:r>
    </w:p>
    <w:p w14:paraId="504C06AB" w14:textId="77777777" w:rsidR="00CB54C2" w:rsidRPr="00CB54C2" w:rsidRDefault="00CB54C2" w:rsidP="00930EC8">
      <w:pPr>
        <w:pStyle w:val="Bullet"/>
      </w:pPr>
      <w:r w:rsidRPr="00CB54C2">
        <w:t>provide guidance to foreign persons and their representatives or agents on the operation of the foreign investment framework; and</w:t>
      </w:r>
    </w:p>
    <w:p w14:paraId="0FA8BD51" w14:textId="77777777" w:rsidR="00CB54C2" w:rsidRPr="00CB54C2" w:rsidRDefault="00CB54C2" w:rsidP="00930EC8">
      <w:pPr>
        <w:pStyle w:val="Bullet"/>
      </w:pPr>
      <w:r w:rsidRPr="00CB54C2">
        <w:t>monitor and ensure compliance with the foreign investment framework.</w:t>
      </w:r>
    </w:p>
    <w:p w14:paraId="082EEDDD" w14:textId="52FA9E35" w:rsidR="00CB54C2" w:rsidRPr="00CB54C2" w:rsidRDefault="009A02EA" w:rsidP="003C2223">
      <w:pPr>
        <w:pStyle w:val="Heading2"/>
        <w:rPr>
          <w:rFonts w:eastAsiaTheme="majorEastAsia"/>
          <w:b w:val="0"/>
        </w:rPr>
      </w:pPr>
      <w:bookmarkStart w:id="119" w:name="_Toc532217710"/>
      <w:bookmarkStart w:id="120" w:name="_Toc532224186"/>
      <w:bookmarkStart w:id="121" w:name="_Toc532226665"/>
      <w:bookmarkStart w:id="122" w:name="_Toc529530634"/>
      <w:bookmarkStart w:id="123" w:name="_Toc529545232"/>
      <w:bookmarkStart w:id="124" w:name="_Toc529794998"/>
      <w:bookmarkStart w:id="125" w:name="_Toc529802481"/>
      <w:bookmarkStart w:id="126" w:name="_Toc529878056"/>
      <w:bookmarkStart w:id="127" w:name="_Toc529879280"/>
      <w:bookmarkStart w:id="128" w:name="_Toc529882545"/>
      <w:bookmarkStart w:id="129" w:name="_Toc529885216"/>
      <w:bookmarkStart w:id="130" w:name="_Toc529890688"/>
      <w:bookmarkStart w:id="131" w:name="_Toc529970059"/>
      <w:bookmarkStart w:id="132" w:name="_Toc529979414"/>
      <w:bookmarkStart w:id="133" w:name="_Toc530050459"/>
      <w:bookmarkStart w:id="134" w:name="_Toc530065538"/>
      <w:bookmarkStart w:id="135" w:name="_Toc530066366"/>
      <w:bookmarkStart w:id="136" w:name="_Toc530145086"/>
      <w:bookmarkStart w:id="137" w:name="_Toc530146056"/>
      <w:bookmarkStart w:id="138" w:name="_Toc530146977"/>
      <w:bookmarkStart w:id="139" w:name="_Toc530148335"/>
      <w:bookmarkStart w:id="140" w:name="_Toc530148536"/>
      <w:bookmarkStart w:id="141" w:name="_Toc530149208"/>
      <w:bookmarkStart w:id="142" w:name="_Toc530149779"/>
      <w:bookmarkStart w:id="143" w:name="_Toc532207322"/>
      <w:bookmarkStart w:id="144" w:name="_Toc532218731"/>
      <w:bookmarkStart w:id="145" w:name="_Toc532219043"/>
      <w:bookmarkStart w:id="146" w:name="_Toc532223727"/>
      <w:bookmarkStart w:id="147" w:name="_Toc536029367"/>
      <w:bookmarkStart w:id="148" w:name="_Toc1120389"/>
      <w:bookmarkStart w:id="149" w:name="_Toc1121960"/>
      <w:r>
        <w:rPr>
          <w:rFonts w:eastAsiaTheme="majorEastAsia"/>
        </w:rPr>
        <w:t>FIRB</w:t>
      </w:r>
      <w:r w:rsidR="00CB54C2" w:rsidRPr="00CB54C2">
        <w:rPr>
          <w:rFonts w:eastAsiaTheme="majorEastAsia"/>
        </w:rPr>
        <w:t xml:space="preserve"> </w:t>
      </w:r>
      <w:r w:rsidR="00CB54C2" w:rsidRPr="003C2223">
        <w:rPr>
          <w:rFonts w:eastAsiaTheme="majorEastAsia"/>
        </w:rPr>
        <w:t>membership</w:t>
      </w:r>
      <w:bookmarkEnd w:id="83"/>
      <w:bookmarkEnd w:id="8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0B67FD32" w14:textId="404C29CD" w:rsidR="00CB54C2" w:rsidRPr="00CB54C2" w:rsidRDefault="00701E4C" w:rsidP="00CB54C2">
      <w:pPr>
        <w:rPr>
          <w:rFonts w:eastAsiaTheme="majorEastAsia"/>
        </w:rPr>
      </w:pPr>
      <w:r>
        <w:rPr>
          <w:lang w:val="en-US"/>
        </w:rPr>
        <w:t>As at 30 June 2018, t</w:t>
      </w:r>
      <w:r w:rsidRPr="00CB54C2">
        <w:rPr>
          <w:lang w:val="en-US"/>
        </w:rPr>
        <w:t>he Board comprise</w:t>
      </w:r>
      <w:r>
        <w:rPr>
          <w:lang w:val="en-US"/>
        </w:rPr>
        <w:t>d</w:t>
      </w:r>
      <w:r w:rsidR="00CB54C2" w:rsidRPr="00CB54C2">
        <w:rPr>
          <w:lang w:val="en-US"/>
        </w:rPr>
        <w:t xml:space="preserve"> </w:t>
      </w:r>
      <w:r w:rsidR="002C0526">
        <w:rPr>
          <w:lang w:val="en-US"/>
        </w:rPr>
        <w:t xml:space="preserve">the following </w:t>
      </w:r>
      <w:r w:rsidR="001D1CD2">
        <w:rPr>
          <w:lang w:val="en-US"/>
        </w:rPr>
        <w:t>six part-time members and a full-time executive m</w:t>
      </w:r>
      <w:r w:rsidR="00CB54C2" w:rsidRPr="00CB54C2">
        <w:rPr>
          <w:lang w:val="en-US"/>
        </w:rPr>
        <w:t>ember.</w:t>
      </w:r>
    </w:p>
    <w:p w14:paraId="2F692CB3" w14:textId="0AA9FFBF" w:rsidR="00CB54C2" w:rsidRPr="00CB54C2" w:rsidRDefault="00CB54C2" w:rsidP="00654BAA">
      <w:pPr>
        <w:pStyle w:val="Bullet"/>
      </w:pPr>
      <w:r w:rsidRPr="00CB54C2">
        <w:t>Mr David Irvine AO (Chair)</w:t>
      </w:r>
    </w:p>
    <w:p w14:paraId="70E49814" w14:textId="77777777" w:rsidR="00CB54C2" w:rsidRPr="00CB54C2" w:rsidRDefault="00CB54C2" w:rsidP="00654BAA">
      <w:pPr>
        <w:pStyle w:val="Bullet"/>
      </w:pPr>
      <w:r w:rsidRPr="00CB54C2">
        <w:t>Mr Patrick Secker</w:t>
      </w:r>
    </w:p>
    <w:p w14:paraId="0CAB3B4B" w14:textId="77777777" w:rsidR="00CB54C2" w:rsidRPr="00CB54C2" w:rsidRDefault="00CB54C2" w:rsidP="00654BAA">
      <w:pPr>
        <w:pStyle w:val="Bullet"/>
      </w:pPr>
      <w:r w:rsidRPr="00CB54C2">
        <w:t>Ms Alice Williams</w:t>
      </w:r>
    </w:p>
    <w:p w14:paraId="200E61AC" w14:textId="77777777" w:rsidR="00CB54C2" w:rsidRPr="00CB54C2" w:rsidRDefault="00CB54C2" w:rsidP="00654BAA">
      <w:pPr>
        <w:pStyle w:val="Bullet"/>
      </w:pPr>
      <w:r w:rsidRPr="00CB54C2">
        <w:t xml:space="preserve">Mr David </w:t>
      </w:r>
      <w:proofErr w:type="spellStart"/>
      <w:r w:rsidRPr="00CB54C2">
        <w:t>Peever</w:t>
      </w:r>
      <w:proofErr w:type="spellEnd"/>
    </w:p>
    <w:p w14:paraId="62C5CA84" w14:textId="1854285A" w:rsidR="00CB54C2" w:rsidRPr="00CB54C2" w:rsidRDefault="00D14113" w:rsidP="00654BAA">
      <w:pPr>
        <w:pStyle w:val="Bullet"/>
      </w:pPr>
      <w:r>
        <w:t>The Hon</w:t>
      </w:r>
      <w:r w:rsidR="00CB54C2" w:rsidRPr="00CB54C2">
        <w:t xml:space="preserve"> Cheryl Edwardes AM</w:t>
      </w:r>
    </w:p>
    <w:p w14:paraId="58F70B49" w14:textId="77777777" w:rsidR="00CB54C2" w:rsidRPr="00CB54C2" w:rsidRDefault="00CB54C2" w:rsidP="00654BAA">
      <w:pPr>
        <w:pStyle w:val="Bullet"/>
      </w:pPr>
      <w:r w:rsidRPr="00CB54C2">
        <w:t>Ms Teresa Dyson</w:t>
      </w:r>
    </w:p>
    <w:p w14:paraId="1878C77D" w14:textId="4425249A" w:rsidR="00CB54C2" w:rsidRPr="00CB54C2" w:rsidRDefault="001D1CD2" w:rsidP="00654BAA">
      <w:pPr>
        <w:pStyle w:val="Bullet"/>
      </w:pPr>
      <w:r>
        <w:t>Mr Roger Brake (full-time executive m</w:t>
      </w:r>
      <w:r w:rsidR="00CB54C2" w:rsidRPr="00CB54C2">
        <w:t>ember)</w:t>
      </w:r>
    </w:p>
    <w:p w14:paraId="4CE4E46D" w14:textId="77777777" w:rsidR="00C411BC" w:rsidRDefault="00C411BC" w:rsidP="00C411BC">
      <w:pPr>
        <w:rPr>
          <w:lang w:val="en-US"/>
        </w:rPr>
      </w:pPr>
      <w:bookmarkStart w:id="150" w:name="_Toc513122748"/>
      <w:bookmarkStart w:id="151" w:name="_Toc513131318"/>
      <w:bookmarkStart w:id="152" w:name="_Toc513456051"/>
      <w:bookmarkStart w:id="153" w:name="_Toc513457297"/>
      <w:bookmarkStart w:id="154" w:name="_Toc513557375"/>
      <w:bookmarkStart w:id="155" w:name="_Toc513559391"/>
      <w:proofErr w:type="spellStart"/>
      <w:r w:rsidRPr="00C411BC">
        <w:rPr>
          <w:lang w:val="en-US"/>
        </w:rPr>
        <w:t>Mr</w:t>
      </w:r>
      <w:proofErr w:type="spellEnd"/>
      <w:r w:rsidRPr="00C411BC">
        <w:rPr>
          <w:lang w:val="en-US"/>
        </w:rPr>
        <w:t xml:space="preserve"> Michael </w:t>
      </w:r>
      <w:proofErr w:type="spellStart"/>
      <w:r w:rsidRPr="00C411BC">
        <w:rPr>
          <w:lang w:val="en-US"/>
        </w:rPr>
        <w:t>D’Ascenzo</w:t>
      </w:r>
      <w:proofErr w:type="spellEnd"/>
      <w:r w:rsidRPr="00C411BC">
        <w:rPr>
          <w:lang w:val="en-US"/>
        </w:rPr>
        <w:t xml:space="preserve"> AO’s term expired on 1 January 2018 and </w:t>
      </w:r>
      <w:proofErr w:type="spellStart"/>
      <w:r w:rsidRPr="00C411BC">
        <w:rPr>
          <w:lang w:val="en-US"/>
        </w:rPr>
        <w:t>Ms</w:t>
      </w:r>
      <w:proofErr w:type="spellEnd"/>
      <w:r w:rsidRPr="00C411BC">
        <w:rPr>
          <w:lang w:val="en-US"/>
        </w:rPr>
        <w:t xml:space="preserve"> Dyson was appointed on 2 January 2018.</w:t>
      </w:r>
    </w:p>
    <w:p w14:paraId="42346D84" w14:textId="6F64CCF8" w:rsidR="0048667E" w:rsidRPr="00C411BC" w:rsidRDefault="006F1109" w:rsidP="00C411BC">
      <w:pPr>
        <w:rPr>
          <w:lang w:val="en-US"/>
        </w:rPr>
      </w:pPr>
      <w:r>
        <w:rPr>
          <w:lang w:val="en-US"/>
        </w:rPr>
        <w:t xml:space="preserve">Since the end of the financial year, </w:t>
      </w:r>
      <w:proofErr w:type="spellStart"/>
      <w:r w:rsidR="0048667E" w:rsidRPr="00C411BC">
        <w:rPr>
          <w:lang w:val="en-US"/>
        </w:rPr>
        <w:t>Mr</w:t>
      </w:r>
      <w:proofErr w:type="spellEnd"/>
      <w:r w:rsidR="0048667E" w:rsidRPr="00C411BC">
        <w:rPr>
          <w:lang w:val="en-US"/>
        </w:rPr>
        <w:t xml:space="preserve"> Patrick Secker’s term expired on 16 December 2018 and </w:t>
      </w:r>
      <w:proofErr w:type="spellStart"/>
      <w:r w:rsidR="0048667E" w:rsidRPr="00C411BC">
        <w:rPr>
          <w:lang w:val="en-US"/>
        </w:rPr>
        <w:t>Mr</w:t>
      </w:r>
      <w:proofErr w:type="spellEnd"/>
      <w:r w:rsidR="0048667E" w:rsidRPr="00C411BC">
        <w:rPr>
          <w:lang w:val="en-US"/>
        </w:rPr>
        <w:t xml:space="preserve"> Nick Minchin was appointed </w:t>
      </w:r>
      <w:r w:rsidR="009269DD">
        <w:rPr>
          <w:lang w:val="en-US"/>
        </w:rPr>
        <w:t>from</w:t>
      </w:r>
      <w:r w:rsidR="009269DD" w:rsidRPr="00C411BC">
        <w:rPr>
          <w:lang w:val="en-US"/>
        </w:rPr>
        <w:t xml:space="preserve"> </w:t>
      </w:r>
      <w:r w:rsidR="0048667E" w:rsidRPr="00C411BC">
        <w:rPr>
          <w:lang w:val="en-US"/>
        </w:rPr>
        <w:t>17</w:t>
      </w:r>
      <w:r w:rsidR="0048667E">
        <w:rPr>
          <w:lang w:val="en-US"/>
        </w:rPr>
        <w:t> </w:t>
      </w:r>
      <w:r w:rsidR="0048667E" w:rsidRPr="00C411BC">
        <w:rPr>
          <w:lang w:val="en-US"/>
        </w:rPr>
        <w:t>December 2018.</w:t>
      </w:r>
    </w:p>
    <w:p w14:paraId="01B398C2" w14:textId="1E4E1689" w:rsidR="00792B59" w:rsidRDefault="002E0E49" w:rsidP="00241E7E">
      <w:pPr>
        <w:pStyle w:val="ChartGraphic"/>
        <w:spacing w:after="60"/>
      </w:pPr>
      <w:bookmarkStart w:id="156" w:name="_Toc512259051"/>
      <w:bookmarkStart w:id="157" w:name="_Toc512523473"/>
      <w:bookmarkStart w:id="158" w:name="_Toc512524842"/>
      <w:bookmarkEnd w:id="150"/>
      <w:bookmarkEnd w:id="151"/>
      <w:bookmarkEnd w:id="152"/>
      <w:bookmarkEnd w:id="153"/>
      <w:bookmarkEnd w:id="154"/>
      <w:bookmarkEnd w:id="155"/>
      <w:r>
        <w:rPr>
          <w:noProof/>
        </w:rPr>
        <w:drawing>
          <wp:inline distT="0" distB="0" distL="0" distR="0" wp14:anchorId="51039D88" wp14:editId="296DE942">
            <wp:extent cx="4860000" cy="2771432"/>
            <wp:effectExtent l="0" t="0" r="0" b="0"/>
            <wp:docPr id="51" name="Picture 51" descr="\\tweb\DavWWWRoot\sites\mg\fitpd\Lfirbannualrport\2017-18\Design\Photos\020A0639_background_p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b\DavWWWRoot\sites\mg\fitpd\Lfirbannualrport\2017-18\Design\Photos\020A0639_background_proof.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633" t="4842" r="3345"/>
                    <a:stretch/>
                  </pic:blipFill>
                  <pic:spPr bwMode="auto">
                    <a:xfrm>
                      <a:off x="0" y="0"/>
                      <a:ext cx="4860000" cy="2771432"/>
                    </a:xfrm>
                    <a:prstGeom prst="rect">
                      <a:avLst/>
                    </a:prstGeom>
                    <a:noFill/>
                    <a:ln>
                      <a:noFill/>
                    </a:ln>
                    <a:extLst>
                      <a:ext uri="{53640926-AAD7-44D8-BBD7-CCE9431645EC}">
                        <a14:shadowObscured xmlns:a14="http://schemas.microsoft.com/office/drawing/2010/main"/>
                      </a:ext>
                    </a:extLst>
                  </pic:spPr>
                </pic:pic>
              </a:graphicData>
            </a:graphic>
          </wp:inline>
        </w:drawing>
      </w:r>
    </w:p>
    <w:p w14:paraId="6300F4C5" w14:textId="6FCD32B4" w:rsidR="001D1CD2" w:rsidRPr="00F107CE" w:rsidRDefault="001D1CD2" w:rsidP="00175A21">
      <w:pPr>
        <w:pStyle w:val="ChartorTableNote"/>
      </w:pPr>
      <w:bookmarkStart w:id="159" w:name="_Toc513021731"/>
      <w:bookmarkStart w:id="160" w:name="_Toc513122749"/>
      <w:bookmarkStart w:id="161" w:name="_Toc513131319"/>
      <w:bookmarkStart w:id="162" w:name="_Toc513456052"/>
      <w:bookmarkStart w:id="163" w:name="_Toc513457298"/>
      <w:bookmarkStart w:id="164" w:name="_Toc513557376"/>
      <w:bookmarkStart w:id="165" w:name="_Toc513559392"/>
      <w:r>
        <w:t xml:space="preserve">The </w:t>
      </w:r>
      <w:r w:rsidR="009A02EA">
        <w:t>FIRB</w:t>
      </w:r>
      <w:r>
        <w:t xml:space="preserve">; (left to right, </w:t>
      </w:r>
      <w:r w:rsidR="00F107CE" w:rsidRPr="00F107CE">
        <w:t>back row) Patrick Secker, Roger Brak</w:t>
      </w:r>
      <w:r>
        <w:t xml:space="preserve">e, David </w:t>
      </w:r>
      <w:proofErr w:type="spellStart"/>
      <w:r>
        <w:t>Peever</w:t>
      </w:r>
      <w:proofErr w:type="spellEnd"/>
      <w:r>
        <w:t>, Alice Williams</w:t>
      </w:r>
    </w:p>
    <w:p w14:paraId="6E06796F" w14:textId="44D117A3" w:rsidR="002E0E49" w:rsidRPr="00F107CE" w:rsidRDefault="001D1CD2" w:rsidP="00175A21">
      <w:pPr>
        <w:pStyle w:val="ChartorTableNote"/>
      </w:pPr>
      <w:r>
        <w:t>(front</w:t>
      </w:r>
      <w:r w:rsidRPr="00F107CE">
        <w:t xml:space="preserve"> row) </w:t>
      </w:r>
      <w:r w:rsidR="00F107CE" w:rsidRPr="00F107CE">
        <w:t>Teresa</w:t>
      </w:r>
      <w:r w:rsidR="00A34AC1">
        <w:t> </w:t>
      </w:r>
      <w:r w:rsidR="00F107CE" w:rsidRPr="00F107CE">
        <w:t>Dyson, Chair David Irvine and Cheryl Edwardes</w:t>
      </w:r>
      <w:r w:rsidR="000F68EA">
        <w:t xml:space="preserve">, </w:t>
      </w:r>
      <w:r w:rsidR="004D10B2">
        <w:t>15 October 2</w:t>
      </w:r>
      <w:r w:rsidR="000F68EA">
        <w:t>018</w:t>
      </w:r>
      <w:r w:rsidR="004D10B2">
        <w:t>, Brisbane</w:t>
      </w:r>
      <w:r w:rsidR="00F107CE" w:rsidRPr="00F107CE">
        <w:t>.</w:t>
      </w:r>
    </w:p>
    <w:p w14:paraId="6350817D" w14:textId="77777777" w:rsidR="00A34AC1" w:rsidRPr="009A3CF4" w:rsidRDefault="00A34AC1" w:rsidP="00241E7E">
      <w:bookmarkStart w:id="166" w:name="_Toc529530635"/>
      <w:bookmarkStart w:id="167" w:name="_Toc529545233"/>
    </w:p>
    <w:p w14:paraId="22393554" w14:textId="5521CC2A" w:rsidR="00CB54C2" w:rsidRPr="00CB54C2" w:rsidRDefault="009A02EA" w:rsidP="003C2223">
      <w:pPr>
        <w:pStyle w:val="Heading3"/>
      </w:pPr>
      <w:r>
        <w:t>FIRB</w:t>
      </w:r>
      <w:r w:rsidR="00CB54C2" w:rsidRPr="00CB54C2">
        <w:t xml:space="preserve"> </w:t>
      </w:r>
      <w:r w:rsidR="00CB54C2" w:rsidRPr="003C2223">
        <w:t>membership</w:t>
      </w:r>
      <w:bookmarkEnd w:id="156"/>
      <w:r w:rsidR="00CB54C2" w:rsidRPr="00CB54C2">
        <w:t xml:space="preserve"> as of</w:t>
      </w:r>
      <w:r w:rsidR="00EF546F">
        <w:t xml:space="preserve"> 15 February 2019</w:t>
      </w:r>
      <w:bookmarkEnd w:id="157"/>
      <w:bookmarkEnd w:id="158"/>
      <w:bookmarkEnd w:id="159"/>
      <w:bookmarkEnd w:id="160"/>
      <w:bookmarkEnd w:id="161"/>
      <w:bookmarkEnd w:id="162"/>
      <w:bookmarkEnd w:id="163"/>
      <w:bookmarkEnd w:id="164"/>
      <w:bookmarkEnd w:id="165"/>
      <w:bookmarkEnd w:id="166"/>
      <w:bookmarkEnd w:id="167"/>
    </w:p>
    <w:tbl>
      <w:tblPr>
        <w:tblStyle w:val="TableGrid"/>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87"/>
        <w:gridCol w:w="1950"/>
      </w:tblGrid>
      <w:tr w:rsidR="005106BA" w:rsidRPr="005106BA" w14:paraId="5267C423" w14:textId="77777777" w:rsidTr="00CA5ADB">
        <w:tc>
          <w:tcPr>
            <w:tcW w:w="5987" w:type="dxa"/>
          </w:tcPr>
          <w:p w14:paraId="2388CDE4" w14:textId="7408FB63" w:rsidR="005106BA" w:rsidRPr="00241E7E" w:rsidRDefault="005106BA" w:rsidP="00CA5ADB">
            <w:pPr>
              <w:spacing w:after="200"/>
              <w:rPr>
                <w:rFonts w:ascii="Calibri" w:hAnsi="Calibri"/>
                <w:b/>
                <w:sz w:val="24"/>
              </w:rPr>
            </w:pPr>
            <w:r w:rsidRPr="00241E7E">
              <w:rPr>
                <w:rFonts w:ascii="Calibri" w:hAnsi="Calibri"/>
                <w:b/>
                <w:sz w:val="24"/>
              </w:rPr>
              <w:t>Mr David Irvine AO</w:t>
            </w:r>
          </w:p>
          <w:p w14:paraId="03D33A66" w14:textId="26CEBD69" w:rsidR="005106BA" w:rsidRPr="007D2B54" w:rsidRDefault="0044201E" w:rsidP="00CA5ADB">
            <w:pPr>
              <w:keepNext/>
              <w:keepLines/>
              <w:spacing w:before="200" w:after="160"/>
              <w:outlineLvl w:val="3"/>
              <w:rPr>
                <w:rFonts w:ascii="Calibri" w:eastAsiaTheme="majorEastAsia" w:hAnsi="Calibri" w:cstheme="majorBidi"/>
                <w:b/>
                <w:bCs/>
                <w:i/>
                <w:iCs/>
                <w:color w:val="A32035"/>
              </w:rPr>
            </w:pPr>
            <w:r w:rsidRPr="007D2B54">
              <w:rPr>
                <w:rFonts w:ascii="Calibri" w:eastAsiaTheme="majorEastAsia" w:hAnsi="Calibri" w:cstheme="majorBidi"/>
                <w:b/>
                <w:bCs/>
                <w:i/>
                <w:iCs/>
                <w:color w:val="A32035"/>
              </w:rPr>
              <w:t>Chair</w:t>
            </w:r>
            <w:r>
              <w:rPr>
                <w:rFonts w:ascii="Calibri" w:eastAsiaTheme="majorEastAsia" w:hAnsi="Calibri" w:cstheme="majorBidi"/>
                <w:b/>
                <w:bCs/>
                <w:i/>
                <w:iCs/>
                <w:color w:val="A32035"/>
              </w:rPr>
              <w:t xml:space="preserve"> and non</w:t>
            </w:r>
            <w:r>
              <w:rPr>
                <w:rFonts w:ascii="Calibri" w:eastAsiaTheme="majorEastAsia" w:hAnsi="Calibri" w:cstheme="majorBidi"/>
                <w:b/>
                <w:bCs/>
                <w:i/>
                <w:iCs/>
                <w:color w:val="A32035"/>
              </w:rPr>
              <w:noBreakHyphen/>
              <w:t>executive member</w:t>
            </w:r>
          </w:p>
          <w:p w14:paraId="60DEDECC" w14:textId="77777777" w:rsidR="005106BA" w:rsidRDefault="005106BA" w:rsidP="00CA5ADB">
            <w:pPr>
              <w:spacing w:after="160"/>
              <w:jc w:val="left"/>
              <w:rPr>
                <w:rFonts w:ascii="Calibri" w:hAnsi="Calibri"/>
              </w:rPr>
            </w:pPr>
            <w:r w:rsidRPr="005106BA">
              <w:rPr>
                <w:rFonts w:ascii="Calibri" w:hAnsi="Calibri"/>
              </w:rPr>
              <w:t>Chair since 16 April 2017</w:t>
            </w:r>
            <w:r w:rsidRPr="005106BA">
              <w:rPr>
                <w:rFonts w:ascii="Calibri" w:hAnsi="Calibri"/>
              </w:rPr>
              <w:br/>
            </w:r>
            <w:r w:rsidR="00DD2A9A">
              <w:rPr>
                <w:rFonts w:ascii="Calibri" w:hAnsi="Calibri"/>
              </w:rPr>
              <w:t>M</w:t>
            </w:r>
            <w:r w:rsidRPr="005106BA">
              <w:rPr>
                <w:rFonts w:ascii="Calibri" w:hAnsi="Calibri"/>
              </w:rPr>
              <w:t>ember since 3 December 2015</w:t>
            </w:r>
          </w:p>
          <w:p w14:paraId="727F7534" w14:textId="174C57AC" w:rsidR="005106BA" w:rsidRPr="005106BA" w:rsidRDefault="00CA5ADB" w:rsidP="00CA5ADB">
            <w:pPr>
              <w:spacing w:after="0"/>
              <w:rPr>
                <w:rFonts w:ascii="Calibri" w:hAnsi="Calibri"/>
              </w:rPr>
            </w:pPr>
            <w:r w:rsidRPr="005106BA">
              <w:rPr>
                <w:rFonts w:ascii="Calibri" w:hAnsi="Calibri"/>
                <w:noProof/>
              </w:rPr>
              <w:t>Mr Irvine has significant national security expertise as a former Director</w:t>
            </w:r>
            <w:r w:rsidRPr="005106BA">
              <w:rPr>
                <w:rFonts w:ascii="Calibri" w:hAnsi="Calibri"/>
                <w:noProof/>
              </w:rPr>
              <w:noBreakHyphen/>
              <w:t xml:space="preserve">General of both the Australian Security Intelligence Organisation and the Australian Secret Intelligence Service. He is also a </w:t>
            </w:r>
          </w:p>
        </w:tc>
        <w:tc>
          <w:tcPr>
            <w:tcW w:w="1950" w:type="dxa"/>
          </w:tcPr>
          <w:p w14:paraId="1EC04D72" w14:textId="34E1D1F8" w:rsidR="005106BA" w:rsidRPr="005106BA" w:rsidRDefault="005106BA" w:rsidP="009625FC">
            <w:pPr>
              <w:pStyle w:val="ChartGraphic"/>
              <w:jc w:val="right"/>
              <w:rPr>
                <w:b/>
                <w:noProof/>
              </w:rPr>
            </w:pPr>
            <w:r w:rsidRPr="005106BA">
              <w:rPr>
                <w:noProof/>
              </w:rPr>
              <w:drawing>
                <wp:inline distT="0" distB="0" distL="0" distR="0" wp14:anchorId="23EE6237" wp14:editId="47F8C6B4">
                  <wp:extent cx="1117172" cy="1475117"/>
                  <wp:effectExtent l="0" t="0" r="6985" b="0"/>
                  <wp:docPr id="23" name="Picture 23" descr="\\tweb\DavWWWRoot\sites\mg\sbccpd\activity\secretariat\firb\04 23 June 2016\Photos\David_Irvi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eb\DavWWWRoot\sites\mg\sbccpd\activity\secretariat\firb\04 23 June 2016\Photos\David_Irvine-00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337" b="1472"/>
                          <a:stretch/>
                        </pic:blipFill>
                        <pic:spPr bwMode="auto">
                          <a:xfrm>
                            <a:off x="0" y="0"/>
                            <a:ext cx="1117841" cy="14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06BA" w:rsidRPr="005106BA" w14:paraId="638B8B36" w14:textId="77777777" w:rsidTr="00CA5ADB">
        <w:tc>
          <w:tcPr>
            <w:tcW w:w="7937" w:type="dxa"/>
            <w:gridSpan w:val="2"/>
          </w:tcPr>
          <w:p w14:paraId="13BA2768" w14:textId="58DFA6F2" w:rsidR="005106BA" w:rsidRPr="005106BA" w:rsidRDefault="005106BA" w:rsidP="005106BA">
            <w:pPr>
              <w:rPr>
                <w:rFonts w:ascii="Calibri" w:hAnsi="Calibri"/>
                <w:noProof/>
              </w:rPr>
            </w:pPr>
            <w:r w:rsidRPr="005106BA">
              <w:rPr>
                <w:rFonts w:ascii="Calibri" w:hAnsi="Calibri"/>
                <w:noProof/>
              </w:rPr>
              <w:t>former Australian Ambassador to China and former Australian High Co</w:t>
            </w:r>
            <w:r>
              <w:rPr>
                <w:rFonts w:ascii="Calibri" w:hAnsi="Calibri"/>
                <w:noProof/>
              </w:rPr>
              <w:t>mmissioner to Papua</w:t>
            </w:r>
            <w:r w:rsidR="00753FEF">
              <w:rPr>
                <w:rFonts w:ascii="Calibri" w:hAnsi="Calibri"/>
                <w:noProof/>
              </w:rPr>
              <w:t> </w:t>
            </w:r>
            <w:r>
              <w:rPr>
                <w:rFonts w:ascii="Calibri" w:hAnsi="Calibri"/>
                <w:noProof/>
              </w:rPr>
              <w:t>New Guinea.</w:t>
            </w:r>
          </w:p>
          <w:p w14:paraId="678669D7" w14:textId="77777777" w:rsidR="005106BA" w:rsidRPr="007D2B54" w:rsidRDefault="005106BA" w:rsidP="009625FC">
            <w:pPr>
              <w:keepNext/>
              <w:keepLines/>
              <w:spacing w:before="200" w:after="120"/>
              <w:outlineLvl w:val="3"/>
              <w:rPr>
                <w:rFonts w:ascii="Calibri" w:eastAsiaTheme="majorEastAsia" w:hAnsi="Calibri" w:cstheme="majorBidi"/>
                <w:b/>
                <w:bCs/>
                <w:i/>
                <w:iCs/>
                <w:color w:val="A32035"/>
              </w:rPr>
            </w:pPr>
            <w:r w:rsidRPr="007D2B54">
              <w:rPr>
                <w:rFonts w:ascii="Calibri" w:eastAsiaTheme="majorEastAsia" w:hAnsi="Calibri" w:cstheme="majorBidi"/>
                <w:b/>
                <w:bCs/>
                <w:i/>
                <w:iCs/>
                <w:color w:val="A32035"/>
              </w:rPr>
              <w:t>Other roles</w:t>
            </w:r>
          </w:p>
          <w:p w14:paraId="2A974BA0" w14:textId="77777777" w:rsidR="005106BA" w:rsidRPr="00C47E49" w:rsidRDefault="005106BA" w:rsidP="005106BA">
            <w:pPr>
              <w:spacing w:after="0"/>
              <w:rPr>
                <w:rFonts w:ascii="Calibri" w:hAnsi="Calibri"/>
                <w:spacing w:val="-2"/>
              </w:rPr>
            </w:pPr>
            <w:r w:rsidRPr="00C47E49">
              <w:rPr>
                <w:rFonts w:ascii="Calibri" w:hAnsi="Calibri"/>
                <w:spacing w:val="-2"/>
              </w:rPr>
              <w:t>Adjunct Professor – Australian Graduate School of Policy and Security at Charles Sturt University</w:t>
            </w:r>
          </w:p>
          <w:p w14:paraId="2CCD859C" w14:textId="649F7C71" w:rsidR="005106BA" w:rsidRPr="005106BA" w:rsidRDefault="00D82F7E" w:rsidP="00D82F7E">
            <w:pPr>
              <w:spacing w:after="0"/>
              <w:rPr>
                <w:rFonts w:ascii="Calibri" w:hAnsi="Calibri"/>
              </w:rPr>
            </w:pPr>
            <w:r w:rsidRPr="00D82F7E">
              <w:rPr>
                <w:rFonts w:ascii="Calibri" w:hAnsi="Calibri"/>
                <w:spacing w:val="-2"/>
              </w:rPr>
              <w:t xml:space="preserve">Chair </w:t>
            </w:r>
            <w:r w:rsidRPr="00D82F7E" w:rsidDel="00555F54">
              <w:rPr>
                <w:rFonts w:ascii="Calibri" w:hAnsi="Calibri"/>
                <w:spacing w:val="-2"/>
              </w:rPr>
              <w:t xml:space="preserve">– </w:t>
            </w:r>
            <w:r w:rsidRPr="00D82F7E">
              <w:rPr>
                <w:rFonts w:ascii="Calibri" w:hAnsi="Calibri"/>
                <w:spacing w:val="-2"/>
              </w:rPr>
              <w:t xml:space="preserve">Australian Cyber Security Centre </w:t>
            </w:r>
            <w:r w:rsidR="006232F8">
              <w:rPr>
                <w:rFonts w:ascii="Calibri" w:hAnsi="Calibri"/>
                <w:spacing w:val="-2"/>
              </w:rPr>
              <w:t>–</w:t>
            </w:r>
            <w:r w:rsidRPr="00D82F7E">
              <w:rPr>
                <w:rFonts w:ascii="Calibri" w:hAnsi="Calibri"/>
                <w:spacing w:val="-2"/>
              </w:rPr>
              <w:t xml:space="preserve"> C</w:t>
            </w:r>
            <w:r w:rsidR="006232F8">
              <w:rPr>
                <w:rFonts w:ascii="Calibri" w:hAnsi="Calibri"/>
                <w:spacing w:val="-2"/>
              </w:rPr>
              <w:t xml:space="preserve">ooperative </w:t>
            </w:r>
            <w:r w:rsidRPr="00D82F7E">
              <w:rPr>
                <w:rFonts w:ascii="Calibri" w:hAnsi="Calibri"/>
                <w:spacing w:val="-2"/>
              </w:rPr>
              <w:t>R</w:t>
            </w:r>
            <w:r w:rsidR="006232F8">
              <w:rPr>
                <w:rFonts w:ascii="Calibri" w:hAnsi="Calibri"/>
                <w:spacing w:val="-2"/>
              </w:rPr>
              <w:t xml:space="preserve">esearch </w:t>
            </w:r>
            <w:r w:rsidRPr="00D82F7E">
              <w:rPr>
                <w:rFonts w:ascii="Calibri" w:hAnsi="Calibri"/>
                <w:spacing w:val="-2"/>
              </w:rPr>
              <w:t>C</w:t>
            </w:r>
            <w:r w:rsidR="006232F8">
              <w:rPr>
                <w:rFonts w:ascii="Calibri" w:hAnsi="Calibri"/>
                <w:spacing w:val="-2"/>
              </w:rPr>
              <w:t>entre</w:t>
            </w:r>
          </w:p>
        </w:tc>
      </w:tr>
    </w:tbl>
    <w:p w14:paraId="23237EA6" w14:textId="77777777" w:rsidR="005106BA" w:rsidRDefault="005106BA">
      <w:r>
        <w:br w:type="page"/>
      </w:r>
    </w:p>
    <w:tbl>
      <w:tblPr>
        <w:tblStyle w:val="TableGrid"/>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5"/>
        <w:gridCol w:w="6"/>
        <w:gridCol w:w="1986"/>
      </w:tblGrid>
      <w:tr w:rsidR="0048667E" w:rsidRPr="005106BA" w14:paraId="3E1EEE63" w14:textId="77777777" w:rsidTr="008067EE">
        <w:trPr>
          <w:trHeight w:val="1298"/>
        </w:trPr>
        <w:tc>
          <w:tcPr>
            <w:tcW w:w="5945" w:type="dxa"/>
          </w:tcPr>
          <w:p w14:paraId="239106D9" w14:textId="77777777" w:rsidR="0048667E" w:rsidRPr="00241E7E" w:rsidRDefault="0048667E" w:rsidP="008067EE">
            <w:pPr>
              <w:rPr>
                <w:rFonts w:ascii="Calibri" w:hAnsi="Calibri"/>
                <w:b/>
                <w:sz w:val="24"/>
              </w:rPr>
            </w:pPr>
            <w:r w:rsidRPr="00241E7E">
              <w:rPr>
                <w:rFonts w:ascii="Calibri" w:hAnsi="Calibri"/>
                <w:b/>
                <w:sz w:val="24"/>
              </w:rPr>
              <w:t>Ms Alice Williams</w:t>
            </w:r>
          </w:p>
          <w:p w14:paraId="0DC08807" w14:textId="77777777" w:rsidR="0048667E" w:rsidRPr="007D2B54" w:rsidRDefault="0048667E" w:rsidP="008067EE">
            <w:pPr>
              <w:keepNext/>
              <w:keepLines/>
              <w:spacing w:before="200" w:after="180"/>
              <w:outlineLvl w:val="3"/>
              <w:rPr>
                <w:rFonts w:ascii="Calibri" w:eastAsiaTheme="majorEastAsia" w:hAnsi="Calibri" w:cstheme="majorBidi"/>
                <w:b/>
                <w:bCs/>
                <w:i/>
                <w:iCs/>
                <w:color w:val="A32035"/>
              </w:rPr>
            </w:pPr>
            <w:r w:rsidRPr="007D2B54">
              <w:rPr>
                <w:rFonts w:ascii="Calibri" w:eastAsiaTheme="majorEastAsia" w:hAnsi="Calibri" w:cstheme="majorBidi"/>
                <w:b/>
                <w:bCs/>
                <w:i/>
                <w:iCs/>
                <w:color w:val="A32035"/>
              </w:rPr>
              <w:t>Non-executive member</w:t>
            </w:r>
          </w:p>
          <w:p w14:paraId="2E2F3C2D" w14:textId="77777777" w:rsidR="0048667E" w:rsidRPr="005106BA" w:rsidRDefault="0048667E" w:rsidP="008067EE">
            <w:pPr>
              <w:jc w:val="left"/>
              <w:rPr>
                <w:rFonts w:ascii="Calibri" w:hAnsi="Calibri"/>
                <w:noProof/>
              </w:rPr>
            </w:pPr>
            <w:r w:rsidRPr="005106BA">
              <w:rPr>
                <w:rFonts w:ascii="Calibri" w:hAnsi="Calibri"/>
                <w:noProof/>
              </w:rPr>
              <w:t>Member since 16 July 2015</w:t>
            </w:r>
          </w:p>
        </w:tc>
        <w:tc>
          <w:tcPr>
            <w:tcW w:w="1992" w:type="dxa"/>
            <w:gridSpan w:val="2"/>
            <w:vMerge w:val="restart"/>
          </w:tcPr>
          <w:p w14:paraId="652456B3" w14:textId="77777777" w:rsidR="0048667E" w:rsidRPr="005106BA" w:rsidRDefault="0048667E" w:rsidP="008067EE">
            <w:pPr>
              <w:pStyle w:val="ChartGraphic"/>
              <w:jc w:val="right"/>
            </w:pPr>
            <w:r w:rsidRPr="005106BA">
              <w:rPr>
                <w:noProof/>
              </w:rPr>
              <w:drawing>
                <wp:inline distT="0" distB="0" distL="0" distR="0" wp14:anchorId="17E3FA8B" wp14:editId="200F5D6C">
                  <wp:extent cx="1147313" cy="1475117"/>
                  <wp:effectExtent l="0" t="0" r="0" b="0"/>
                  <wp:docPr id="28" name="Picture 28" descr="\\tweb\DavWWWRoot\sites\mg\sbccpd\activity\secretariat\firb\04 23 June 2016\Photos\Alice_William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eb\DavWWWRoot\sites\mg\sbccpd\activity\secretariat\firb\04 23 June 2016\Photos\Alice_Williams-00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2" r="2384"/>
                          <a:stretch/>
                        </pic:blipFill>
                        <pic:spPr bwMode="auto">
                          <a:xfrm>
                            <a:off x="0" y="0"/>
                            <a:ext cx="1148000" cy="14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667E" w:rsidRPr="005106BA" w14:paraId="4C41FB77" w14:textId="77777777" w:rsidTr="008067EE">
        <w:tc>
          <w:tcPr>
            <w:tcW w:w="5945" w:type="dxa"/>
          </w:tcPr>
          <w:p w14:paraId="43AC323E" w14:textId="77777777" w:rsidR="0048667E" w:rsidRPr="00EB76D3" w:rsidRDefault="0048667E" w:rsidP="008067EE">
            <w:pPr>
              <w:spacing w:after="0" w:line="240" w:lineRule="auto"/>
              <w:rPr>
                <w:rFonts w:ascii="Calibri" w:hAnsi="Calibri"/>
              </w:rPr>
            </w:pPr>
            <w:r w:rsidRPr="0048667E">
              <w:rPr>
                <w:rFonts w:ascii="Calibri" w:hAnsi="Calibri"/>
                <w:noProof/>
                <w:color w:val="auto"/>
              </w:rPr>
              <w:t xml:space="preserve">Ms Williams has over 25 years of senior management and board level experience in the corporate and government sectors. Former directorships include Ansett Australia, the Australian Accounting </w:t>
            </w:r>
            <w:r w:rsidRPr="0048667E">
              <w:rPr>
                <w:rFonts w:ascii="Calibri" w:hAnsi="Calibri"/>
                <w:noProof/>
                <w:color w:val="auto"/>
                <w:spacing w:val="2"/>
              </w:rPr>
              <w:t>Standards Board, JP Morgan, NM Rothschild and State Trustees.</w:t>
            </w:r>
            <w:r w:rsidRPr="00C94762">
              <w:rPr>
                <w:rFonts w:ascii="Calibri" w:hAnsi="Calibri"/>
                <w:color w:val="auto"/>
                <w:spacing w:val="2"/>
                <w:sz w:val="48"/>
              </w:rPr>
              <w:t xml:space="preserve"> </w:t>
            </w:r>
            <w:r w:rsidRPr="0048667E">
              <w:rPr>
                <w:rFonts w:ascii="Calibri" w:hAnsi="Calibri"/>
                <w:noProof/>
                <w:color w:val="auto"/>
                <w:spacing w:val="2"/>
              </w:rPr>
              <w:t xml:space="preserve">She </w:t>
            </w:r>
          </w:p>
        </w:tc>
        <w:tc>
          <w:tcPr>
            <w:tcW w:w="1992" w:type="dxa"/>
            <w:gridSpan w:val="2"/>
            <w:vMerge/>
          </w:tcPr>
          <w:p w14:paraId="40104C0A" w14:textId="77777777" w:rsidR="0048667E" w:rsidRPr="00EB76D3" w:rsidRDefault="0048667E" w:rsidP="008067EE">
            <w:pPr>
              <w:spacing w:after="0" w:line="240" w:lineRule="auto"/>
              <w:rPr>
                <w:rFonts w:ascii="Calibri" w:hAnsi="Calibri"/>
              </w:rPr>
            </w:pPr>
          </w:p>
        </w:tc>
      </w:tr>
      <w:tr w:rsidR="0048667E" w:rsidRPr="005106BA" w14:paraId="41D4B301" w14:textId="77777777" w:rsidTr="008067EE">
        <w:tc>
          <w:tcPr>
            <w:tcW w:w="7937" w:type="dxa"/>
            <w:gridSpan w:val="3"/>
          </w:tcPr>
          <w:p w14:paraId="1A58EA49" w14:textId="77777777" w:rsidR="0048667E" w:rsidRPr="005106BA" w:rsidRDefault="0048667E" w:rsidP="008067EE">
            <w:pPr>
              <w:rPr>
                <w:rFonts w:ascii="Calibri" w:hAnsi="Calibri"/>
                <w:noProof/>
              </w:rPr>
            </w:pPr>
            <w:r w:rsidRPr="005106BA">
              <w:rPr>
                <w:rFonts w:ascii="Calibri" w:hAnsi="Calibri"/>
                <w:noProof/>
              </w:rPr>
              <w:t>has been a consultant to listed corporations in Australia, the Gulf States and state and federal regulatory bodies.</w:t>
            </w:r>
          </w:p>
          <w:p w14:paraId="6020B521" w14:textId="77777777" w:rsidR="0048667E" w:rsidRPr="007D2B54" w:rsidRDefault="0048667E" w:rsidP="008067EE">
            <w:pPr>
              <w:keepNext/>
              <w:keepLines/>
              <w:spacing w:before="200" w:after="120"/>
              <w:outlineLvl w:val="3"/>
              <w:rPr>
                <w:rFonts w:ascii="Calibri" w:eastAsiaTheme="majorEastAsia" w:hAnsi="Calibri" w:cstheme="majorBidi"/>
                <w:b/>
                <w:bCs/>
                <w:i/>
                <w:iCs/>
                <w:color w:val="A32035"/>
              </w:rPr>
            </w:pPr>
            <w:r w:rsidRPr="007D2B54">
              <w:rPr>
                <w:rFonts w:ascii="Calibri" w:eastAsiaTheme="majorEastAsia" w:hAnsi="Calibri" w:cstheme="majorBidi"/>
                <w:b/>
                <w:bCs/>
                <w:i/>
                <w:iCs/>
                <w:color w:val="A32035"/>
              </w:rPr>
              <w:t>Other roles</w:t>
            </w:r>
          </w:p>
          <w:p w14:paraId="61D19F2F" w14:textId="77777777" w:rsidR="0048667E" w:rsidRPr="005106BA" w:rsidRDefault="0048667E" w:rsidP="005A02E2">
            <w:pPr>
              <w:tabs>
                <w:tab w:val="left" w:pos="4672"/>
              </w:tabs>
              <w:spacing w:after="0"/>
              <w:jc w:val="left"/>
              <w:rPr>
                <w:rFonts w:ascii="Calibri" w:hAnsi="Calibri"/>
                <w:noProof/>
              </w:rPr>
            </w:pPr>
            <w:r w:rsidRPr="005106BA">
              <w:rPr>
                <w:rFonts w:ascii="Calibri" w:hAnsi="Calibri"/>
                <w:noProof/>
              </w:rPr>
              <w:t>Commissioner – Victorian Compet</w:t>
            </w:r>
            <w:r>
              <w:rPr>
                <w:rFonts w:ascii="Calibri" w:hAnsi="Calibri"/>
                <w:noProof/>
              </w:rPr>
              <w:t>ition and Efficiency Commission</w:t>
            </w:r>
            <w:r>
              <w:rPr>
                <w:rFonts w:ascii="Calibri" w:hAnsi="Calibri"/>
                <w:noProof/>
              </w:rPr>
              <w:br/>
            </w:r>
            <w:r w:rsidRPr="005106BA">
              <w:rPr>
                <w:rFonts w:ascii="Calibri" w:hAnsi="Calibri"/>
                <w:noProof/>
              </w:rPr>
              <w:t>Director –</w:t>
            </w:r>
            <w:r>
              <w:rPr>
                <w:rFonts w:ascii="Calibri" w:hAnsi="Calibri"/>
                <w:noProof/>
              </w:rPr>
              <w:t xml:space="preserve"> </w:t>
            </w:r>
            <w:r w:rsidRPr="005106BA">
              <w:rPr>
                <w:rFonts w:ascii="Calibri" w:hAnsi="Calibri"/>
                <w:noProof/>
              </w:rPr>
              <w:t xml:space="preserve">Barristers Chambers Limited </w:t>
            </w:r>
            <w:r>
              <w:rPr>
                <w:rFonts w:ascii="Calibri" w:hAnsi="Calibri"/>
                <w:noProof/>
              </w:rPr>
              <w:br/>
              <w:t xml:space="preserve">Director </w:t>
            </w:r>
            <w:r w:rsidDel="00555F54">
              <w:rPr>
                <w:rFonts w:ascii="Calibri" w:hAnsi="Calibri"/>
                <w:noProof/>
              </w:rPr>
              <w:t xml:space="preserve">– </w:t>
            </w:r>
            <w:r>
              <w:rPr>
                <w:rFonts w:ascii="Calibri" w:hAnsi="Calibri"/>
                <w:noProof/>
              </w:rPr>
              <w:t>Cooper Energy Ltd</w:t>
            </w:r>
            <w:r>
              <w:rPr>
                <w:rFonts w:ascii="Calibri" w:hAnsi="Calibri"/>
                <w:noProof/>
              </w:rPr>
              <w:br/>
            </w:r>
            <w:r w:rsidRPr="005106BA">
              <w:rPr>
                <w:rFonts w:ascii="Calibri" w:hAnsi="Calibri"/>
                <w:noProof/>
              </w:rPr>
              <w:t xml:space="preserve">Director </w:t>
            </w:r>
            <w:r w:rsidRPr="005106BA" w:rsidDel="00555F54">
              <w:rPr>
                <w:rFonts w:ascii="Calibri" w:hAnsi="Calibri"/>
                <w:noProof/>
              </w:rPr>
              <w:t xml:space="preserve">– </w:t>
            </w:r>
            <w:r w:rsidRPr="005106BA">
              <w:rPr>
                <w:rFonts w:ascii="Calibri" w:hAnsi="Calibri"/>
                <w:noProof/>
              </w:rPr>
              <w:t>Defence Health</w:t>
            </w:r>
            <w:r>
              <w:rPr>
                <w:rFonts w:ascii="Calibri" w:hAnsi="Calibri"/>
                <w:noProof/>
              </w:rPr>
              <w:br/>
            </w:r>
            <w:r w:rsidRPr="005106BA">
              <w:rPr>
                <w:rFonts w:ascii="Calibri" w:hAnsi="Calibri"/>
                <w:noProof/>
              </w:rPr>
              <w:t xml:space="preserve">Director </w:t>
            </w:r>
            <w:r w:rsidRPr="005106BA" w:rsidDel="00555F54">
              <w:rPr>
                <w:rFonts w:ascii="Calibri" w:hAnsi="Calibri"/>
                <w:noProof/>
              </w:rPr>
              <w:t xml:space="preserve">– </w:t>
            </w:r>
            <w:r w:rsidRPr="005106BA">
              <w:rPr>
                <w:rFonts w:ascii="Calibri" w:hAnsi="Calibri"/>
                <w:noProof/>
              </w:rPr>
              <w:t>Djerriwarrh Investments Ltd</w:t>
            </w:r>
            <w:r>
              <w:rPr>
                <w:rFonts w:ascii="Calibri" w:hAnsi="Calibri"/>
                <w:noProof/>
              </w:rPr>
              <w:br/>
            </w:r>
            <w:r w:rsidRPr="005106BA">
              <w:rPr>
                <w:rFonts w:ascii="Calibri" w:hAnsi="Calibri"/>
                <w:noProof/>
              </w:rPr>
              <w:t xml:space="preserve">Director </w:t>
            </w:r>
            <w:r w:rsidRPr="005106BA" w:rsidDel="00555F54">
              <w:rPr>
                <w:rFonts w:ascii="Calibri" w:hAnsi="Calibri"/>
                <w:noProof/>
              </w:rPr>
              <w:t xml:space="preserve">– </w:t>
            </w:r>
            <w:r w:rsidRPr="005106BA">
              <w:rPr>
                <w:rFonts w:ascii="Calibri" w:hAnsi="Calibri"/>
                <w:noProof/>
              </w:rPr>
              <w:t>Racing Victoria</w:t>
            </w:r>
          </w:p>
        </w:tc>
      </w:tr>
      <w:tr w:rsidR="0048667E" w:rsidRPr="005106BA" w14:paraId="45E589E0" w14:textId="77777777" w:rsidTr="008067EE">
        <w:tc>
          <w:tcPr>
            <w:tcW w:w="7937" w:type="dxa"/>
            <w:gridSpan w:val="3"/>
          </w:tcPr>
          <w:p w14:paraId="0A21988A" w14:textId="77777777" w:rsidR="0048667E" w:rsidRPr="005106BA" w:rsidRDefault="0048667E" w:rsidP="008067EE">
            <w:pPr>
              <w:rPr>
                <w:rFonts w:ascii="Calibri" w:hAnsi="Calibri"/>
                <w:noProof/>
              </w:rPr>
            </w:pPr>
          </w:p>
        </w:tc>
      </w:tr>
      <w:tr w:rsidR="0048667E" w:rsidRPr="009625FC" w14:paraId="20BC94D4" w14:textId="77777777" w:rsidTr="008067EE">
        <w:tc>
          <w:tcPr>
            <w:tcW w:w="5951" w:type="dxa"/>
            <w:gridSpan w:val="2"/>
          </w:tcPr>
          <w:p w14:paraId="53BA5C3C" w14:textId="77777777" w:rsidR="0048667E" w:rsidRPr="002C2D66" w:rsidRDefault="0048667E" w:rsidP="008067EE">
            <w:pPr>
              <w:spacing w:after="300"/>
              <w:rPr>
                <w:rFonts w:ascii="Calibri" w:hAnsi="Calibri"/>
                <w:b/>
                <w:sz w:val="24"/>
              </w:rPr>
            </w:pPr>
            <w:r w:rsidRPr="002C2D66">
              <w:rPr>
                <w:rFonts w:ascii="Calibri" w:hAnsi="Calibri"/>
                <w:b/>
                <w:sz w:val="24"/>
              </w:rPr>
              <w:t xml:space="preserve">Mr David </w:t>
            </w:r>
            <w:proofErr w:type="spellStart"/>
            <w:r w:rsidRPr="002C2D66">
              <w:rPr>
                <w:rFonts w:ascii="Calibri" w:hAnsi="Calibri"/>
                <w:b/>
                <w:sz w:val="24"/>
              </w:rPr>
              <w:t>Peever</w:t>
            </w:r>
            <w:proofErr w:type="spellEnd"/>
          </w:p>
          <w:p w14:paraId="2F715505" w14:textId="77777777" w:rsidR="0048667E" w:rsidRPr="007D2B54" w:rsidRDefault="0048667E" w:rsidP="008067EE">
            <w:pPr>
              <w:keepNext/>
              <w:keepLines/>
              <w:spacing w:before="200" w:after="260"/>
              <w:outlineLvl w:val="3"/>
              <w:rPr>
                <w:rFonts w:ascii="Calibri" w:eastAsiaTheme="majorEastAsia" w:hAnsi="Calibri" w:cstheme="majorBidi"/>
                <w:b/>
                <w:bCs/>
                <w:i/>
                <w:iCs/>
                <w:color w:val="A32035"/>
              </w:rPr>
            </w:pPr>
            <w:r w:rsidRPr="007D2B54">
              <w:rPr>
                <w:rFonts w:ascii="Calibri" w:eastAsiaTheme="majorEastAsia" w:hAnsi="Calibri" w:cstheme="majorBidi"/>
                <w:b/>
                <w:bCs/>
                <w:i/>
                <w:iCs/>
                <w:color w:val="A32035"/>
              </w:rPr>
              <w:t>Non-executive member</w:t>
            </w:r>
          </w:p>
          <w:p w14:paraId="29D777E2" w14:textId="77777777" w:rsidR="0048667E" w:rsidRPr="009625FC" w:rsidRDefault="0048667E" w:rsidP="00663356">
            <w:pPr>
              <w:jc w:val="left"/>
              <w:rPr>
                <w:rFonts w:ascii="Calibri" w:hAnsi="Calibri"/>
              </w:rPr>
            </w:pPr>
            <w:r>
              <w:rPr>
                <w:rFonts w:ascii="Calibri" w:hAnsi="Calibri"/>
                <w:noProof/>
              </w:rPr>
              <w:t>M</w:t>
            </w:r>
            <w:r w:rsidRPr="009625FC">
              <w:rPr>
                <w:rFonts w:ascii="Calibri" w:hAnsi="Calibri"/>
                <w:noProof/>
              </w:rPr>
              <w:t>ember since 1 February 2016</w:t>
            </w:r>
          </w:p>
        </w:tc>
        <w:tc>
          <w:tcPr>
            <w:tcW w:w="1986" w:type="dxa"/>
            <w:vMerge w:val="restart"/>
          </w:tcPr>
          <w:p w14:paraId="4A1EF57D" w14:textId="77777777" w:rsidR="0048667E" w:rsidRPr="009625FC" w:rsidRDefault="0048667E" w:rsidP="008067EE">
            <w:pPr>
              <w:pStyle w:val="ChartGraphic"/>
              <w:jc w:val="right"/>
              <w:rPr>
                <w:noProof/>
              </w:rPr>
            </w:pPr>
            <w:r w:rsidRPr="009625FC">
              <w:rPr>
                <w:noProof/>
              </w:rPr>
              <w:drawing>
                <wp:inline distT="0" distB="0" distL="0" distR="0" wp14:anchorId="4F9D2E7F" wp14:editId="5C0D93EE">
                  <wp:extent cx="1117732" cy="147511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David Peever"/>
                          <pic:cNvPicPr>
                            <a:picLocks noChangeArrowheads="1"/>
                          </pic:cNvPicPr>
                        </pic:nvPicPr>
                        <pic:blipFill rotWithShape="1">
                          <a:blip r:embed="rId41" cstate="print">
                            <a:extLst>
                              <a:ext uri="{28A0092B-C50C-407E-A947-70E740481C1C}">
                                <a14:useLocalDpi xmlns:a14="http://schemas.microsoft.com/office/drawing/2010/main" val="0"/>
                              </a:ext>
                            </a:extLst>
                          </a:blip>
                          <a:srcRect l="10379" r="16626"/>
                          <a:stretch/>
                        </pic:blipFill>
                        <pic:spPr bwMode="auto">
                          <a:xfrm>
                            <a:off x="0" y="0"/>
                            <a:ext cx="1118401" cy="14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667E" w:rsidRPr="009625FC" w14:paraId="675436FF" w14:textId="77777777" w:rsidTr="008067EE">
        <w:tc>
          <w:tcPr>
            <w:tcW w:w="5951" w:type="dxa"/>
            <w:gridSpan w:val="2"/>
          </w:tcPr>
          <w:p w14:paraId="7DA64960" w14:textId="68D1DDA2" w:rsidR="0048667E" w:rsidRPr="00C21803" w:rsidRDefault="0048667E" w:rsidP="008214CF">
            <w:pPr>
              <w:spacing w:after="0" w:line="240" w:lineRule="auto"/>
              <w:rPr>
                <w:rFonts w:ascii="Calibri" w:hAnsi="Calibri"/>
                <w:spacing w:val="-2"/>
              </w:rPr>
            </w:pPr>
            <w:r w:rsidRPr="00CA5ADB">
              <w:rPr>
                <w:rFonts w:ascii="Calibri" w:hAnsi="Calibri"/>
                <w:spacing w:val="-2"/>
              </w:rPr>
              <w:t>Mr </w:t>
            </w:r>
            <w:proofErr w:type="spellStart"/>
            <w:r w:rsidRPr="00CA5ADB">
              <w:rPr>
                <w:rFonts w:ascii="Calibri" w:hAnsi="Calibri"/>
                <w:spacing w:val="-2"/>
              </w:rPr>
              <w:t>Peever</w:t>
            </w:r>
            <w:proofErr w:type="spellEnd"/>
            <w:r w:rsidRPr="00CA5ADB">
              <w:rPr>
                <w:rFonts w:ascii="Calibri" w:hAnsi="Calibri"/>
                <w:spacing w:val="-2"/>
              </w:rPr>
              <w:t xml:space="preserve"> retired as Managing Director of Rio Tinto Australia in</w:t>
            </w:r>
            <w:r w:rsidRPr="00CA5ADB">
              <w:rPr>
                <w:rFonts w:ascii="Calibri" w:hAnsi="Calibri"/>
                <w:noProof/>
                <w:spacing w:val="-2"/>
              </w:rPr>
              <w:t xml:space="preserve"> 2014, after 27 years with the company. </w:t>
            </w:r>
          </w:p>
        </w:tc>
        <w:tc>
          <w:tcPr>
            <w:tcW w:w="1986" w:type="dxa"/>
            <w:vMerge/>
          </w:tcPr>
          <w:p w14:paraId="6F59E933" w14:textId="77777777" w:rsidR="0048667E" w:rsidRPr="009625FC" w:rsidRDefault="0048667E" w:rsidP="008067EE">
            <w:pPr>
              <w:spacing w:after="120"/>
              <w:jc w:val="left"/>
              <w:rPr>
                <w:rFonts w:ascii="Calibri" w:hAnsi="Calibri"/>
                <w:b/>
                <w:noProof/>
              </w:rPr>
            </w:pPr>
          </w:p>
        </w:tc>
      </w:tr>
      <w:tr w:rsidR="0048667E" w:rsidRPr="009625FC" w14:paraId="54E0D020" w14:textId="77777777" w:rsidTr="008067EE">
        <w:tc>
          <w:tcPr>
            <w:tcW w:w="7937" w:type="dxa"/>
            <w:gridSpan w:val="3"/>
          </w:tcPr>
          <w:p w14:paraId="24CEBD04" w14:textId="0F1590F7" w:rsidR="0048667E" w:rsidRPr="009625FC" w:rsidRDefault="008214CF" w:rsidP="008067EE">
            <w:pPr>
              <w:rPr>
                <w:rFonts w:ascii="Calibri" w:hAnsi="Calibri"/>
                <w:noProof/>
              </w:rPr>
            </w:pPr>
            <w:r w:rsidRPr="008214CF">
              <w:rPr>
                <w:rFonts w:ascii="Calibri" w:hAnsi="Calibri"/>
                <w:noProof/>
                <w:spacing w:val="-2"/>
              </w:rPr>
              <w:t xml:space="preserve">He was a member of the Prime Minister’s Indigenous Advisory Council </w:t>
            </w:r>
            <w:r>
              <w:rPr>
                <w:rFonts w:ascii="Calibri" w:hAnsi="Calibri"/>
                <w:noProof/>
                <w:spacing w:val="-2"/>
              </w:rPr>
              <w:t>and c</w:t>
            </w:r>
            <w:r w:rsidRPr="008214CF">
              <w:rPr>
                <w:rFonts w:ascii="Calibri" w:hAnsi="Calibri"/>
                <w:noProof/>
                <w:spacing w:val="-2"/>
              </w:rPr>
              <w:t>haired the Defence Minister’s First Principles Review of the Defence Department. He is immediate past Chairman of Cricket Australia, a former Director of the Business Council of Australia and was Vice Chairman of the Minerals Council of Australia.</w:t>
            </w:r>
            <w:r w:rsidR="0048667E" w:rsidRPr="009625FC">
              <w:rPr>
                <w:rFonts w:ascii="Calibri" w:hAnsi="Calibri"/>
                <w:noProof/>
              </w:rPr>
              <w:t xml:space="preserve"> </w:t>
            </w:r>
          </w:p>
          <w:p w14:paraId="2A35F6E8" w14:textId="77777777" w:rsidR="0048667E" w:rsidRPr="007D2B54" w:rsidRDefault="0048667E" w:rsidP="008067EE">
            <w:pPr>
              <w:keepNext/>
              <w:keepLines/>
              <w:spacing w:before="200" w:after="120"/>
              <w:outlineLvl w:val="3"/>
              <w:rPr>
                <w:rFonts w:ascii="Calibri" w:eastAsiaTheme="majorEastAsia" w:hAnsi="Calibri" w:cstheme="majorBidi"/>
                <w:b/>
                <w:bCs/>
                <w:i/>
                <w:iCs/>
                <w:color w:val="A32035"/>
              </w:rPr>
            </w:pPr>
            <w:r w:rsidRPr="007D2B54">
              <w:rPr>
                <w:rFonts w:ascii="Calibri" w:eastAsiaTheme="majorEastAsia" w:hAnsi="Calibri" w:cstheme="majorBidi"/>
                <w:b/>
                <w:bCs/>
                <w:i/>
                <w:iCs/>
                <w:color w:val="A32035"/>
              </w:rPr>
              <w:t>Other roles</w:t>
            </w:r>
          </w:p>
          <w:p w14:paraId="3CD8EAC7" w14:textId="38BAE924" w:rsidR="00C94762" w:rsidRDefault="00C94762" w:rsidP="008067EE">
            <w:pPr>
              <w:spacing w:after="0"/>
              <w:rPr>
                <w:rFonts w:ascii="Calibri" w:hAnsi="Calibri"/>
              </w:rPr>
            </w:pPr>
            <w:r>
              <w:rPr>
                <w:rFonts w:ascii="Calibri" w:hAnsi="Calibri"/>
              </w:rPr>
              <w:t xml:space="preserve">Chairman – Brisbane Airport Corporation Group of Companies </w:t>
            </w:r>
          </w:p>
          <w:p w14:paraId="1E390DE7" w14:textId="77777777" w:rsidR="00C21803" w:rsidRDefault="00C21803" w:rsidP="008067EE">
            <w:pPr>
              <w:spacing w:after="0"/>
              <w:rPr>
                <w:rFonts w:ascii="Calibri" w:hAnsi="Calibri"/>
              </w:rPr>
            </w:pPr>
            <w:r>
              <w:rPr>
                <w:rFonts w:ascii="Calibri" w:hAnsi="Calibri"/>
              </w:rPr>
              <w:t xml:space="preserve">Director – Australian Foundation Investment Company </w:t>
            </w:r>
          </w:p>
          <w:p w14:paraId="57670BE2" w14:textId="0DD71ABB" w:rsidR="0048667E" w:rsidRDefault="0048667E" w:rsidP="008067EE">
            <w:pPr>
              <w:spacing w:after="0"/>
              <w:rPr>
                <w:rFonts w:ascii="Calibri" w:hAnsi="Calibri"/>
              </w:rPr>
            </w:pPr>
            <w:r>
              <w:rPr>
                <w:rFonts w:ascii="Calibri" w:hAnsi="Calibri"/>
              </w:rPr>
              <w:t xml:space="preserve">Director – </w:t>
            </w:r>
            <w:r w:rsidRPr="009625FC">
              <w:rPr>
                <w:rFonts w:ascii="Calibri" w:hAnsi="Calibri"/>
              </w:rPr>
              <w:t>Melbourne Business School</w:t>
            </w:r>
          </w:p>
          <w:p w14:paraId="10293A2C" w14:textId="12F3A557" w:rsidR="00C21803" w:rsidRDefault="00C21803" w:rsidP="008067EE">
            <w:pPr>
              <w:spacing w:after="0"/>
              <w:rPr>
                <w:rFonts w:ascii="Calibri" w:hAnsi="Calibri"/>
              </w:rPr>
            </w:pPr>
            <w:r>
              <w:rPr>
                <w:rFonts w:ascii="Calibri" w:hAnsi="Calibri"/>
              </w:rPr>
              <w:t>Director – Naval Group Australia</w:t>
            </w:r>
          </w:p>
          <w:p w14:paraId="273FC7CD" w14:textId="42AAE10A" w:rsidR="0048667E" w:rsidRPr="009625FC" w:rsidRDefault="0048667E" w:rsidP="008067EE">
            <w:pPr>
              <w:spacing w:after="0"/>
              <w:rPr>
                <w:rFonts w:ascii="Calibri" w:hAnsi="Calibri"/>
              </w:rPr>
            </w:pPr>
            <w:r>
              <w:rPr>
                <w:rFonts w:ascii="Calibri" w:hAnsi="Calibri"/>
              </w:rPr>
              <w:t>D</w:t>
            </w:r>
            <w:r w:rsidRPr="009625FC">
              <w:rPr>
                <w:rFonts w:ascii="Calibri" w:hAnsi="Calibri"/>
              </w:rPr>
              <w:t>irector – Stars Foundation</w:t>
            </w:r>
          </w:p>
        </w:tc>
      </w:tr>
    </w:tbl>
    <w:p w14:paraId="67DEF37F" w14:textId="77777777" w:rsidR="004855EF" w:rsidRDefault="004855EF">
      <w:r>
        <w:br w:type="page"/>
      </w:r>
    </w:p>
    <w:tbl>
      <w:tblPr>
        <w:tblStyle w:val="TableGrid"/>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1"/>
        <w:gridCol w:w="1986"/>
      </w:tblGrid>
      <w:tr w:rsidR="00C46BB7" w:rsidRPr="009625FC" w14:paraId="2A39F2EF" w14:textId="77777777" w:rsidTr="008067EE">
        <w:tc>
          <w:tcPr>
            <w:tcW w:w="5951" w:type="dxa"/>
            <w:gridSpan w:val="2"/>
          </w:tcPr>
          <w:p w14:paraId="0E5F2E81" w14:textId="77777777" w:rsidR="00C46BB7" w:rsidRPr="002C2D66" w:rsidRDefault="00C46BB7" w:rsidP="008067EE">
            <w:pPr>
              <w:jc w:val="left"/>
              <w:rPr>
                <w:rFonts w:ascii="Calibri" w:hAnsi="Calibri"/>
                <w:b/>
                <w:sz w:val="24"/>
              </w:rPr>
            </w:pPr>
            <w:r w:rsidRPr="002C2D66">
              <w:rPr>
                <w:rFonts w:ascii="Calibri" w:hAnsi="Calibri"/>
                <w:b/>
                <w:sz w:val="24"/>
              </w:rPr>
              <w:t>The Hon Cheryl Edwardes AM</w:t>
            </w:r>
          </w:p>
          <w:p w14:paraId="7487D2F1" w14:textId="77777777" w:rsidR="00C46BB7" w:rsidRPr="007D2B54" w:rsidRDefault="00C46BB7" w:rsidP="007036EC">
            <w:pPr>
              <w:keepNext/>
              <w:keepLines/>
              <w:spacing w:before="200" w:after="120"/>
              <w:outlineLvl w:val="3"/>
              <w:rPr>
                <w:rFonts w:ascii="Calibri" w:eastAsiaTheme="majorEastAsia" w:hAnsi="Calibri" w:cstheme="majorBidi"/>
                <w:b/>
                <w:bCs/>
                <w:i/>
                <w:iCs/>
                <w:color w:val="A32035"/>
              </w:rPr>
            </w:pPr>
            <w:r w:rsidRPr="007D2B54">
              <w:rPr>
                <w:rFonts w:ascii="Calibri" w:eastAsiaTheme="majorEastAsia" w:hAnsi="Calibri" w:cstheme="majorBidi"/>
                <w:b/>
                <w:bCs/>
                <w:i/>
                <w:iCs/>
                <w:color w:val="A32035"/>
              </w:rPr>
              <w:t>Non-executive member</w:t>
            </w:r>
          </w:p>
          <w:p w14:paraId="19B45DB7" w14:textId="77777777" w:rsidR="00C46BB7" w:rsidRPr="009625FC" w:rsidRDefault="00C46BB7" w:rsidP="00663356">
            <w:pPr>
              <w:jc w:val="left"/>
              <w:rPr>
                <w:rFonts w:ascii="Calibri" w:hAnsi="Calibri"/>
              </w:rPr>
            </w:pPr>
            <w:r>
              <w:rPr>
                <w:rFonts w:ascii="Calibri" w:hAnsi="Calibri"/>
                <w:noProof/>
              </w:rPr>
              <w:t>Member since 14 August 2017</w:t>
            </w:r>
          </w:p>
        </w:tc>
        <w:tc>
          <w:tcPr>
            <w:tcW w:w="1986" w:type="dxa"/>
            <w:vMerge w:val="restart"/>
          </w:tcPr>
          <w:p w14:paraId="377BFA31" w14:textId="77777777" w:rsidR="00C46BB7" w:rsidRPr="009625FC" w:rsidRDefault="00C46BB7" w:rsidP="008067EE">
            <w:pPr>
              <w:pStyle w:val="ChartGraphic"/>
              <w:jc w:val="right"/>
              <w:rPr>
                <w:noProof/>
              </w:rPr>
            </w:pPr>
            <w:r w:rsidRPr="009625FC">
              <w:rPr>
                <w:noProof/>
              </w:rPr>
              <w:drawing>
                <wp:inline distT="0" distB="0" distL="0" distR="0" wp14:anchorId="34E03B0F" wp14:editId="19468A64">
                  <wp:extent cx="1109429" cy="1476000"/>
                  <wp:effectExtent l="0" t="0" r="0" b="0"/>
                  <wp:docPr id="14" name="Picture 14" descr="\\tweb\DavWWWRoot\sites\mg\fitpd\Lfirbannualrport\2016-17\Report design\Cheryl Edward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b\DavWWWRoot\sites\mg\fitpd\Lfirbannualrport\2016-17\Report design\Cheryl Edwardes photo.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100" t="3311" r="1" b="11631"/>
                          <a:stretch/>
                        </pic:blipFill>
                        <pic:spPr bwMode="auto">
                          <a:xfrm>
                            <a:off x="0" y="0"/>
                            <a:ext cx="1109429" cy="14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6BB7" w:rsidRPr="009625FC" w14:paraId="4CD99096" w14:textId="77777777" w:rsidTr="008067EE">
        <w:tc>
          <w:tcPr>
            <w:tcW w:w="5951" w:type="dxa"/>
            <w:gridSpan w:val="2"/>
          </w:tcPr>
          <w:p w14:paraId="0C297918" w14:textId="297DCC96" w:rsidR="00C46BB7" w:rsidRPr="00CA5ADB" w:rsidRDefault="00C46BB7" w:rsidP="003577DA">
            <w:pPr>
              <w:spacing w:after="0" w:line="240" w:lineRule="auto"/>
              <w:rPr>
                <w:rFonts w:ascii="Calibri" w:hAnsi="Calibri"/>
                <w:b/>
                <w:spacing w:val="-2"/>
              </w:rPr>
            </w:pPr>
            <w:r w:rsidRPr="00CA5ADB">
              <w:rPr>
                <w:rFonts w:ascii="Calibri" w:hAnsi="Calibri"/>
                <w:spacing w:val="-2"/>
              </w:rPr>
              <w:t>Mrs Edwardes brings extensive legal and regulatory experience to the </w:t>
            </w:r>
            <w:r w:rsidR="00B8687A">
              <w:rPr>
                <w:rFonts w:ascii="Calibri" w:hAnsi="Calibri"/>
                <w:noProof/>
                <w:spacing w:val="-2"/>
              </w:rPr>
              <w:t>B</w:t>
            </w:r>
            <w:r w:rsidR="009A02EA">
              <w:rPr>
                <w:rFonts w:ascii="Calibri" w:hAnsi="Calibri"/>
                <w:noProof/>
                <w:spacing w:val="-2"/>
              </w:rPr>
              <w:t>oard</w:t>
            </w:r>
            <w:r w:rsidRPr="00CA5ADB">
              <w:rPr>
                <w:rFonts w:ascii="Calibri" w:hAnsi="Calibri"/>
                <w:noProof/>
                <w:spacing w:val="-2"/>
              </w:rPr>
              <w:t xml:space="preserve">. Mrs Edwardes, a solicitor by profession, is a former Minister in </w:t>
            </w:r>
            <w:r w:rsidRPr="00753FEF">
              <w:rPr>
                <w:rFonts w:ascii="Calibri" w:hAnsi="Calibri"/>
                <w:noProof/>
                <w:spacing w:val="1"/>
              </w:rPr>
              <w:t>the Court Government and was the member for Kingsley for 17 years.</w:t>
            </w:r>
          </w:p>
        </w:tc>
        <w:tc>
          <w:tcPr>
            <w:tcW w:w="1986" w:type="dxa"/>
            <w:vMerge/>
          </w:tcPr>
          <w:p w14:paraId="2E173F06" w14:textId="77777777" w:rsidR="00C46BB7" w:rsidRPr="009625FC" w:rsidRDefault="00C46BB7" w:rsidP="008067EE">
            <w:pPr>
              <w:spacing w:after="120"/>
              <w:jc w:val="left"/>
              <w:rPr>
                <w:rFonts w:ascii="Calibri" w:hAnsi="Calibri"/>
                <w:b/>
                <w:noProof/>
              </w:rPr>
            </w:pPr>
          </w:p>
        </w:tc>
      </w:tr>
      <w:tr w:rsidR="00C46BB7" w:rsidRPr="009625FC" w14:paraId="56B141A6" w14:textId="77777777" w:rsidTr="008067EE">
        <w:tc>
          <w:tcPr>
            <w:tcW w:w="7937" w:type="dxa"/>
            <w:gridSpan w:val="3"/>
          </w:tcPr>
          <w:p w14:paraId="518CA84D" w14:textId="497D2B5C" w:rsidR="00C46BB7" w:rsidRDefault="00C46BB7" w:rsidP="00663356">
            <w:pPr>
              <w:spacing w:before="240"/>
              <w:rPr>
                <w:rFonts w:ascii="Calibri" w:hAnsi="Calibri"/>
                <w:noProof/>
              </w:rPr>
            </w:pPr>
            <w:r w:rsidRPr="009625FC">
              <w:rPr>
                <w:rFonts w:ascii="Calibri" w:hAnsi="Calibri"/>
                <w:noProof/>
              </w:rPr>
              <w:t>In 1993, she became the first woman to be appointed Attorney General in Western Australia. Mrs Edwardes was awarded an Order of Australia in the Queen’s Birthday Honours 2016 for significant service to the people and Parliament of Western Australia.</w:t>
            </w:r>
          </w:p>
          <w:p w14:paraId="1C217BB3" w14:textId="77777777" w:rsidR="00C46BB7" w:rsidRPr="007D2B54" w:rsidRDefault="00C46BB7" w:rsidP="00663356">
            <w:pPr>
              <w:keepNext/>
              <w:keepLines/>
              <w:spacing w:before="200" w:after="120"/>
              <w:outlineLvl w:val="3"/>
              <w:rPr>
                <w:rFonts w:ascii="Calibri" w:eastAsiaTheme="majorEastAsia" w:hAnsi="Calibri" w:cstheme="majorBidi"/>
                <w:b/>
                <w:bCs/>
                <w:i/>
                <w:iCs/>
                <w:color w:val="A32035"/>
              </w:rPr>
            </w:pPr>
            <w:r w:rsidRPr="00F03C15">
              <w:rPr>
                <w:rFonts w:ascii="Calibri" w:eastAsiaTheme="majorEastAsia" w:hAnsi="Calibri" w:cstheme="majorBidi"/>
                <w:b/>
                <w:bCs/>
                <w:i/>
                <w:iCs/>
                <w:color w:val="A32035"/>
              </w:rPr>
              <w:t>Other roles</w:t>
            </w:r>
          </w:p>
          <w:p w14:paraId="4B9340D1" w14:textId="77777777" w:rsidR="00C46BB7" w:rsidRDefault="00C46BB7" w:rsidP="008067EE">
            <w:pPr>
              <w:spacing w:after="0"/>
              <w:rPr>
                <w:rFonts w:ascii="Calibri" w:hAnsi="Calibri"/>
              </w:rPr>
            </w:pPr>
            <w:r>
              <w:rPr>
                <w:rFonts w:ascii="Calibri" w:hAnsi="Calibri"/>
              </w:rPr>
              <w:t>Commissioner – West Australian Football Commission</w:t>
            </w:r>
          </w:p>
          <w:p w14:paraId="6B2A7401" w14:textId="77777777" w:rsidR="00C46BB7" w:rsidRPr="009625FC" w:rsidRDefault="00C46BB7" w:rsidP="008067EE">
            <w:pPr>
              <w:spacing w:after="0"/>
              <w:rPr>
                <w:rFonts w:ascii="Calibri" w:hAnsi="Calibri"/>
              </w:rPr>
            </w:pPr>
            <w:r>
              <w:rPr>
                <w:rFonts w:ascii="Calibri" w:hAnsi="Calibri"/>
              </w:rPr>
              <w:t>Director – Atlas Iron</w:t>
            </w:r>
          </w:p>
        </w:tc>
      </w:tr>
      <w:tr w:rsidR="00C46BB7" w:rsidRPr="009625FC" w14:paraId="7F88ECBB" w14:textId="77777777" w:rsidTr="008067EE">
        <w:tc>
          <w:tcPr>
            <w:tcW w:w="7937" w:type="dxa"/>
            <w:gridSpan w:val="3"/>
          </w:tcPr>
          <w:p w14:paraId="69305DBC" w14:textId="77777777" w:rsidR="00C46BB7" w:rsidRPr="009625FC" w:rsidRDefault="00C46BB7" w:rsidP="0038534B">
            <w:pPr>
              <w:spacing w:before="240"/>
              <w:jc w:val="left"/>
              <w:rPr>
                <w:rFonts w:ascii="Calibri" w:hAnsi="Calibri"/>
                <w:b/>
                <w:noProof/>
              </w:rPr>
            </w:pPr>
          </w:p>
        </w:tc>
      </w:tr>
      <w:tr w:rsidR="00C46BB7" w:rsidRPr="009625FC" w14:paraId="4D00F8A7" w14:textId="77777777" w:rsidTr="008067EE">
        <w:tc>
          <w:tcPr>
            <w:tcW w:w="5920" w:type="dxa"/>
          </w:tcPr>
          <w:p w14:paraId="42EEB04E" w14:textId="77777777" w:rsidR="00C46BB7" w:rsidRPr="002C2D66" w:rsidRDefault="00C46BB7" w:rsidP="008067EE">
            <w:pPr>
              <w:jc w:val="left"/>
              <w:rPr>
                <w:rFonts w:ascii="Calibri" w:hAnsi="Calibri"/>
                <w:b/>
                <w:sz w:val="24"/>
              </w:rPr>
            </w:pPr>
            <w:r w:rsidRPr="002C2D66">
              <w:rPr>
                <w:rFonts w:ascii="Calibri" w:hAnsi="Calibri"/>
                <w:b/>
                <w:sz w:val="24"/>
              </w:rPr>
              <w:t>Ms Teresa Dyson</w:t>
            </w:r>
          </w:p>
          <w:p w14:paraId="59EE693D" w14:textId="77777777" w:rsidR="00C46BB7" w:rsidRPr="007D2B54" w:rsidRDefault="00C46BB7" w:rsidP="008067EE">
            <w:pPr>
              <w:keepNext/>
              <w:keepLines/>
              <w:spacing w:before="200" w:after="120"/>
              <w:outlineLvl w:val="3"/>
              <w:rPr>
                <w:rFonts w:ascii="Calibri" w:eastAsiaTheme="majorEastAsia" w:hAnsi="Calibri" w:cstheme="majorBidi"/>
                <w:b/>
                <w:bCs/>
                <w:i/>
                <w:iCs/>
                <w:color w:val="A32035"/>
              </w:rPr>
            </w:pPr>
            <w:r w:rsidRPr="007D2B54">
              <w:rPr>
                <w:rFonts w:ascii="Calibri" w:eastAsiaTheme="majorEastAsia" w:hAnsi="Calibri" w:cstheme="majorBidi"/>
                <w:b/>
                <w:bCs/>
                <w:i/>
                <w:iCs/>
                <w:color w:val="A32035"/>
              </w:rPr>
              <w:t>Non-executive member</w:t>
            </w:r>
          </w:p>
          <w:p w14:paraId="2A483F40" w14:textId="77777777" w:rsidR="00C46BB7" w:rsidRPr="009625FC" w:rsidRDefault="00C46BB7" w:rsidP="00663356">
            <w:pPr>
              <w:jc w:val="left"/>
              <w:rPr>
                <w:rFonts w:ascii="Calibri" w:hAnsi="Calibri"/>
              </w:rPr>
            </w:pPr>
            <w:r>
              <w:rPr>
                <w:rFonts w:ascii="Calibri" w:hAnsi="Calibri"/>
                <w:noProof/>
              </w:rPr>
              <w:t>Member since 2 January 2018</w:t>
            </w:r>
          </w:p>
        </w:tc>
        <w:tc>
          <w:tcPr>
            <w:tcW w:w="2017" w:type="dxa"/>
            <w:gridSpan w:val="2"/>
            <w:vMerge w:val="restart"/>
          </w:tcPr>
          <w:p w14:paraId="30AF37EB" w14:textId="77777777" w:rsidR="00C46BB7" w:rsidRPr="009625FC" w:rsidRDefault="00C46BB7" w:rsidP="008067EE">
            <w:pPr>
              <w:pStyle w:val="ChartGraphic"/>
              <w:jc w:val="right"/>
              <w:rPr>
                <w:noProof/>
              </w:rPr>
            </w:pPr>
            <w:r w:rsidRPr="00CB54C2">
              <w:rPr>
                <w:noProof/>
              </w:rPr>
              <w:drawing>
                <wp:inline distT="0" distB="0" distL="0" distR="0" wp14:anchorId="4237CCEF" wp14:editId="71BDC5E9">
                  <wp:extent cx="1101947" cy="14760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resa Dyson"/>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9723" r="39816" b="27536"/>
                          <a:stretch/>
                        </pic:blipFill>
                        <pic:spPr bwMode="auto">
                          <a:xfrm>
                            <a:off x="0" y="0"/>
                            <a:ext cx="1101947" cy="14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6BB7" w:rsidRPr="009625FC" w14:paraId="6470E3BB" w14:textId="77777777" w:rsidTr="008067EE">
        <w:tc>
          <w:tcPr>
            <w:tcW w:w="5920" w:type="dxa"/>
          </w:tcPr>
          <w:p w14:paraId="3950070B" w14:textId="4D28A2C2" w:rsidR="00C46BB7" w:rsidRPr="00CA5ADB" w:rsidRDefault="005A02E2" w:rsidP="005A02E2">
            <w:pPr>
              <w:spacing w:after="0" w:line="240" w:lineRule="auto"/>
              <w:rPr>
                <w:rFonts w:ascii="Calibri" w:hAnsi="Calibri"/>
                <w:b/>
              </w:rPr>
            </w:pPr>
            <w:r w:rsidRPr="005A02E2">
              <w:rPr>
                <w:rFonts w:ascii="Calibri" w:hAnsi="Calibri"/>
              </w:rPr>
              <w:t xml:space="preserve">Ms Dyson is a non-executive director, serving on a range of listed, public and not-for-profit boards. </w:t>
            </w:r>
            <w:r w:rsidR="00C46BB7" w:rsidRPr="00CA5ADB">
              <w:rPr>
                <w:rFonts w:ascii="Calibri" w:hAnsi="Calibri"/>
              </w:rPr>
              <w:t xml:space="preserve">Ms Dyson </w:t>
            </w:r>
            <w:r>
              <w:rPr>
                <w:rFonts w:ascii="Calibri" w:hAnsi="Calibri"/>
              </w:rPr>
              <w:t>has experience a</w:t>
            </w:r>
            <w:r w:rsidR="00C46BB7" w:rsidRPr="00CA5ADB">
              <w:rPr>
                <w:rFonts w:ascii="Calibri" w:hAnsi="Calibri"/>
              </w:rPr>
              <w:t>s a senior tax adviser with over 25 years of experience,</w:t>
            </w:r>
            <w:r w:rsidR="00C46BB7" w:rsidRPr="009625FC">
              <w:rPr>
                <w:rFonts w:ascii="Calibri" w:hAnsi="Calibri"/>
                <w:noProof/>
              </w:rPr>
              <w:t xml:space="preserve"> including as a partner at Ashurst and Deloitte, advising on infrastructure, financing, corporate tax issues, mergers and acquisitions activities, the not-for-profit sector, and tax controversy.</w:t>
            </w:r>
          </w:p>
        </w:tc>
        <w:tc>
          <w:tcPr>
            <w:tcW w:w="2017" w:type="dxa"/>
            <w:gridSpan w:val="2"/>
            <w:vMerge/>
          </w:tcPr>
          <w:p w14:paraId="4E2B0BCF" w14:textId="77777777" w:rsidR="00C46BB7" w:rsidRPr="009625FC" w:rsidRDefault="00C46BB7" w:rsidP="008067EE">
            <w:pPr>
              <w:spacing w:after="120"/>
              <w:jc w:val="left"/>
              <w:rPr>
                <w:rFonts w:ascii="Calibri" w:hAnsi="Calibri"/>
                <w:b/>
                <w:noProof/>
              </w:rPr>
            </w:pPr>
          </w:p>
        </w:tc>
      </w:tr>
      <w:tr w:rsidR="00C46BB7" w:rsidRPr="009625FC" w14:paraId="1EBDB46B" w14:textId="77777777" w:rsidTr="008067EE">
        <w:tc>
          <w:tcPr>
            <w:tcW w:w="7937" w:type="dxa"/>
            <w:gridSpan w:val="3"/>
          </w:tcPr>
          <w:p w14:paraId="59DD6D7A" w14:textId="77777777" w:rsidR="00C46BB7" w:rsidRPr="00C47264" w:rsidRDefault="00C46BB7" w:rsidP="00663356">
            <w:pPr>
              <w:spacing w:before="240" w:after="0"/>
              <w:ind w:right="176"/>
              <w:rPr>
                <w:rFonts w:ascii="Calibri" w:eastAsiaTheme="majorEastAsia" w:hAnsi="Calibri"/>
              </w:rPr>
            </w:pPr>
            <w:r w:rsidRPr="009625FC">
              <w:rPr>
                <w:rFonts w:ascii="Calibri" w:hAnsi="Calibri"/>
                <w:noProof/>
              </w:rPr>
              <w:t>She brings corporate and governance experience from a range of sectors. M</w:t>
            </w:r>
            <w:r>
              <w:rPr>
                <w:rFonts w:ascii="Calibri" w:hAnsi="Calibri"/>
                <w:noProof/>
              </w:rPr>
              <w:t>s Dyson is a former member and c</w:t>
            </w:r>
            <w:r w:rsidRPr="009625FC">
              <w:rPr>
                <w:rFonts w:ascii="Calibri" w:hAnsi="Calibri"/>
                <w:noProof/>
              </w:rPr>
              <w:t>hair of the Board of Taxation.</w:t>
            </w:r>
          </w:p>
        </w:tc>
      </w:tr>
      <w:tr w:rsidR="00C46BB7" w:rsidRPr="009625FC" w14:paraId="7AB9618C" w14:textId="77777777" w:rsidTr="00663356">
        <w:trPr>
          <w:trHeight w:val="2112"/>
        </w:trPr>
        <w:tc>
          <w:tcPr>
            <w:tcW w:w="7937" w:type="dxa"/>
            <w:gridSpan w:val="3"/>
          </w:tcPr>
          <w:p w14:paraId="6EBF3134" w14:textId="77777777" w:rsidR="00C46BB7" w:rsidRPr="007D2B54" w:rsidRDefault="00C46BB7" w:rsidP="008067EE">
            <w:pPr>
              <w:keepNext/>
              <w:keepLines/>
              <w:tabs>
                <w:tab w:val="left" w:pos="3686"/>
              </w:tabs>
              <w:spacing w:before="120" w:after="120"/>
              <w:outlineLvl w:val="3"/>
              <w:rPr>
                <w:rFonts w:ascii="Calibri" w:eastAsiaTheme="majorEastAsia" w:hAnsi="Calibri" w:cstheme="majorBidi"/>
                <w:b/>
                <w:bCs/>
                <w:i/>
                <w:iCs/>
                <w:color w:val="A32035"/>
              </w:rPr>
            </w:pPr>
            <w:r w:rsidRPr="007D2B54">
              <w:rPr>
                <w:rFonts w:ascii="Calibri" w:eastAsiaTheme="majorEastAsia" w:hAnsi="Calibri" w:cstheme="majorBidi"/>
                <w:b/>
                <w:bCs/>
                <w:i/>
                <w:iCs/>
                <w:color w:val="A32035"/>
              </w:rPr>
              <w:t>Other roles</w:t>
            </w:r>
          </w:p>
          <w:p w14:paraId="37CF8AE8" w14:textId="05611C33" w:rsidR="00C46BB7" w:rsidRPr="009625FC" w:rsidRDefault="00C46BB7" w:rsidP="008067EE">
            <w:pPr>
              <w:tabs>
                <w:tab w:val="left" w:pos="4678"/>
              </w:tabs>
              <w:spacing w:after="0"/>
              <w:rPr>
                <w:rFonts w:ascii="Calibri" w:hAnsi="Calibri"/>
                <w:noProof/>
              </w:rPr>
            </w:pPr>
            <w:r>
              <w:rPr>
                <w:rFonts w:ascii="Calibri" w:hAnsi="Calibri"/>
                <w:noProof/>
              </w:rPr>
              <w:t>Director</w:t>
            </w:r>
            <w:r w:rsidRPr="009625FC">
              <w:rPr>
                <w:rFonts w:ascii="Calibri" w:hAnsi="Calibri"/>
                <w:noProof/>
              </w:rPr>
              <w:t xml:space="preserve"> – Energy Qld Ltd</w:t>
            </w:r>
          </w:p>
          <w:p w14:paraId="25F989BB" w14:textId="77777777" w:rsidR="00F03C15" w:rsidRDefault="00F03C15" w:rsidP="005A02E2">
            <w:pPr>
              <w:tabs>
                <w:tab w:val="left" w:pos="4678"/>
              </w:tabs>
              <w:spacing w:after="0"/>
              <w:rPr>
                <w:rFonts w:ascii="Calibri" w:hAnsi="Calibri"/>
                <w:noProof/>
              </w:rPr>
            </w:pPr>
            <w:r>
              <w:rPr>
                <w:rFonts w:ascii="Calibri" w:hAnsi="Calibri"/>
                <w:noProof/>
              </w:rPr>
              <w:t xml:space="preserve">Director – Energy Super </w:t>
            </w:r>
          </w:p>
          <w:p w14:paraId="0C9EC2D6" w14:textId="1AE70A8B" w:rsidR="00C46BB7" w:rsidRPr="009625FC" w:rsidRDefault="00C46BB7" w:rsidP="005A02E2">
            <w:pPr>
              <w:tabs>
                <w:tab w:val="left" w:pos="4678"/>
              </w:tabs>
              <w:spacing w:after="0"/>
              <w:rPr>
                <w:rFonts w:ascii="Calibri" w:hAnsi="Calibri"/>
                <w:noProof/>
              </w:rPr>
            </w:pPr>
            <w:r>
              <w:rPr>
                <w:rFonts w:ascii="Calibri" w:hAnsi="Calibri"/>
                <w:noProof/>
              </w:rPr>
              <w:t>Director</w:t>
            </w:r>
            <w:r w:rsidRPr="009625FC">
              <w:rPr>
                <w:rFonts w:ascii="Calibri" w:hAnsi="Calibri"/>
                <w:noProof/>
              </w:rPr>
              <w:t xml:space="preserve"> – Genex Power Ltd</w:t>
            </w:r>
          </w:p>
          <w:p w14:paraId="750C67A8" w14:textId="77777777" w:rsidR="00F03C15" w:rsidRDefault="00F03C15" w:rsidP="00B8687A">
            <w:pPr>
              <w:tabs>
                <w:tab w:val="left" w:pos="4678"/>
              </w:tabs>
              <w:spacing w:after="0"/>
              <w:rPr>
                <w:rFonts w:ascii="Calibri" w:hAnsi="Calibri"/>
                <w:noProof/>
              </w:rPr>
            </w:pPr>
            <w:r w:rsidDel="005A02E2">
              <w:rPr>
                <w:rFonts w:ascii="Calibri" w:hAnsi="Calibri"/>
                <w:noProof/>
              </w:rPr>
              <w:t>Director</w:t>
            </w:r>
            <w:r w:rsidRPr="009625FC" w:rsidDel="005A02E2">
              <w:rPr>
                <w:rFonts w:ascii="Calibri" w:hAnsi="Calibri"/>
                <w:noProof/>
              </w:rPr>
              <w:t xml:space="preserve"> – </w:t>
            </w:r>
            <w:r>
              <w:rPr>
                <w:rFonts w:ascii="Calibri" w:hAnsi="Calibri"/>
                <w:noProof/>
              </w:rPr>
              <w:t xml:space="preserve">Seven West Media Ltd </w:t>
            </w:r>
          </w:p>
          <w:p w14:paraId="41A53A46" w14:textId="20050B9A" w:rsidR="00C46BB7" w:rsidRPr="00C47264" w:rsidRDefault="00C46BB7" w:rsidP="00B8687A">
            <w:pPr>
              <w:tabs>
                <w:tab w:val="left" w:pos="4678"/>
              </w:tabs>
              <w:spacing w:after="0"/>
              <w:rPr>
                <w:rFonts w:ascii="Calibri" w:hAnsi="Calibri"/>
                <w:noProof/>
              </w:rPr>
            </w:pPr>
            <w:r>
              <w:rPr>
                <w:rFonts w:ascii="Calibri" w:hAnsi="Calibri"/>
                <w:noProof/>
              </w:rPr>
              <w:t>Director</w:t>
            </w:r>
            <w:r w:rsidRPr="009625FC">
              <w:rPr>
                <w:rFonts w:ascii="Calibri" w:hAnsi="Calibri"/>
                <w:noProof/>
              </w:rPr>
              <w:t xml:space="preserve"> – UN Women National Committee Australia</w:t>
            </w:r>
          </w:p>
        </w:tc>
      </w:tr>
    </w:tbl>
    <w:p w14:paraId="65AD5DC9" w14:textId="77777777" w:rsidR="007E1442" w:rsidRDefault="007E1442">
      <w:r>
        <w:br w:type="page"/>
      </w:r>
    </w:p>
    <w:tbl>
      <w:tblPr>
        <w:tblStyle w:val="TableGrid"/>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1"/>
        <w:gridCol w:w="2186"/>
      </w:tblGrid>
      <w:tr w:rsidR="00C46BB7" w:rsidRPr="009625FC" w14:paraId="537A6BDE" w14:textId="77777777" w:rsidTr="00051726">
        <w:tc>
          <w:tcPr>
            <w:tcW w:w="5751" w:type="dxa"/>
          </w:tcPr>
          <w:p w14:paraId="54F51824" w14:textId="77777777" w:rsidR="00C46BB7" w:rsidRPr="00A34AC1" w:rsidRDefault="00C46BB7" w:rsidP="008067EE">
            <w:pPr>
              <w:rPr>
                <w:rFonts w:ascii="Calibri" w:hAnsi="Calibri"/>
                <w:b/>
                <w:sz w:val="24"/>
              </w:rPr>
            </w:pPr>
            <w:r w:rsidRPr="00A34AC1">
              <w:rPr>
                <w:rFonts w:ascii="Calibri" w:hAnsi="Calibri"/>
                <w:b/>
                <w:sz w:val="24"/>
              </w:rPr>
              <w:t xml:space="preserve">Mr </w:t>
            </w:r>
            <w:r>
              <w:rPr>
                <w:rFonts w:ascii="Calibri" w:hAnsi="Calibri"/>
                <w:b/>
                <w:sz w:val="24"/>
              </w:rPr>
              <w:t xml:space="preserve">Nick </w:t>
            </w:r>
            <w:r w:rsidRPr="00626B9F">
              <w:rPr>
                <w:rFonts w:ascii="Calibri" w:hAnsi="Calibri"/>
                <w:b/>
                <w:sz w:val="24"/>
              </w:rPr>
              <w:t>Minchin</w:t>
            </w:r>
          </w:p>
          <w:p w14:paraId="59ABF904" w14:textId="77777777" w:rsidR="00C46BB7" w:rsidRPr="007D2B54" w:rsidRDefault="00C46BB7" w:rsidP="008067EE">
            <w:pPr>
              <w:keepNext/>
              <w:keepLines/>
              <w:spacing w:before="200" w:after="180"/>
              <w:outlineLvl w:val="3"/>
              <w:rPr>
                <w:rFonts w:ascii="Calibri" w:eastAsiaTheme="majorEastAsia" w:hAnsi="Calibri" w:cstheme="majorBidi"/>
                <w:b/>
                <w:bCs/>
                <w:i/>
                <w:iCs/>
                <w:color w:val="A32035"/>
              </w:rPr>
            </w:pPr>
            <w:r w:rsidRPr="007D2B54">
              <w:rPr>
                <w:rFonts w:ascii="Calibri" w:eastAsiaTheme="majorEastAsia" w:hAnsi="Calibri" w:cstheme="majorBidi"/>
                <w:b/>
                <w:bCs/>
                <w:i/>
                <w:iCs/>
                <w:color w:val="A32035"/>
              </w:rPr>
              <w:t>Non-executive member</w:t>
            </w:r>
          </w:p>
          <w:p w14:paraId="357CE36C" w14:textId="77777777" w:rsidR="00C46BB7" w:rsidRPr="009625FC" w:rsidRDefault="00C46BB7" w:rsidP="008067EE">
            <w:pPr>
              <w:spacing w:after="180"/>
              <w:rPr>
                <w:rFonts w:ascii="Calibri" w:hAnsi="Calibri"/>
              </w:rPr>
            </w:pPr>
            <w:r w:rsidRPr="005106BA">
              <w:rPr>
                <w:rFonts w:ascii="Calibri" w:hAnsi="Calibri"/>
                <w:noProof/>
              </w:rPr>
              <w:t>Member since 17 December 201</w:t>
            </w:r>
            <w:r>
              <w:rPr>
                <w:rFonts w:ascii="Calibri" w:hAnsi="Calibri"/>
                <w:noProof/>
              </w:rPr>
              <w:t>8</w:t>
            </w:r>
          </w:p>
        </w:tc>
        <w:tc>
          <w:tcPr>
            <w:tcW w:w="2186" w:type="dxa"/>
            <w:vMerge w:val="restart"/>
          </w:tcPr>
          <w:p w14:paraId="132D7F54" w14:textId="012D5BB9" w:rsidR="00C46BB7" w:rsidRPr="009625FC" w:rsidRDefault="007C6CF0" w:rsidP="007C6CF0">
            <w:pPr>
              <w:pStyle w:val="ChartGraphic"/>
              <w:rPr>
                <w:noProof/>
              </w:rPr>
            </w:pPr>
            <w:r>
              <w:rPr>
                <w:noProof/>
              </w:rPr>
              <w:drawing>
                <wp:inline distT="0" distB="0" distL="0" distR="0" wp14:anchorId="0431972F" wp14:editId="622E886E">
                  <wp:extent cx="1138304" cy="1476000"/>
                  <wp:effectExtent l="0" t="0" r="5080" b="0"/>
                  <wp:docPr id="6" name="Picture 6" descr="Image result for Nick Min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Nick Minchi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8304" cy="1476000"/>
                          </a:xfrm>
                          <a:prstGeom prst="rect">
                            <a:avLst/>
                          </a:prstGeom>
                          <a:noFill/>
                          <a:ln>
                            <a:noFill/>
                          </a:ln>
                        </pic:spPr>
                      </pic:pic>
                    </a:graphicData>
                  </a:graphic>
                </wp:inline>
              </w:drawing>
            </w:r>
          </w:p>
        </w:tc>
      </w:tr>
      <w:tr w:rsidR="00C46BB7" w:rsidRPr="009625FC" w14:paraId="1474DD88" w14:textId="77777777" w:rsidTr="00051726">
        <w:tc>
          <w:tcPr>
            <w:tcW w:w="5751" w:type="dxa"/>
          </w:tcPr>
          <w:p w14:paraId="1A88FFE3" w14:textId="2D3B9DD8" w:rsidR="00C46BB7" w:rsidRPr="00BA6DAB" w:rsidRDefault="00C46BB7" w:rsidP="007C6CF0">
            <w:pPr>
              <w:tabs>
                <w:tab w:val="left" w:pos="1418"/>
              </w:tabs>
              <w:rPr>
                <w:rFonts w:ascii="Calibri" w:hAnsi="Calibri"/>
                <w:noProof/>
              </w:rPr>
            </w:pPr>
            <w:r w:rsidRPr="005106BA">
              <w:rPr>
                <w:rFonts w:ascii="Calibri" w:hAnsi="Calibri"/>
                <w:noProof/>
              </w:rPr>
              <w:t xml:space="preserve">Mr </w:t>
            </w:r>
            <w:r w:rsidRPr="00626B9F">
              <w:rPr>
                <w:rFonts w:ascii="Calibri" w:hAnsi="Calibri"/>
                <w:noProof/>
              </w:rPr>
              <w:t>Minchin</w:t>
            </w:r>
            <w:r w:rsidRPr="005106BA">
              <w:rPr>
                <w:rFonts w:ascii="Calibri" w:hAnsi="Calibri"/>
                <w:noProof/>
              </w:rPr>
              <w:t xml:space="preserve"> </w:t>
            </w:r>
            <w:r w:rsidRPr="00626B9F">
              <w:rPr>
                <w:rFonts w:ascii="Calibri" w:hAnsi="Calibri"/>
                <w:noProof/>
              </w:rPr>
              <w:t xml:space="preserve">brings wide ranging senior leadership credentials, public policy, industry and international experience to the </w:t>
            </w:r>
            <w:r w:rsidR="009A02EA">
              <w:rPr>
                <w:rFonts w:ascii="Calibri" w:hAnsi="Calibri"/>
                <w:noProof/>
              </w:rPr>
              <w:t>Board</w:t>
            </w:r>
            <w:r>
              <w:rPr>
                <w:rFonts w:ascii="Calibri" w:hAnsi="Calibri"/>
                <w:noProof/>
              </w:rPr>
              <w:t>.</w:t>
            </w:r>
          </w:p>
          <w:p w14:paraId="14CD71F2" w14:textId="75BAB53D" w:rsidR="00C46BB7" w:rsidRPr="00CA5ADB" w:rsidRDefault="00C46BB7" w:rsidP="008067EE">
            <w:pPr>
              <w:spacing w:after="0" w:line="240" w:lineRule="auto"/>
              <w:rPr>
                <w:rFonts w:ascii="Calibri" w:hAnsi="Calibri"/>
                <w:b/>
              </w:rPr>
            </w:pPr>
            <w:r>
              <w:rPr>
                <w:rFonts w:ascii="Calibri" w:hAnsi="Calibri"/>
                <w:noProof/>
                <w:lang w:val="en-US"/>
              </w:rPr>
              <w:t>R</w:t>
            </w:r>
            <w:r w:rsidRPr="003A1ECE">
              <w:rPr>
                <w:rFonts w:ascii="Calibri" w:hAnsi="Calibri"/>
                <w:noProof/>
                <w:lang w:val="en-US"/>
              </w:rPr>
              <w:t xml:space="preserve">ecently, Mr Minchin served as </w:t>
            </w:r>
            <w:r w:rsidR="00B8687A">
              <w:rPr>
                <w:rFonts w:ascii="Calibri" w:hAnsi="Calibri"/>
                <w:noProof/>
                <w:lang w:val="en-US"/>
              </w:rPr>
              <w:t xml:space="preserve">the Australian </w:t>
            </w:r>
            <w:r w:rsidRPr="003A1ECE">
              <w:rPr>
                <w:rFonts w:ascii="Calibri" w:hAnsi="Calibri"/>
                <w:noProof/>
                <w:lang w:val="en-US"/>
              </w:rPr>
              <w:t>Consul-General in New York</w:t>
            </w:r>
            <w:r>
              <w:rPr>
                <w:rFonts w:ascii="Calibri" w:hAnsi="Calibri"/>
                <w:noProof/>
                <w:lang w:val="en-US"/>
              </w:rPr>
              <w:t>.</w:t>
            </w:r>
          </w:p>
        </w:tc>
        <w:tc>
          <w:tcPr>
            <w:tcW w:w="2186" w:type="dxa"/>
            <w:vMerge/>
          </w:tcPr>
          <w:p w14:paraId="28991985" w14:textId="77777777" w:rsidR="00C46BB7" w:rsidRPr="009625FC" w:rsidRDefault="00C46BB7" w:rsidP="008067EE">
            <w:pPr>
              <w:spacing w:after="120"/>
              <w:jc w:val="left"/>
              <w:rPr>
                <w:rFonts w:ascii="Calibri" w:hAnsi="Calibri"/>
                <w:b/>
                <w:noProof/>
              </w:rPr>
            </w:pPr>
          </w:p>
        </w:tc>
      </w:tr>
      <w:tr w:rsidR="00C46BB7" w:rsidRPr="009625FC" w14:paraId="41B25E65" w14:textId="77777777" w:rsidTr="008067EE">
        <w:tc>
          <w:tcPr>
            <w:tcW w:w="7937" w:type="dxa"/>
            <w:gridSpan w:val="2"/>
          </w:tcPr>
          <w:p w14:paraId="1D14CABC" w14:textId="3BF7BB56" w:rsidR="00C46BB7" w:rsidRPr="0038534B" w:rsidRDefault="00C46BB7" w:rsidP="00663356">
            <w:pPr>
              <w:spacing w:before="240" w:line="276" w:lineRule="auto"/>
              <w:rPr>
                <w:rFonts w:ascii="Calibri" w:eastAsiaTheme="majorEastAsia" w:hAnsi="Calibri"/>
                <w:lang w:val="en-US"/>
              </w:rPr>
            </w:pPr>
            <w:r w:rsidRPr="003A1ECE">
              <w:rPr>
                <w:rFonts w:ascii="Calibri" w:hAnsi="Calibri"/>
                <w:noProof/>
                <w:lang w:val="en-US"/>
              </w:rPr>
              <w:t>Mr Minchin held a number of ministerial positions, including as Minister for Industry, Science and Resources from 1998 until 2001 and Minister for Finance and Administration from 2001 until 2007. While in office, he held the posts of Leader of the Government in the Senate, and Vice</w:t>
            </w:r>
            <w:r w:rsidRPr="003A1ECE">
              <w:rPr>
                <w:rFonts w:ascii="Calibri" w:hAnsi="Calibri"/>
                <w:noProof/>
                <w:lang w:val="en-US"/>
              </w:rPr>
              <w:noBreakHyphen/>
              <w:t>President of the Executive Council.</w:t>
            </w:r>
            <w:r w:rsidR="00EF1079" w:rsidRPr="003A1ECE">
              <w:rPr>
                <w:rFonts w:ascii="Calibri" w:hAnsi="Calibri"/>
                <w:noProof/>
                <w:lang w:val="en-US"/>
              </w:rPr>
              <w:t xml:space="preserve"> Mr Minchin was elected to the Australian Senate for South Australia in July 1993 and served </w:t>
            </w:r>
            <w:r w:rsidR="00EF1079">
              <w:rPr>
                <w:rFonts w:ascii="Calibri" w:hAnsi="Calibri"/>
                <w:noProof/>
                <w:lang w:val="en-US"/>
              </w:rPr>
              <w:t>until June 2011.</w:t>
            </w:r>
          </w:p>
        </w:tc>
      </w:tr>
      <w:tr w:rsidR="00C46BB7" w:rsidRPr="009625FC" w14:paraId="03256192" w14:textId="77777777" w:rsidTr="008067EE">
        <w:tc>
          <w:tcPr>
            <w:tcW w:w="7937" w:type="dxa"/>
            <w:gridSpan w:val="2"/>
          </w:tcPr>
          <w:p w14:paraId="72DC2932" w14:textId="77777777" w:rsidR="00C46BB7" w:rsidRPr="009625FC" w:rsidRDefault="00C46BB7" w:rsidP="0038534B">
            <w:pPr>
              <w:jc w:val="left"/>
              <w:rPr>
                <w:rFonts w:ascii="Calibri" w:hAnsi="Calibri"/>
                <w:b/>
                <w:noProof/>
              </w:rPr>
            </w:pPr>
          </w:p>
        </w:tc>
      </w:tr>
      <w:tr w:rsidR="00C46BB7" w:rsidRPr="009625FC" w14:paraId="1F518914" w14:textId="77777777" w:rsidTr="00051726">
        <w:tc>
          <w:tcPr>
            <w:tcW w:w="5751" w:type="dxa"/>
          </w:tcPr>
          <w:p w14:paraId="4C1CE200" w14:textId="77777777" w:rsidR="00C46BB7" w:rsidRPr="002C2D66" w:rsidRDefault="00C46BB7" w:rsidP="008067EE">
            <w:pPr>
              <w:jc w:val="left"/>
              <w:rPr>
                <w:rFonts w:ascii="Calibri" w:hAnsi="Calibri"/>
                <w:b/>
                <w:sz w:val="24"/>
              </w:rPr>
            </w:pPr>
            <w:r w:rsidRPr="002C2D66">
              <w:rPr>
                <w:rFonts w:ascii="Calibri" w:hAnsi="Calibri"/>
                <w:b/>
                <w:sz w:val="24"/>
              </w:rPr>
              <w:t>Mr Roger Brake</w:t>
            </w:r>
          </w:p>
          <w:p w14:paraId="0B16EA2E" w14:textId="77777777" w:rsidR="00C46BB7" w:rsidRPr="007D2B54" w:rsidRDefault="00C46BB7" w:rsidP="008067EE">
            <w:pPr>
              <w:keepNext/>
              <w:keepLines/>
              <w:spacing w:before="120" w:after="120"/>
              <w:outlineLvl w:val="3"/>
              <w:rPr>
                <w:rFonts w:ascii="Calibri" w:eastAsiaTheme="majorEastAsia" w:hAnsi="Calibri" w:cstheme="majorBidi"/>
                <w:b/>
                <w:bCs/>
                <w:i/>
                <w:iCs/>
                <w:color w:val="A32035"/>
              </w:rPr>
            </w:pPr>
            <w:r w:rsidRPr="007D2B54">
              <w:rPr>
                <w:rFonts w:ascii="Calibri" w:eastAsiaTheme="majorEastAsia" w:hAnsi="Calibri" w:cstheme="majorBidi"/>
                <w:b/>
                <w:bCs/>
                <w:i/>
                <w:iCs/>
                <w:color w:val="A32035"/>
              </w:rPr>
              <w:t>Executive member</w:t>
            </w:r>
          </w:p>
          <w:p w14:paraId="09229878" w14:textId="77777777" w:rsidR="00C46BB7" w:rsidRPr="00444E14" w:rsidRDefault="00C46BB7" w:rsidP="008067EE">
            <w:pPr>
              <w:spacing w:after="160"/>
              <w:rPr>
                <w:rFonts w:ascii="Calibri" w:hAnsi="Calibri"/>
              </w:rPr>
            </w:pPr>
            <w:r>
              <w:rPr>
                <w:rFonts w:ascii="Calibri" w:hAnsi="Calibri"/>
              </w:rPr>
              <w:t>Member since 6 March 2017</w:t>
            </w:r>
          </w:p>
        </w:tc>
        <w:tc>
          <w:tcPr>
            <w:tcW w:w="2186" w:type="dxa"/>
            <w:vMerge w:val="restart"/>
          </w:tcPr>
          <w:p w14:paraId="0F3FD816" w14:textId="77777777" w:rsidR="00C46BB7" w:rsidRPr="009625FC" w:rsidRDefault="00C46BB7" w:rsidP="008067EE">
            <w:pPr>
              <w:pStyle w:val="ChartGraphic"/>
              <w:jc w:val="right"/>
              <w:rPr>
                <w:b/>
                <w:noProof/>
              </w:rPr>
            </w:pPr>
            <w:r w:rsidRPr="00CB54C2">
              <w:rPr>
                <w:noProof/>
              </w:rPr>
              <w:drawing>
                <wp:inline distT="0" distB="0" distL="0" distR="0" wp14:anchorId="6AE39F0C" wp14:editId="39598346">
                  <wp:extent cx="1083645" cy="1476000"/>
                  <wp:effectExtent l="0" t="0" r="2540" b="0"/>
                  <wp:docPr id="22" name="Picture 22" descr="\\tweb\DavWWWRoot\sites\mg\fitpd\Lfirbannualrport\2016-17\Report design\Portraits_Roger_Br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eb\DavWWWRoot\sites\mg\fitpd\Lfirbannualrport\2016-17\Report design\Portraits_Roger_Brake.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7550" t="5660" b="4647"/>
                          <a:stretch/>
                        </pic:blipFill>
                        <pic:spPr bwMode="auto">
                          <a:xfrm>
                            <a:off x="0" y="0"/>
                            <a:ext cx="1083645" cy="14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6BB7" w:rsidRPr="009625FC" w14:paraId="370FF098" w14:textId="77777777" w:rsidTr="00051726">
        <w:tc>
          <w:tcPr>
            <w:tcW w:w="5751" w:type="dxa"/>
          </w:tcPr>
          <w:p w14:paraId="160489E0" w14:textId="58CA3DC9" w:rsidR="00C46BB7" w:rsidRPr="00444E14" w:rsidRDefault="00C46BB7" w:rsidP="00CA21BE">
            <w:pPr>
              <w:spacing w:after="0"/>
              <w:rPr>
                <w:rFonts w:ascii="Calibri" w:hAnsi="Calibri"/>
                <w:noProof/>
              </w:rPr>
            </w:pPr>
            <w:r w:rsidRPr="00444E14">
              <w:rPr>
                <w:rFonts w:ascii="Calibri" w:hAnsi="Calibri"/>
                <w:noProof/>
              </w:rPr>
              <w:t>The positio</w:t>
            </w:r>
            <w:r>
              <w:rPr>
                <w:rFonts w:ascii="Calibri" w:hAnsi="Calibri"/>
                <w:noProof/>
              </w:rPr>
              <w:t>n of executive m</w:t>
            </w:r>
            <w:r w:rsidRPr="00444E14">
              <w:rPr>
                <w:rFonts w:ascii="Calibri" w:hAnsi="Calibri"/>
                <w:noProof/>
              </w:rPr>
              <w:t xml:space="preserve">ember is held by the Head of Treasury’s </w:t>
            </w:r>
            <w:r w:rsidR="00A74639">
              <w:rPr>
                <w:rFonts w:ascii="Calibri" w:hAnsi="Calibri"/>
                <w:noProof/>
              </w:rPr>
              <w:t>F</w:t>
            </w:r>
            <w:r w:rsidR="00CA21BE">
              <w:rPr>
                <w:rFonts w:ascii="Calibri" w:hAnsi="Calibri"/>
                <w:noProof/>
              </w:rPr>
              <w:t>oreign Investment Division</w:t>
            </w:r>
            <w:r>
              <w:rPr>
                <w:rFonts w:ascii="Calibri" w:hAnsi="Calibri"/>
                <w:noProof/>
              </w:rPr>
              <w:t>. The executive m</w:t>
            </w:r>
            <w:r w:rsidRPr="00444E14">
              <w:rPr>
                <w:rFonts w:ascii="Calibri" w:hAnsi="Calibri"/>
                <w:noProof/>
              </w:rPr>
              <w:t xml:space="preserve">ember provides the link between the </w:t>
            </w:r>
            <w:r w:rsidR="009A02EA">
              <w:rPr>
                <w:rFonts w:ascii="Calibri" w:hAnsi="Calibri"/>
                <w:noProof/>
              </w:rPr>
              <w:t>Board</w:t>
            </w:r>
            <w:r w:rsidRPr="00444E14">
              <w:rPr>
                <w:rFonts w:ascii="Calibri" w:hAnsi="Calibri"/>
                <w:noProof/>
              </w:rPr>
              <w:t xml:space="preserve"> and the Treasury, which provides </w:t>
            </w:r>
            <w:r w:rsidRPr="002F6DE1">
              <w:rPr>
                <w:rFonts w:ascii="Calibri" w:hAnsi="Calibri"/>
              </w:rPr>
              <w:t>secretariat</w:t>
            </w:r>
            <w:r w:rsidRPr="00444E14">
              <w:rPr>
                <w:rFonts w:ascii="Calibri" w:hAnsi="Calibri"/>
                <w:noProof/>
              </w:rPr>
              <w:t xml:space="preserve"> support to the </w:t>
            </w:r>
            <w:r w:rsidR="009A02EA">
              <w:rPr>
                <w:rFonts w:ascii="Calibri" w:hAnsi="Calibri"/>
                <w:noProof/>
              </w:rPr>
              <w:t>Board</w:t>
            </w:r>
            <w:r w:rsidRPr="00444E14">
              <w:rPr>
                <w:rFonts w:ascii="Calibri" w:hAnsi="Calibri"/>
                <w:noProof/>
              </w:rPr>
              <w:t>.</w:t>
            </w:r>
          </w:p>
        </w:tc>
        <w:tc>
          <w:tcPr>
            <w:tcW w:w="2186" w:type="dxa"/>
            <w:vMerge/>
          </w:tcPr>
          <w:p w14:paraId="472A2666" w14:textId="77777777" w:rsidR="00C46BB7" w:rsidRPr="009625FC" w:rsidRDefault="00C46BB7" w:rsidP="008067EE">
            <w:pPr>
              <w:spacing w:after="120"/>
              <w:jc w:val="left"/>
              <w:rPr>
                <w:rFonts w:ascii="Calibri" w:hAnsi="Calibri"/>
                <w:b/>
                <w:noProof/>
              </w:rPr>
            </w:pPr>
          </w:p>
        </w:tc>
      </w:tr>
    </w:tbl>
    <w:p w14:paraId="15C9A8B4" w14:textId="77777777" w:rsidR="003C1793" w:rsidRDefault="003C1793">
      <w:pPr>
        <w:spacing w:after="200" w:line="276" w:lineRule="auto"/>
        <w:jc w:val="left"/>
        <w:rPr>
          <w:rFonts w:ascii="Calibri" w:hAnsi="Calibri" w:cs="Arial"/>
          <w:b/>
          <w:bCs/>
          <w:iCs/>
          <w:color w:val="A32035"/>
          <w:sz w:val="28"/>
          <w:szCs w:val="28"/>
        </w:rPr>
      </w:pPr>
      <w:bookmarkStart w:id="168" w:name="_Toc529545235"/>
      <w:bookmarkStart w:id="169" w:name="_Toc529794999"/>
      <w:bookmarkStart w:id="170" w:name="_Toc529802482"/>
      <w:bookmarkStart w:id="171" w:name="_Toc529878057"/>
      <w:bookmarkStart w:id="172" w:name="_Toc529879281"/>
      <w:bookmarkStart w:id="173" w:name="_Toc529882546"/>
      <w:bookmarkStart w:id="174" w:name="_Toc529885217"/>
      <w:bookmarkStart w:id="175" w:name="_Toc529890689"/>
      <w:bookmarkStart w:id="176" w:name="_Toc529970060"/>
      <w:bookmarkStart w:id="177" w:name="_Toc529979415"/>
      <w:bookmarkStart w:id="178" w:name="_Toc530050460"/>
      <w:bookmarkStart w:id="179" w:name="_Toc530065539"/>
      <w:bookmarkStart w:id="180" w:name="_Toc530066367"/>
      <w:bookmarkStart w:id="181" w:name="_Toc530145087"/>
      <w:bookmarkStart w:id="182" w:name="_Toc530146057"/>
      <w:bookmarkStart w:id="183" w:name="_Toc530146978"/>
      <w:bookmarkStart w:id="184" w:name="_Toc530148336"/>
      <w:bookmarkStart w:id="185" w:name="_Toc530148537"/>
      <w:bookmarkStart w:id="186" w:name="_Toc530149209"/>
      <w:bookmarkStart w:id="187" w:name="_Toc530149780"/>
      <w:r>
        <w:br w:type="page"/>
      </w:r>
    </w:p>
    <w:p w14:paraId="0172E09E" w14:textId="77777777" w:rsidR="00CB54C2" w:rsidRPr="002C2D66" w:rsidRDefault="00CB54C2" w:rsidP="003C2223">
      <w:pPr>
        <w:pStyle w:val="Heading2"/>
      </w:pPr>
      <w:bookmarkStart w:id="188" w:name="_Toc532207323"/>
      <w:bookmarkStart w:id="189" w:name="_Toc532217711"/>
      <w:bookmarkStart w:id="190" w:name="_Toc532218732"/>
      <w:bookmarkStart w:id="191" w:name="_Toc532219044"/>
      <w:bookmarkStart w:id="192" w:name="_Toc532223728"/>
      <w:bookmarkStart w:id="193" w:name="_Toc532224187"/>
      <w:bookmarkStart w:id="194" w:name="_Toc532226666"/>
      <w:bookmarkStart w:id="195" w:name="_Toc536029368"/>
      <w:bookmarkStart w:id="196" w:name="_Toc1120390"/>
      <w:bookmarkStart w:id="197" w:name="_Toc1121961"/>
      <w:r w:rsidRPr="00CB54C2">
        <w:t xml:space="preserve">Public </w:t>
      </w:r>
      <w:r w:rsidRPr="003C2223">
        <w:t>speeches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2F1FB69C" w14:textId="61B12587" w:rsidR="00CB54C2" w:rsidRDefault="00CB54C2" w:rsidP="002C2D66">
      <w:pPr>
        <w:spacing w:after="200"/>
      </w:pPr>
      <w:r w:rsidRPr="00CB54C2">
        <w:t xml:space="preserve">During 2017–18, </w:t>
      </w:r>
      <w:r w:rsidR="00D10F6F">
        <w:t xml:space="preserve">Mr Irvine, </w:t>
      </w:r>
      <w:r w:rsidRPr="00CB54C2">
        <w:t xml:space="preserve">the Chair of the </w:t>
      </w:r>
      <w:r w:rsidR="002A792D">
        <w:t>Board</w:t>
      </w:r>
      <w:r w:rsidR="00CA21BE">
        <w:t>,</w:t>
      </w:r>
      <w:r w:rsidRPr="00CB54C2">
        <w:t xml:space="preserve"> gave several speeches and interviews relating to the foreign investment </w:t>
      </w:r>
      <w:r w:rsidR="00C16F87">
        <w:t xml:space="preserve">framework </w:t>
      </w:r>
      <w:r w:rsidR="00FC205D">
        <w:t>and</w:t>
      </w:r>
      <w:r w:rsidR="000561B1">
        <w:t>,</w:t>
      </w:r>
      <w:r w:rsidR="00F4613B" w:rsidRPr="00CB54C2">
        <w:t xml:space="preserve"> </w:t>
      </w:r>
      <w:r w:rsidR="000561B1">
        <w:t xml:space="preserve">specifically, </w:t>
      </w:r>
      <w:r w:rsidR="00F4613B" w:rsidRPr="00CB54C2">
        <w:t>the</w:t>
      </w:r>
      <w:r w:rsidRPr="00CB54C2">
        <w:t xml:space="preserve"> systemic pressures that will influence the direction of policy. This</w:t>
      </w:r>
      <w:r w:rsidRPr="00CB54C2" w:rsidDel="002A7BB4">
        <w:t xml:space="preserve"> </w:t>
      </w:r>
      <w:r w:rsidRPr="00CB54C2">
        <w:t xml:space="preserve">included the keynote address at the Committee for Economic Development of Australia conference </w:t>
      </w:r>
      <w:r w:rsidRPr="00CB54C2">
        <w:rPr>
          <w:i/>
        </w:rPr>
        <w:t xml:space="preserve">Agribusiness Outlook: Investment, Innovation and Growth </w:t>
      </w:r>
      <w:r w:rsidRPr="00CB54C2">
        <w:t xml:space="preserve">and an address </w:t>
      </w:r>
      <w:r w:rsidR="000C5797">
        <w:t>to the International CEO Forum.</w:t>
      </w:r>
    </w:p>
    <w:p w14:paraId="40DDB1D3" w14:textId="50DF3F1E" w:rsidR="006F6ECF" w:rsidRDefault="000561B1" w:rsidP="00ED3A20">
      <w:pPr>
        <w:spacing w:after="200"/>
      </w:pPr>
      <w:r>
        <w:t>These speeches encourage</w:t>
      </w:r>
      <w:r w:rsidR="006F6ECF">
        <w:t xml:space="preserve"> </w:t>
      </w:r>
      <w:r w:rsidR="003C1793">
        <w:t>two-way</w:t>
      </w:r>
      <w:r w:rsidR="006F6ECF">
        <w:t xml:space="preserve"> dialogue between the </w:t>
      </w:r>
      <w:r w:rsidR="00E6710D">
        <w:t>Board</w:t>
      </w:r>
      <w:r w:rsidR="006F6ECF">
        <w:t xml:space="preserve"> and investors (or their representatives). Interactions with investors allow the </w:t>
      </w:r>
      <w:r w:rsidR="00E6710D">
        <w:t>Board</w:t>
      </w:r>
      <w:r w:rsidR="006F6ECF">
        <w:t xml:space="preserve"> to gain market intelligence and help </w:t>
      </w:r>
      <w:r w:rsidR="00ED3A20">
        <w:t>it</w:t>
      </w:r>
      <w:r w:rsidR="006F6ECF">
        <w:t xml:space="preserve"> give high quality advice to the Government. Interactions with the </w:t>
      </w:r>
      <w:r w:rsidR="00E6710D">
        <w:t>Board</w:t>
      </w:r>
      <w:r w:rsidR="006F6ECF">
        <w:t xml:space="preserve"> allow investors to better understand the foreign investment applicat</w:t>
      </w:r>
      <w:r w:rsidR="004435B6">
        <w:t>ion process.</w:t>
      </w:r>
    </w:p>
    <w:p w14:paraId="6EAD54C3" w14:textId="33C61891" w:rsidR="00CB54C2" w:rsidRPr="00CB54C2" w:rsidRDefault="00CB54C2" w:rsidP="002C2D66">
      <w:pPr>
        <w:spacing w:after="200"/>
        <w:jc w:val="left"/>
      </w:pPr>
      <w:r w:rsidRPr="00CB54C2">
        <w:t xml:space="preserve">Mr Irvine’s speeches on foreign investment are available on the </w:t>
      </w:r>
      <w:r w:rsidR="00E6710D">
        <w:t>FIRB</w:t>
      </w:r>
      <w:r w:rsidRPr="00CB54C2">
        <w:t xml:space="preserve"> website.</w:t>
      </w:r>
    </w:p>
    <w:p w14:paraId="0A99BD3C" w14:textId="3F5C6186" w:rsidR="00CB54C2" w:rsidRDefault="00444E14" w:rsidP="002C2D66">
      <w:pPr>
        <w:pStyle w:val="TableGraphic"/>
        <w:spacing w:after="40"/>
      </w:pPr>
      <w:r w:rsidRPr="007E1442">
        <w:rPr>
          <w:noProof/>
        </w:rPr>
        <w:drawing>
          <wp:inline distT="0" distB="0" distL="0" distR="0" wp14:anchorId="59767C13" wp14:editId="1C6804DD">
            <wp:extent cx="4428000" cy="2948337"/>
            <wp:effectExtent l="0" t="0" r="0" b="4445"/>
            <wp:docPr id="41" name="Picture 41" descr="\\tweb\DavWWWRoot\sites\mg\fitpd\Lfirbannualrport\2017-18\Design\Photos\Irvine_Perth Infra Event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eb\DavWWWRoot\sites\mg\fitpd\Lfirbannualrport\2017-18\Design\Photos\Irvine_Perth Infra Event_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28000" cy="2948337"/>
                    </a:xfrm>
                    <a:prstGeom prst="rect">
                      <a:avLst/>
                    </a:prstGeom>
                    <a:noFill/>
                    <a:ln w="3175">
                      <a:noFill/>
                    </a:ln>
                  </pic:spPr>
                </pic:pic>
              </a:graphicData>
            </a:graphic>
          </wp:inline>
        </w:drawing>
      </w:r>
    </w:p>
    <w:p w14:paraId="434F156C" w14:textId="14FD7D94" w:rsidR="00C7159C" w:rsidRPr="002C2D66" w:rsidRDefault="008343A5" w:rsidP="003C2223">
      <w:pPr>
        <w:pStyle w:val="ChartorTableNote"/>
      </w:pPr>
      <w:r>
        <w:t>FIRB</w:t>
      </w:r>
      <w:r w:rsidR="005D67D3">
        <w:t xml:space="preserve"> Chair </w:t>
      </w:r>
      <w:r w:rsidR="00A04368" w:rsidRPr="00CD0F97">
        <w:t xml:space="preserve">David Irvine </w:t>
      </w:r>
      <w:r w:rsidR="00A04368" w:rsidRPr="00C71492">
        <w:t xml:space="preserve">at the </w:t>
      </w:r>
      <w:r w:rsidR="00C71492" w:rsidRPr="00C71492">
        <w:t>Annual</w:t>
      </w:r>
      <w:r w:rsidR="000F68EA" w:rsidRPr="00C71492">
        <w:t xml:space="preserve"> Infrastructure </w:t>
      </w:r>
      <w:r w:rsidR="00C71492" w:rsidRPr="00C71492">
        <w:t>Investors’ Forum, 14 August</w:t>
      </w:r>
      <w:r w:rsidR="000F68EA" w:rsidRPr="00CD0F97">
        <w:t xml:space="preserve"> 2018</w:t>
      </w:r>
      <w:bookmarkStart w:id="198" w:name="_Toc529545236"/>
    </w:p>
    <w:p w14:paraId="46FD5062" w14:textId="53DFFCC1" w:rsidR="00CB54C2" w:rsidRPr="007D2B54" w:rsidRDefault="00CB54C2" w:rsidP="003C2223">
      <w:pPr>
        <w:pStyle w:val="Heading2"/>
      </w:pPr>
      <w:bookmarkStart w:id="199" w:name="_Toc529795000"/>
      <w:bookmarkStart w:id="200" w:name="_Toc529802483"/>
      <w:bookmarkStart w:id="201" w:name="_Toc529878058"/>
      <w:bookmarkStart w:id="202" w:name="_Toc529879282"/>
      <w:bookmarkStart w:id="203" w:name="_Toc529882547"/>
      <w:bookmarkStart w:id="204" w:name="_Toc529885218"/>
      <w:bookmarkStart w:id="205" w:name="_Toc529890690"/>
      <w:bookmarkStart w:id="206" w:name="_Toc529970061"/>
      <w:bookmarkStart w:id="207" w:name="_Toc529979416"/>
      <w:bookmarkStart w:id="208" w:name="_Toc530050461"/>
      <w:bookmarkStart w:id="209" w:name="_Toc530065540"/>
      <w:bookmarkStart w:id="210" w:name="_Toc530066368"/>
      <w:bookmarkStart w:id="211" w:name="_Toc530145088"/>
      <w:bookmarkStart w:id="212" w:name="_Toc530146058"/>
      <w:bookmarkStart w:id="213" w:name="_Toc530146979"/>
      <w:bookmarkStart w:id="214" w:name="_Toc530148337"/>
      <w:bookmarkStart w:id="215" w:name="_Toc530148538"/>
      <w:bookmarkStart w:id="216" w:name="_Toc530149210"/>
      <w:bookmarkStart w:id="217" w:name="_Toc530149781"/>
      <w:bookmarkStart w:id="218" w:name="_Toc532207324"/>
      <w:bookmarkStart w:id="219" w:name="_Toc532217712"/>
      <w:bookmarkStart w:id="220" w:name="_Toc532218733"/>
      <w:bookmarkStart w:id="221" w:name="_Toc532219045"/>
      <w:bookmarkStart w:id="222" w:name="_Toc532223729"/>
      <w:bookmarkStart w:id="223" w:name="_Toc532224188"/>
      <w:bookmarkStart w:id="224" w:name="_Toc532226667"/>
      <w:bookmarkStart w:id="225" w:name="_Toc536029369"/>
      <w:bookmarkStart w:id="226" w:name="_Toc1120391"/>
      <w:bookmarkStart w:id="227" w:name="_Toc1121962"/>
      <w:r w:rsidRPr="007D2B54">
        <w:t xml:space="preserve">FIRB </w:t>
      </w:r>
      <w:r w:rsidR="00C63079" w:rsidRPr="003C2223">
        <w:t>a</w:t>
      </w:r>
      <w:r w:rsidRPr="003C2223">
        <w:t>gencies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921DD0B" w14:textId="7033D372" w:rsidR="00CB54C2" w:rsidRPr="00CB54C2" w:rsidRDefault="00CB54C2" w:rsidP="00E71351">
      <w:pPr>
        <w:spacing w:after="200"/>
        <w:rPr>
          <w:szCs w:val="24"/>
        </w:rPr>
      </w:pPr>
      <w:r w:rsidRPr="00CB54C2">
        <w:rPr>
          <w:szCs w:val="24"/>
        </w:rPr>
        <w:t xml:space="preserve">The </w:t>
      </w:r>
      <w:r w:rsidR="002A792D">
        <w:rPr>
          <w:szCs w:val="24"/>
        </w:rPr>
        <w:t>Board</w:t>
      </w:r>
      <w:r w:rsidRPr="00CB54C2">
        <w:rPr>
          <w:szCs w:val="24"/>
        </w:rPr>
        <w:t xml:space="preserve"> is supported in its responsibilities by Treasury’s </w:t>
      </w:r>
      <w:r w:rsidR="00CA21BE">
        <w:rPr>
          <w:szCs w:val="24"/>
        </w:rPr>
        <w:t>Foreign Investment Division</w:t>
      </w:r>
      <w:r w:rsidRPr="00CB54C2">
        <w:rPr>
          <w:szCs w:val="24"/>
        </w:rPr>
        <w:t xml:space="preserve"> and </w:t>
      </w:r>
      <w:r w:rsidR="00EF1079">
        <w:rPr>
          <w:szCs w:val="24"/>
        </w:rPr>
        <w:t>Public Groups and International</w:t>
      </w:r>
      <w:r w:rsidR="00EF1079" w:rsidRPr="00CB54C2">
        <w:rPr>
          <w:szCs w:val="24"/>
        </w:rPr>
        <w:t xml:space="preserve"> </w:t>
      </w:r>
      <w:r w:rsidR="00EF1079">
        <w:rPr>
          <w:szCs w:val="24"/>
        </w:rPr>
        <w:t xml:space="preserve">in </w:t>
      </w:r>
      <w:r w:rsidRPr="00CB54C2">
        <w:rPr>
          <w:szCs w:val="24"/>
        </w:rPr>
        <w:t>the A</w:t>
      </w:r>
      <w:r w:rsidR="00EF1079">
        <w:rPr>
          <w:szCs w:val="24"/>
        </w:rPr>
        <w:t>ustralian Taxation Office (ATO)</w:t>
      </w:r>
      <w:r w:rsidRPr="00CB54C2">
        <w:rPr>
          <w:szCs w:val="24"/>
        </w:rPr>
        <w:t xml:space="preserve">. </w:t>
      </w:r>
      <w:r w:rsidRPr="00CB54C2">
        <w:t>Treasury and the ATO are collectively</w:t>
      </w:r>
      <w:r w:rsidR="009B28E7">
        <w:t xml:space="preserve"> referred to in this report as </w:t>
      </w:r>
      <w:r w:rsidR="00F619FE">
        <w:t>‘</w:t>
      </w:r>
      <w:r w:rsidR="00C72B02">
        <w:t>FIRB</w:t>
      </w:r>
      <w:r w:rsidRPr="00CB54C2">
        <w:t xml:space="preserve"> agencies</w:t>
      </w:r>
      <w:r w:rsidR="00F619FE">
        <w:t>’</w:t>
      </w:r>
      <w:r w:rsidRPr="00CB54C2">
        <w:t>.</w:t>
      </w:r>
    </w:p>
    <w:p w14:paraId="23FF5447" w14:textId="77777777" w:rsidR="00CB54C2" w:rsidRPr="00CB54C2" w:rsidRDefault="00CB54C2" w:rsidP="003C2223">
      <w:pPr>
        <w:pStyle w:val="Heading3"/>
        <w:rPr>
          <w:b w:val="0"/>
          <w:smallCaps/>
          <w:sz w:val="22"/>
        </w:rPr>
      </w:pPr>
      <w:r w:rsidRPr="003C2223">
        <w:t>Treasury</w:t>
      </w:r>
    </w:p>
    <w:p w14:paraId="6401564F" w14:textId="743BFCB6" w:rsidR="00CB54C2" w:rsidRPr="00CB54C2" w:rsidRDefault="00207B9A">
      <w:pPr>
        <w:spacing w:after="200" w:line="240" w:lineRule="auto"/>
        <w:rPr>
          <w:rFonts w:eastAsiaTheme="minorHAnsi"/>
        </w:rPr>
      </w:pPr>
      <w:r>
        <w:t>Foreign Investment Division</w:t>
      </w:r>
      <w:r w:rsidR="00CB54C2" w:rsidRPr="00CB54C2">
        <w:t xml:space="preserve"> is responsible for </w:t>
      </w:r>
      <w:r w:rsidR="005938C9">
        <w:t xml:space="preserve">advising government on all aspects of foreign investment policy. It is also responsible for </w:t>
      </w:r>
      <w:r w:rsidR="00CB54C2" w:rsidRPr="00CB54C2">
        <w:t xml:space="preserve">the day-to-day administration of the foreign investment framework in relation to business, agriculture and sensitive or complex commercial </w:t>
      </w:r>
      <w:r w:rsidR="008140EE">
        <w:t>real estate</w:t>
      </w:r>
      <w:r w:rsidR="008140EE" w:rsidRPr="00CB54C2">
        <w:t xml:space="preserve"> </w:t>
      </w:r>
      <w:r w:rsidR="00CF2EAC">
        <w:t>cases</w:t>
      </w:r>
      <w:r w:rsidR="00CB54C2" w:rsidRPr="00CB54C2">
        <w:t>.</w:t>
      </w:r>
    </w:p>
    <w:p w14:paraId="49E9289D" w14:textId="77777777" w:rsidR="00CB54C2" w:rsidRPr="00CB54C2" w:rsidRDefault="00CB54C2" w:rsidP="003C2223">
      <w:pPr>
        <w:pStyle w:val="Heading3"/>
        <w:rPr>
          <w:b w:val="0"/>
          <w:sz w:val="22"/>
        </w:rPr>
      </w:pPr>
      <w:r w:rsidRPr="00CB54C2">
        <w:t xml:space="preserve">Australian </w:t>
      </w:r>
      <w:r w:rsidRPr="003C2223">
        <w:t>Taxation</w:t>
      </w:r>
      <w:r w:rsidRPr="00CB54C2">
        <w:t xml:space="preserve"> Office</w:t>
      </w:r>
    </w:p>
    <w:p w14:paraId="10C7EA14" w14:textId="555BE284" w:rsidR="00CB54C2" w:rsidRPr="00CB54C2" w:rsidRDefault="005938C9" w:rsidP="00CB54C2">
      <w:r>
        <w:t>T</w:t>
      </w:r>
      <w:r w:rsidR="00CB54C2" w:rsidRPr="00CB54C2">
        <w:t>he ATO administer</w:t>
      </w:r>
      <w:r>
        <w:t>s</w:t>
      </w:r>
      <w:r w:rsidR="00CB54C2" w:rsidRPr="00CB54C2">
        <w:t xml:space="preserve"> all aspects of foreign investment in residential real estate </w:t>
      </w:r>
      <w:r>
        <w:t>and</w:t>
      </w:r>
      <w:r w:rsidR="00CF0AAD">
        <w:br/>
      </w:r>
      <w:r w:rsidR="00CB54C2" w:rsidRPr="00CB54C2">
        <w:t xml:space="preserve">non-sensitive commercial real estate and </w:t>
      </w:r>
      <w:r w:rsidR="008140EE">
        <w:t>corporate</w:t>
      </w:r>
      <w:r w:rsidR="008140EE" w:rsidRPr="00CB54C2">
        <w:t xml:space="preserve"> </w:t>
      </w:r>
      <w:r w:rsidR="00CB54C2" w:rsidRPr="00CB54C2">
        <w:t>reorganisation cases. The ATO also has responsibility for the collection of all foreign investment application fees</w:t>
      </w:r>
      <w:r w:rsidR="002048F0">
        <w:t>,</w:t>
      </w:r>
      <w:r w:rsidR="00CB54C2" w:rsidRPr="00CB54C2">
        <w:t xml:space="preserve"> and for </w:t>
      </w:r>
      <w:r w:rsidR="002F5A18">
        <w:t xml:space="preserve">developing and </w:t>
      </w:r>
      <w:r w:rsidR="00CB54C2" w:rsidRPr="00CB54C2">
        <w:t>administering the registers of foreign ownership of agricultural land, water entitlements and residential land.</w:t>
      </w:r>
    </w:p>
    <w:p w14:paraId="5367D539" w14:textId="77777777" w:rsidR="003A021B" w:rsidRPr="00115641" w:rsidRDefault="003A021B" w:rsidP="003C2223">
      <w:pPr>
        <w:pStyle w:val="Heading2"/>
      </w:pPr>
      <w:bookmarkStart w:id="228" w:name="_Toc532207325"/>
      <w:bookmarkStart w:id="229" w:name="_Toc532217713"/>
      <w:bookmarkStart w:id="230" w:name="_Toc532218734"/>
      <w:bookmarkStart w:id="231" w:name="_Toc532219046"/>
      <w:bookmarkStart w:id="232" w:name="_Toc532223730"/>
      <w:bookmarkStart w:id="233" w:name="_Toc532224189"/>
      <w:bookmarkStart w:id="234" w:name="_Toc532226668"/>
      <w:bookmarkStart w:id="235" w:name="_Toc536029370"/>
      <w:bookmarkStart w:id="236" w:name="_Toc1120392"/>
      <w:bookmarkStart w:id="237" w:name="_Toc1121963"/>
      <w:bookmarkStart w:id="238" w:name="_Toc512259052"/>
      <w:bookmarkStart w:id="239" w:name="_Toc512523474"/>
      <w:bookmarkStart w:id="240" w:name="_Toc512524843"/>
      <w:bookmarkStart w:id="241" w:name="_Toc513021732"/>
      <w:bookmarkStart w:id="242" w:name="_Toc513122750"/>
      <w:bookmarkStart w:id="243" w:name="_Toc513131320"/>
      <w:bookmarkStart w:id="244" w:name="_Toc513456053"/>
      <w:bookmarkStart w:id="245" w:name="_Toc513457299"/>
      <w:bookmarkStart w:id="246" w:name="_Toc513557377"/>
      <w:bookmarkStart w:id="247" w:name="_Toc513559393"/>
      <w:bookmarkStart w:id="248" w:name="_Toc529530636"/>
      <w:bookmarkStart w:id="249" w:name="_Toc529545237"/>
      <w:bookmarkStart w:id="250" w:name="_Toc529795001"/>
      <w:bookmarkStart w:id="251" w:name="_Toc529802484"/>
      <w:bookmarkStart w:id="252" w:name="_Toc529878059"/>
      <w:bookmarkStart w:id="253" w:name="_Toc529879283"/>
      <w:bookmarkStart w:id="254" w:name="_Toc529882548"/>
      <w:bookmarkStart w:id="255" w:name="_Toc529885219"/>
      <w:bookmarkStart w:id="256" w:name="_Toc529890691"/>
      <w:bookmarkStart w:id="257" w:name="_Toc529970062"/>
      <w:bookmarkStart w:id="258" w:name="_Toc529979417"/>
      <w:bookmarkStart w:id="259" w:name="_Toc530050462"/>
      <w:bookmarkStart w:id="260" w:name="_Toc530065541"/>
      <w:bookmarkStart w:id="261" w:name="_Toc530066369"/>
      <w:bookmarkStart w:id="262" w:name="_Toc530145089"/>
      <w:bookmarkStart w:id="263" w:name="_Toc530146059"/>
      <w:bookmarkStart w:id="264" w:name="_Toc530146980"/>
      <w:bookmarkStart w:id="265" w:name="_Toc530148338"/>
      <w:bookmarkStart w:id="266" w:name="_Toc530148539"/>
      <w:bookmarkStart w:id="267" w:name="_Toc530149211"/>
      <w:bookmarkStart w:id="268" w:name="_Toc530149782"/>
      <w:r w:rsidRPr="00115641">
        <w:t xml:space="preserve">Stakeholder </w:t>
      </w:r>
      <w:r w:rsidRPr="003C2223">
        <w:t>engagement</w:t>
      </w:r>
      <w:bookmarkEnd w:id="228"/>
      <w:bookmarkEnd w:id="229"/>
      <w:bookmarkEnd w:id="230"/>
      <w:bookmarkEnd w:id="231"/>
      <w:bookmarkEnd w:id="232"/>
      <w:bookmarkEnd w:id="233"/>
      <w:bookmarkEnd w:id="234"/>
      <w:bookmarkEnd w:id="235"/>
      <w:bookmarkEnd w:id="236"/>
      <w:bookmarkEnd w:id="237"/>
    </w:p>
    <w:p w14:paraId="516BD80D" w14:textId="2E13BD33" w:rsidR="003A021B" w:rsidRPr="00CB54C2" w:rsidRDefault="00A126B5" w:rsidP="003A021B">
      <w:pPr>
        <w:spacing w:after="220"/>
      </w:pPr>
      <w:r>
        <w:rPr>
          <w:rFonts w:ascii="Calibri" w:hAnsi="Calibri"/>
        </w:rPr>
        <w:t>S</w:t>
      </w:r>
      <w:r w:rsidR="003A021B" w:rsidRPr="00CB54C2">
        <w:t xml:space="preserve">takeholder engagement </w:t>
      </w:r>
      <w:r>
        <w:t>by the Board and FIRB agencies</w:t>
      </w:r>
      <w:r w:rsidR="005938C9" w:rsidRPr="00CB54C2">
        <w:t xml:space="preserve"> </w:t>
      </w:r>
      <w:r w:rsidR="003A021B" w:rsidRPr="00CB54C2">
        <w:t>focus</w:t>
      </w:r>
      <w:r>
        <w:t>es</w:t>
      </w:r>
      <w:r w:rsidR="003A021B" w:rsidRPr="00CB54C2">
        <w:t xml:space="preserve"> on:</w:t>
      </w:r>
    </w:p>
    <w:p w14:paraId="314C5D97" w14:textId="77777777" w:rsidR="003A021B" w:rsidRPr="00CB54C2" w:rsidRDefault="003A021B" w:rsidP="003A021B">
      <w:pPr>
        <w:pStyle w:val="Bullet"/>
        <w:spacing w:after="220"/>
      </w:pPr>
      <w:r w:rsidRPr="00CB54C2">
        <w:t>building and maintaining relationships to understand perspectives from the investment community;</w:t>
      </w:r>
    </w:p>
    <w:p w14:paraId="59AF2ECA" w14:textId="77777777" w:rsidR="003A021B" w:rsidRPr="00CB54C2" w:rsidRDefault="003A021B" w:rsidP="003A021B">
      <w:pPr>
        <w:pStyle w:val="Bullet"/>
        <w:spacing w:after="220"/>
      </w:pPr>
      <w:r w:rsidRPr="00CB54C2">
        <w:t>educating investors and their advisers about the operation of foreign investment rules;</w:t>
      </w:r>
    </w:p>
    <w:p w14:paraId="30A2D96B" w14:textId="77777777" w:rsidR="003A021B" w:rsidRPr="00CB54C2" w:rsidRDefault="003A021B" w:rsidP="003A021B">
      <w:pPr>
        <w:pStyle w:val="Bullet"/>
        <w:spacing w:after="220"/>
      </w:pPr>
      <w:r w:rsidRPr="00CB54C2">
        <w:t>providing information and seeking feedback on foreign investment policy, processes and reforms;</w:t>
      </w:r>
    </w:p>
    <w:p w14:paraId="727BB622" w14:textId="30FC27EC" w:rsidR="003A021B" w:rsidRPr="00CB54C2" w:rsidRDefault="003A021B" w:rsidP="003A021B">
      <w:pPr>
        <w:pStyle w:val="Bullet"/>
        <w:spacing w:after="220"/>
      </w:pPr>
      <w:r w:rsidRPr="00CB54C2">
        <w:t xml:space="preserve">exploring specific trends and issues to ensure the </w:t>
      </w:r>
      <w:r w:rsidR="00C72B02">
        <w:t>Board</w:t>
      </w:r>
      <w:r w:rsidRPr="00CB54C2">
        <w:t xml:space="preserve"> remains informed of emerging issues; and</w:t>
      </w:r>
    </w:p>
    <w:p w14:paraId="0F073582" w14:textId="7075B3C7" w:rsidR="003A021B" w:rsidRPr="00CB54C2" w:rsidRDefault="003A021B" w:rsidP="003A021B">
      <w:pPr>
        <w:pStyle w:val="Bullet"/>
        <w:spacing w:after="220"/>
      </w:pPr>
      <w:r w:rsidRPr="00CB54C2">
        <w:t xml:space="preserve">working </w:t>
      </w:r>
      <w:r w:rsidR="009B28E7">
        <w:t>effectively with Commonwealth, state, and t</w:t>
      </w:r>
      <w:r w:rsidRPr="00CB54C2">
        <w:t>erritory consult partners to assess foreign investment applications.</w:t>
      </w:r>
    </w:p>
    <w:p w14:paraId="67E04DC4" w14:textId="77777777" w:rsidR="003A021B" w:rsidRPr="00F37429" w:rsidRDefault="003A021B" w:rsidP="003C2223">
      <w:pPr>
        <w:pStyle w:val="Heading3"/>
        <w:rPr>
          <w:rFonts w:eastAsiaTheme="majorEastAsia"/>
        </w:rPr>
      </w:pPr>
      <w:r w:rsidRPr="00CB54C2">
        <w:rPr>
          <w:rFonts w:eastAsiaTheme="majorEastAsia"/>
        </w:rPr>
        <w:t xml:space="preserve">Engagement with foreign </w:t>
      </w:r>
      <w:r w:rsidRPr="003C2223">
        <w:rPr>
          <w:rFonts w:eastAsiaTheme="majorEastAsia"/>
        </w:rPr>
        <w:t>investors</w:t>
      </w:r>
    </w:p>
    <w:p w14:paraId="58260FD4" w14:textId="0C06B374" w:rsidR="000561B1" w:rsidRDefault="000561B1" w:rsidP="000561B1">
      <w:pPr>
        <w:spacing w:after="220"/>
      </w:pPr>
      <w:r>
        <w:t>Engagement with foreign investors occurs through channels including:</w:t>
      </w:r>
    </w:p>
    <w:p w14:paraId="34606C82" w14:textId="2BCA6ECF" w:rsidR="009B28E7" w:rsidRDefault="000561B1" w:rsidP="009B28E7">
      <w:pPr>
        <w:pStyle w:val="Bullet"/>
      </w:pPr>
      <w:r>
        <w:t xml:space="preserve">the </w:t>
      </w:r>
      <w:r w:rsidR="00C72B02">
        <w:t>FIRB</w:t>
      </w:r>
      <w:r w:rsidR="003A021B" w:rsidRPr="00CB54C2">
        <w:t xml:space="preserve"> website</w:t>
      </w:r>
      <w:r w:rsidR="00C435AA">
        <w:t>:</w:t>
      </w:r>
      <w:r w:rsidR="00C435AA" w:rsidRPr="009B28E7">
        <w:t xml:space="preserve"> </w:t>
      </w:r>
      <w:r>
        <w:t xml:space="preserve">This </w:t>
      </w:r>
      <w:r w:rsidR="00C435AA">
        <w:t>includes</w:t>
      </w:r>
      <w:r w:rsidR="00C435AA" w:rsidRPr="009B28E7">
        <w:t xml:space="preserve"> </w:t>
      </w:r>
      <w:r w:rsidR="009B28E7">
        <w:t xml:space="preserve">up to date </w:t>
      </w:r>
      <w:r w:rsidR="009B28E7" w:rsidRPr="00CB54C2">
        <w:t>guidance material for investors</w:t>
      </w:r>
      <w:r w:rsidR="003A021B" w:rsidRPr="00CB54C2">
        <w:t xml:space="preserve">, which in </w:t>
      </w:r>
      <w:r>
        <w:br/>
      </w:r>
      <w:r w:rsidR="003A021B" w:rsidRPr="00CB54C2">
        <w:t xml:space="preserve">2017–18 was accessed by </w:t>
      </w:r>
      <w:r w:rsidR="00C7443E">
        <w:t>a large number of</w:t>
      </w:r>
      <w:r w:rsidR="003A021B" w:rsidRPr="00CB54C2">
        <w:t xml:space="preserve"> users </w:t>
      </w:r>
      <w:r w:rsidR="00C7443E">
        <w:t>from around the world</w:t>
      </w:r>
      <w:r w:rsidR="003A021B">
        <w:t>;</w:t>
      </w:r>
    </w:p>
    <w:p w14:paraId="0CE47CDC" w14:textId="73E98DE6" w:rsidR="003A021B" w:rsidRPr="00CB54C2" w:rsidRDefault="00D10F6F" w:rsidP="009B28E7">
      <w:pPr>
        <w:pStyle w:val="Bullet"/>
      </w:pPr>
      <w:r>
        <w:t>the</w:t>
      </w:r>
      <w:r w:rsidRPr="00CB54C2">
        <w:t xml:space="preserve"> </w:t>
      </w:r>
      <w:r w:rsidR="003A021B" w:rsidRPr="00CB54C2">
        <w:t>foreign investment enquiries hotline</w:t>
      </w:r>
      <w:r w:rsidR="000561B1">
        <w:t>: I</w:t>
      </w:r>
      <w:r w:rsidR="003A021B" w:rsidRPr="00CB54C2">
        <w:t>n 2017</w:t>
      </w:r>
      <w:r w:rsidR="003A021B">
        <w:t>–</w:t>
      </w:r>
      <w:r w:rsidR="003A021B" w:rsidRPr="00CB54C2">
        <w:t>18, th</w:t>
      </w:r>
      <w:r w:rsidR="003A021B">
        <w:t xml:space="preserve">e ATO </w:t>
      </w:r>
      <w:r w:rsidR="00B5190D">
        <w:t>handled over</w:t>
      </w:r>
      <w:r w:rsidR="003A021B">
        <w:t xml:space="preserve"> 18,</w:t>
      </w:r>
      <w:r w:rsidR="00B5190D">
        <w:t>700 </w:t>
      </w:r>
      <w:r w:rsidR="003A021B" w:rsidRPr="00CB54C2">
        <w:t xml:space="preserve">calls on its </w:t>
      </w:r>
      <w:r w:rsidR="009B28E7">
        <w:t>foreign investment enquiry line and</w:t>
      </w:r>
      <w:r w:rsidR="003A021B" w:rsidRPr="00CB54C2">
        <w:t xml:space="preserve"> Treasury </w:t>
      </w:r>
      <w:r w:rsidR="00B5190D">
        <w:t>handled</w:t>
      </w:r>
      <w:r w:rsidR="003A021B" w:rsidRPr="00CB54C2">
        <w:t xml:space="preserve"> over </w:t>
      </w:r>
      <w:r w:rsidR="00C7443E">
        <w:t>2,800</w:t>
      </w:r>
      <w:r w:rsidR="003A021B" w:rsidRPr="00CB54C2">
        <w:t xml:space="preserve"> calls. These enquiries ranged from questions about investors’ proposed acquisitions and their regulatory requirements, to media or investor queries about sectoral trends;</w:t>
      </w:r>
      <w:r w:rsidR="009B28E7">
        <w:t xml:space="preserve"> </w:t>
      </w:r>
      <w:r w:rsidR="003A021B">
        <w:t>and</w:t>
      </w:r>
    </w:p>
    <w:p w14:paraId="3496C449" w14:textId="6D26DD4C" w:rsidR="003A021B" w:rsidRPr="00CB54C2" w:rsidRDefault="000561B1" w:rsidP="003A021B">
      <w:pPr>
        <w:pStyle w:val="Bullet"/>
        <w:spacing w:after="210"/>
      </w:pPr>
      <w:r>
        <w:t>f</w:t>
      </w:r>
      <w:r w:rsidR="00C435AA" w:rsidRPr="00CB54C2">
        <w:t>ace</w:t>
      </w:r>
      <w:r w:rsidR="003A021B" w:rsidRPr="00CB54C2">
        <w:t>-to-face sessions and webinars with stakeholders</w:t>
      </w:r>
      <w:r>
        <w:t xml:space="preserve">: </w:t>
      </w:r>
      <w:r w:rsidR="00C72B02">
        <w:t>FIRB</w:t>
      </w:r>
      <w:r w:rsidR="003A021B" w:rsidRPr="00CB54C2">
        <w:t xml:space="preserve"> agencies met with potential foreign investors, their representatives, </w:t>
      </w:r>
      <w:r w:rsidR="009B28E7" w:rsidRPr="00CB54C2">
        <w:t>industry peak bodies</w:t>
      </w:r>
      <w:r w:rsidR="009B28E7">
        <w:t>, and</w:t>
      </w:r>
      <w:r w:rsidR="009B28E7" w:rsidRPr="00CB54C2">
        <w:t xml:space="preserve"> </w:t>
      </w:r>
      <w:r w:rsidR="003A021B" w:rsidRPr="00CB54C2">
        <w:t>foreign government officials. Both Treasury and the ATO held several stakeholder meetings in 2017–18 that were tailored to promote understanding of</w:t>
      </w:r>
      <w:r w:rsidR="009B28E7">
        <w:t xml:space="preserve"> certain</w:t>
      </w:r>
      <w:r w:rsidR="003A021B" w:rsidRPr="00CB54C2">
        <w:t xml:space="preserve"> aspects of the foreign investment </w:t>
      </w:r>
      <w:r w:rsidR="003A021B">
        <w:t>framework</w:t>
      </w:r>
      <w:r w:rsidR="003A021B" w:rsidRPr="00CB54C2">
        <w:t>, and seek stakeholders’ feedback.</w:t>
      </w:r>
    </w:p>
    <w:p w14:paraId="16F4FF7C" w14:textId="77777777" w:rsidR="003A021B" w:rsidRPr="00F37429" w:rsidRDefault="003A021B" w:rsidP="003A021B">
      <w:pPr>
        <w:pStyle w:val="Heading3"/>
        <w:spacing w:before="180"/>
        <w:rPr>
          <w:rFonts w:eastAsiaTheme="majorEastAsia"/>
        </w:rPr>
      </w:pPr>
      <w:r w:rsidRPr="00CB54C2">
        <w:rPr>
          <w:rFonts w:eastAsiaTheme="majorEastAsia"/>
        </w:rPr>
        <w:t>Engagement with consult partners</w:t>
      </w:r>
    </w:p>
    <w:p w14:paraId="4FF9FF27" w14:textId="5742ABB9" w:rsidR="003A021B" w:rsidRPr="00F37429" w:rsidRDefault="003A021B" w:rsidP="003A021B">
      <w:pPr>
        <w:spacing w:after="210"/>
        <w:rPr>
          <w:spacing w:val="-2"/>
        </w:rPr>
      </w:pPr>
      <w:r w:rsidRPr="00F37429">
        <w:rPr>
          <w:spacing w:val="-2"/>
        </w:rPr>
        <w:t xml:space="preserve">Given the breadth of industries and transactions subject to the foreign investment framework, </w:t>
      </w:r>
      <w:r w:rsidR="00C72B02">
        <w:rPr>
          <w:spacing w:val="-2"/>
        </w:rPr>
        <w:t>FIRB</w:t>
      </w:r>
      <w:r w:rsidRPr="00F37429">
        <w:rPr>
          <w:spacing w:val="-2"/>
        </w:rPr>
        <w:t xml:space="preserve"> agencies rely on building strong relationships with key consult partners.</w:t>
      </w:r>
    </w:p>
    <w:p w14:paraId="44BE6378" w14:textId="2EF9EF73" w:rsidR="003A021B" w:rsidRPr="00CB54C2" w:rsidRDefault="003A021B" w:rsidP="003A021B">
      <w:pPr>
        <w:spacing w:after="210"/>
      </w:pPr>
      <w:r w:rsidRPr="00CB54C2">
        <w:t xml:space="preserve">In 2017–18, </w:t>
      </w:r>
      <w:r w:rsidRPr="00CB54C2">
        <w:rPr>
          <w:rFonts w:eastAsiaTheme="minorHAnsi"/>
        </w:rPr>
        <w:t>Treasury held several meetings to enhance</w:t>
      </w:r>
      <w:r w:rsidRPr="00CB54C2">
        <w:t xml:space="preserve"> consult partner relationships. This included the </w:t>
      </w:r>
      <w:r w:rsidRPr="00CB54C2">
        <w:rPr>
          <w:i/>
        </w:rPr>
        <w:t>Foreign Investment Insights Day</w:t>
      </w:r>
      <w:r w:rsidRPr="00CB54C2">
        <w:t xml:space="preserve"> in April 2018, which built collaborative relationships with consult partners from federal and state and territory governments. In addition, Treasury’s foreign investment team continued secondment programs with various consult partners, including the Australian Competition and Consumer Commission, the ATO, </w:t>
      </w:r>
      <w:r w:rsidR="00097EB9">
        <w:t xml:space="preserve">the </w:t>
      </w:r>
      <w:r w:rsidR="00D3153F">
        <w:t>Critical Infrastructure Centre (</w:t>
      </w:r>
      <w:r w:rsidRPr="00CB54C2">
        <w:t>CIC</w:t>
      </w:r>
      <w:r w:rsidR="00D3153F">
        <w:t>)</w:t>
      </w:r>
      <w:r w:rsidRPr="00CB54C2">
        <w:t>, and private law firms</w:t>
      </w:r>
      <w:r w:rsidRPr="00CB54C2">
        <w:rPr>
          <w:rFonts w:eastAsiaTheme="minorHAnsi"/>
        </w:rPr>
        <w:t xml:space="preserve">. In 2017–18, the ATO held </w:t>
      </w:r>
      <w:r w:rsidRPr="00CB54C2">
        <w:t>five presentations on the foreign investment framework to other government agencies and industry representatives.</w:t>
      </w:r>
    </w:p>
    <w:p w14:paraId="56FAC670" w14:textId="423F732C" w:rsidR="003A021B" w:rsidRPr="00CB54C2" w:rsidRDefault="003A021B" w:rsidP="003A021B">
      <w:pPr>
        <w:spacing w:after="210"/>
      </w:pPr>
      <w:r w:rsidRPr="00CB54C2">
        <w:t xml:space="preserve">Further detail on ongoing stakeholder engagement undertaken by, and on behalf of the </w:t>
      </w:r>
      <w:r w:rsidR="00C72B02">
        <w:t>Board</w:t>
      </w:r>
      <w:r w:rsidRPr="00CB54C2">
        <w:t xml:space="preserve">, is included in the </w:t>
      </w:r>
      <w:r w:rsidRPr="00623B97">
        <w:t xml:space="preserve">Regulator Performance Framework </w:t>
      </w:r>
      <w:r w:rsidR="00146E19">
        <w:t>r</w:t>
      </w:r>
      <w:r w:rsidRPr="00623B97">
        <w:t>eport</w:t>
      </w:r>
      <w:r w:rsidRPr="00CB54C2">
        <w:t xml:space="preserve">. </w:t>
      </w:r>
    </w:p>
    <w:p w14:paraId="1D3E6300" w14:textId="58F7CD4E" w:rsidR="00CB54C2" w:rsidRPr="000C5797" w:rsidRDefault="00CB54C2" w:rsidP="000C5797">
      <w:pPr>
        <w:pStyle w:val="Heading2"/>
      </w:pPr>
      <w:bookmarkStart w:id="269" w:name="_Toc532207326"/>
      <w:bookmarkStart w:id="270" w:name="_Toc532217714"/>
      <w:bookmarkStart w:id="271" w:name="_Toc532218735"/>
      <w:bookmarkStart w:id="272" w:name="_Toc532219047"/>
      <w:bookmarkStart w:id="273" w:name="_Toc532223731"/>
      <w:bookmarkStart w:id="274" w:name="_Toc532224190"/>
      <w:bookmarkStart w:id="275" w:name="_Toc532226669"/>
      <w:bookmarkStart w:id="276" w:name="_Toc536029371"/>
      <w:bookmarkStart w:id="277" w:name="_Toc1120393"/>
      <w:bookmarkStart w:id="278" w:name="_Toc1121964"/>
      <w:r w:rsidRPr="000C5797">
        <w:t>Operational costs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7D68CB37" w14:textId="47B18CCC" w:rsidR="00CB54C2" w:rsidRPr="004046AA" w:rsidRDefault="00CB54C2" w:rsidP="00AA2126">
      <w:pPr>
        <w:tabs>
          <w:tab w:val="right" w:pos="7711"/>
        </w:tabs>
        <w:spacing w:after="180"/>
        <w:rPr>
          <w:rFonts w:ascii="Calibri" w:hAnsi="Calibri"/>
          <w:b/>
          <w:color w:val="E06277"/>
          <w:sz w:val="22"/>
          <w:szCs w:val="22"/>
        </w:rPr>
      </w:pPr>
      <w:r w:rsidRPr="004046AA">
        <w:rPr>
          <w:rFonts w:ascii="Calibri" w:hAnsi="Calibri"/>
          <w:b/>
          <w:color w:val="E06277"/>
          <w:sz w:val="22"/>
          <w:szCs w:val="22"/>
        </w:rPr>
        <w:t xml:space="preserve">The </w:t>
      </w:r>
      <w:r w:rsidR="00C72B02">
        <w:rPr>
          <w:rFonts w:ascii="Calibri" w:hAnsi="Calibri"/>
          <w:b/>
          <w:color w:val="E06277"/>
          <w:sz w:val="22"/>
          <w:szCs w:val="22"/>
        </w:rPr>
        <w:t>FIRB</w:t>
      </w:r>
      <w:r w:rsidRPr="004046AA">
        <w:rPr>
          <w:rFonts w:ascii="Calibri" w:hAnsi="Calibri"/>
          <w:b/>
          <w:color w:val="E06277"/>
          <w:sz w:val="22"/>
          <w:szCs w:val="22"/>
        </w:rPr>
        <w:tab/>
        <w:t>$0.5 million</w:t>
      </w:r>
    </w:p>
    <w:p w14:paraId="3849037A" w14:textId="4B0E05FF" w:rsidR="00CB54C2" w:rsidRPr="00CB54C2" w:rsidRDefault="00CB54C2" w:rsidP="00CB54C2">
      <w:r w:rsidRPr="00CB54C2">
        <w:t xml:space="preserve">Remuneration of </w:t>
      </w:r>
      <w:r w:rsidR="0040470A">
        <w:t>Board</w:t>
      </w:r>
      <w:r w:rsidRPr="00CB54C2">
        <w:t xml:space="preserve"> members </w:t>
      </w:r>
      <w:r w:rsidR="00EC1098">
        <w:t xml:space="preserve">in 2017-18 </w:t>
      </w:r>
      <w:r w:rsidRPr="00CB54C2">
        <w:t xml:space="preserve">was around 90 per cent of total </w:t>
      </w:r>
      <w:r w:rsidR="0040470A">
        <w:t>Board</w:t>
      </w:r>
      <w:r w:rsidRPr="00CB54C2">
        <w:t xml:space="preserve"> expenses, with the remainder expended on travel, car hire and incidentals. </w:t>
      </w:r>
      <w:r w:rsidR="0040470A">
        <w:t>Board</w:t>
      </w:r>
      <w:r w:rsidRPr="00CB54C2">
        <w:t xml:space="preserve"> members’ fees are determined by the Remuneration Tribunal.</w:t>
      </w:r>
    </w:p>
    <w:p w14:paraId="64173AF5" w14:textId="11981D3A" w:rsidR="00CB54C2" w:rsidRPr="004046AA" w:rsidRDefault="00CB54C2" w:rsidP="00AA2126">
      <w:pPr>
        <w:tabs>
          <w:tab w:val="right" w:pos="7711"/>
        </w:tabs>
        <w:spacing w:after="180"/>
        <w:rPr>
          <w:rFonts w:ascii="Calibri" w:hAnsi="Calibri"/>
          <w:b/>
          <w:color w:val="E06277"/>
          <w:sz w:val="22"/>
          <w:szCs w:val="22"/>
        </w:rPr>
      </w:pPr>
      <w:r w:rsidRPr="004046AA">
        <w:rPr>
          <w:rFonts w:ascii="Calibri" w:hAnsi="Calibri"/>
          <w:b/>
          <w:color w:val="E06277"/>
          <w:sz w:val="22"/>
          <w:szCs w:val="22"/>
        </w:rPr>
        <w:t>Treasury</w:t>
      </w:r>
      <w:r w:rsidRPr="004046AA">
        <w:rPr>
          <w:rFonts w:ascii="Calibri" w:hAnsi="Calibri"/>
          <w:b/>
          <w:color w:val="E06277"/>
          <w:sz w:val="22"/>
          <w:szCs w:val="22"/>
        </w:rPr>
        <w:tab/>
        <w:t>$8.4 million</w:t>
      </w:r>
    </w:p>
    <w:p w14:paraId="6A3DA876" w14:textId="1DA866C2" w:rsidR="00CB54C2" w:rsidRPr="00CB54C2" w:rsidRDefault="00EC1098" w:rsidP="00CB54C2">
      <w:r>
        <w:t xml:space="preserve">Expenses for </w:t>
      </w:r>
      <w:r w:rsidR="0090582E">
        <w:t xml:space="preserve">Treasury’s </w:t>
      </w:r>
      <w:r w:rsidR="00097EB9">
        <w:t>Foreign Investment Division (</w:t>
      </w:r>
      <w:r w:rsidR="0090582E">
        <w:t>FID</w:t>
      </w:r>
      <w:r w:rsidR="00097EB9">
        <w:t>)</w:t>
      </w:r>
      <w:r w:rsidR="00CB54C2" w:rsidRPr="00CB54C2">
        <w:t xml:space="preserve"> mainly reflect employee salary and admini</w:t>
      </w:r>
      <w:r w:rsidR="007343BA">
        <w:t xml:space="preserve">strative costs. Over the course </w:t>
      </w:r>
      <w:r w:rsidR="00CB54C2" w:rsidRPr="00CB54C2">
        <w:t xml:space="preserve">of 2017–18, </w:t>
      </w:r>
      <w:r w:rsidR="00D10F6F">
        <w:t>FID</w:t>
      </w:r>
      <w:r w:rsidR="00CB54C2" w:rsidRPr="00CB54C2">
        <w:t xml:space="preserve"> employed an average of</w:t>
      </w:r>
      <w:r w:rsidR="001C0B06">
        <w:t xml:space="preserve"> </w:t>
      </w:r>
      <w:r w:rsidR="00CB54C2" w:rsidRPr="00CB54C2">
        <w:t>47 full</w:t>
      </w:r>
      <w:r w:rsidR="00DC57DF">
        <w:t>-</w:t>
      </w:r>
      <w:r w:rsidR="00CB54C2" w:rsidRPr="00CB54C2">
        <w:t>time equivalent Treasury staff</w:t>
      </w:r>
      <w:r w:rsidR="00DC57DF">
        <w:t>,</w:t>
      </w:r>
      <w:r w:rsidR="00CB54C2" w:rsidRPr="00CB54C2">
        <w:t xml:space="preserve"> and a number of external contractors and consultants including lawyers from the Australian Government Soli</w:t>
      </w:r>
      <w:r w:rsidR="00682C17">
        <w:t xml:space="preserve">citor. </w:t>
      </w:r>
      <w:r>
        <w:t>FID</w:t>
      </w:r>
      <w:r w:rsidR="00CB54C2" w:rsidRPr="00CB54C2">
        <w:t xml:space="preserve"> staff are</w:t>
      </w:r>
      <w:r w:rsidR="0090582E">
        <w:t xml:space="preserve"> primarily</w:t>
      </w:r>
      <w:r w:rsidR="00CB54C2" w:rsidRPr="00CB54C2">
        <w:t xml:space="preserve"> located in Canberra</w:t>
      </w:r>
      <w:r w:rsidR="0090582E">
        <w:t xml:space="preserve"> and</w:t>
      </w:r>
      <w:r w:rsidR="0090582E" w:rsidRPr="00CB54C2">
        <w:t xml:space="preserve"> </w:t>
      </w:r>
      <w:r w:rsidR="00CB54C2" w:rsidRPr="00CB54C2">
        <w:t>Sydney.</w:t>
      </w:r>
    </w:p>
    <w:p w14:paraId="5A74A071" w14:textId="39D160F5" w:rsidR="00CB54C2" w:rsidRPr="004046AA" w:rsidRDefault="00CB54C2" w:rsidP="00AA2126">
      <w:pPr>
        <w:tabs>
          <w:tab w:val="right" w:pos="7711"/>
        </w:tabs>
        <w:spacing w:after="180"/>
        <w:rPr>
          <w:rFonts w:ascii="Calibri" w:hAnsi="Calibri"/>
          <w:b/>
          <w:color w:val="E06277"/>
          <w:sz w:val="22"/>
          <w:szCs w:val="22"/>
        </w:rPr>
      </w:pPr>
      <w:r w:rsidRPr="004046AA">
        <w:rPr>
          <w:rFonts w:ascii="Calibri" w:hAnsi="Calibri"/>
          <w:b/>
          <w:color w:val="E06277"/>
          <w:sz w:val="22"/>
          <w:szCs w:val="22"/>
        </w:rPr>
        <w:t>The Australian Taxation Office</w:t>
      </w:r>
      <w:r w:rsidRPr="004046AA">
        <w:rPr>
          <w:rFonts w:ascii="Calibri" w:hAnsi="Calibri"/>
          <w:b/>
          <w:color w:val="E06277"/>
          <w:sz w:val="22"/>
          <w:szCs w:val="22"/>
        </w:rPr>
        <w:tab/>
        <w:t>$5.8 million</w:t>
      </w:r>
    </w:p>
    <w:p w14:paraId="4A9F4825" w14:textId="0B89D40C" w:rsidR="00AA2126" w:rsidRDefault="00CB54C2" w:rsidP="00EC1098">
      <w:r w:rsidRPr="00CB54C2">
        <w:t>In 2017</w:t>
      </w:r>
      <w:r w:rsidR="0080522B">
        <w:t>–</w:t>
      </w:r>
      <w:r w:rsidRPr="00CB54C2">
        <w:t>18, the ATO employed 59 full-time equivalent staff</w:t>
      </w:r>
      <w:r w:rsidR="0090582E">
        <w:t>,</w:t>
      </w:r>
      <w:r w:rsidRPr="00CB54C2">
        <w:t xml:space="preserve"> employed across the residential real estate application screening process, data matching and compliance activities, application screening of non-sensitive commercial land </w:t>
      </w:r>
      <w:r w:rsidR="00F600CD">
        <w:t>(vacant and non</w:t>
      </w:r>
      <w:r w:rsidR="00F600CD">
        <w:noBreakHyphen/>
        <w:t xml:space="preserve">vacant) </w:t>
      </w:r>
      <w:r w:rsidRPr="00CB54C2">
        <w:t xml:space="preserve">and </w:t>
      </w:r>
      <w:r w:rsidR="00021B65">
        <w:t>corporate</w:t>
      </w:r>
      <w:r w:rsidR="00021B65" w:rsidRPr="00CB54C2">
        <w:t xml:space="preserve"> </w:t>
      </w:r>
      <w:r w:rsidRPr="00CB54C2">
        <w:t>reorganisations, and the development and maintenance of foreign ownership registers. The ATO’s teams are located acr</w:t>
      </w:r>
      <w:r w:rsidR="00EC1098">
        <w:t>oss a number of sites including</w:t>
      </w:r>
      <w:r w:rsidRPr="00CB54C2">
        <w:t xml:space="preserve"> Sydney, Canberra</w:t>
      </w:r>
      <w:r w:rsidR="00EA06FE">
        <w:t xml:space="preserve">, Newcastle and </w:t>
      </w:r>
      <w:r w:rsidR="00DC57DF">
        <w:t>Melbourne.</w:t>
      </w:r>
    </w:p>
    <w:p w14:paraId="2880D1C8" w14:textId="77777777" w:rsidR="00573419" w:rsidRPr="003577DA" w:rsidRDefault="00573419" w:rsidP="003577DA"/>
    <w:p w14:paraId="3FCEFC1F" w14:textId="77777777" w:rsidR="003577DA" w:rsidRPr="003577DA" w:rsidRDefault="003577DA" w:rsidP="003577DA">
      <w:pPr>
        <w:sectPr w:rsidR="003577DA" w:rsidRPr="003577DA" w:rsidSect="00940814">
          <w:headerReference w:type="default" r:id="rId47"/>
          <w:footerReference w:type="even" r:id="rId48"/>
          <w:headerReference w:type="first" r:id="rId49"/>
          <w:footerReference w:type="first" r:id="rId50"/>
          <w:type w:val="oddPage"/>
          <w:pgSz w:w="11907" w:h="16840" w:code="9"/>
          <w:pgMar w:top="2466" w:right="2098" w:bottom="2466" w:left="2098" w:header="1899" w:footer="1899" w:gutter="0"/>
          <w:pgNumType w:start="2"/>
          <w:cols w:space="720"/>
          <w:titlePg/>
          <w:docGrid w:linePitch="360"/>
        </w:sectPr>
      </w:pPr>
    </w:p>
    <w:p w14:paraId="0B4931C1" w14:textId="580D8613" w:rsidR="00E15C17" w:rsidRPr="0052595A" w:rsidRDefault="00CB54C2" w:rsidP="00E30A27">
      <w:pPr>
        <w:spacing w:after="0" w:line="240" w:lineRule="auto"/>
        <w:jc w:val="center"/>
        <w:rPr>
          <w:rFonts w:ascii="Calibri" w:hAnsi="Calibri"/>
          <w:color w:val="003E74"/>
        </w:rPr>
      </w:pPr>
      <w:r w:rsidRPr="00CB54C2">
        <w:rPr>
          <w:rFonts w:ascii="Calibri" w:hAnsi="Calibri"/>
          <w:noProof/>
          <w:color w:val="003E74"/>
        </w:rPr>
        <w:drawing>
          <wp:inline distT="0" distB="0" distL="0" distR="0" wp14:anchorId="2CC0409F" wp14:editId="649BDCB1">
            <wp:extent cx="4895088" cy="3059239"/>
            <wp:effectExtent l="0" t="0" r="127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B part page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95088" cy="3059239"/>
                    </a:xfrm>
                    <a:prstGeom prst="rect">
                      <a:avLst/>
                    </a:prstGeom>
                  </pic:spPr>
                </pic:pic>
              </a:graphicData>
            </a:graphic>
          </wp:inline>
        </w:drawing>
      </w:r>
    </w:p>
    <w:p w14:paraId="2ABD22FD" w14:textId="68E11AF5" w:rsidR="00E30A27" w:rsidRDefault="00E30A27" w:rsidP="00E30A27">
      <w:pPr>
        <w:pStyle w:val="Heading1"/>
      </w:pPr>
      <w:bookmarkStart w:id="279" w:name="_Toc529530637"/>
      <w:bookmarkStart w:id="280" w:name="_Toc529545238"/>
      <w:bookmarkStart w:id="281" w:name="_Toc529795002"/>
      <w:bookmarkStart w:id="282" w:name="_Toc529802485"/>
      <w:bookmarkStart w:id="283" w:name="_Toc529878060"/>
      <w:bookmarkStart w:id="284" w:name="_Toc529879284"/>
      <w:bookmarkStart w:id="285" w:name="_Toc529882549"/>
      <w:bookmarkStart w:id="286" w:name="_Toc529885220"/>
      <w:bookmarkStart w:id="287" w:name="_Toc529890692"/>
      <w:bookmarkStart w:id="288" w:name="_Toc529970063"/>
      <w:bookmarkStart w:id="289" w:name="_Toc529979418"/>
      <w:bookmarkStart w:id="290" w:name="_Toc530050463"/>
      <w:bookmarkStart w:id="291" w:name="_Toc530065542"/>
      <w:bookmarkStart w:id="292" w:name="_Toc530066370"/>
      <w:bookmarkStart w:id="293" w:name="_Toc530145090"/>
      <w:bookmarkStart w:id="294" w:name="_Toc530146060"/>
      <w:bookmarkStart w:id="295" w:name="_Toc530146981"/>
      <w:bookmarkStart w:id="296" w:name="_Toc530148339"/>
      <w:bookmarkStart w:id="297" w:name="_Toc530148540"/>
      <w:bookmarkStart w:id="298" w:name="_Toc530149212"/>
      <w:bookmarkStart w:id="299" w:name="_Toc530149783"/>
      <w:bookmarkStart w:id="300" w:name="_Toc532207327"/>
      <w:bookmarkStart w:id="301" w:name="_Toc532217715"/>
      <w:bookmarkStart w:id="302" w:name="_Toc532218736"/>
      <w:bookmarkStart w:id="303" w:name="_Toc532219048"/>
      <w:bookmarkStart w:id="304" w:name="_Toc532223732"/>
      <w:bookmarkStart w:id="305" w:name="_Toc532224191"/>
      <w:bookmarkStart w:id="306" w:name="_Toc532226670"/>
      <w:bookmarkStart w:id="307" w:name="_Toc536029372"/>
      <w:bookmarkStart w:id="308" w:name="_Toc1120394"/>
      <w:bookmarkStart w:id="309" w:name="_Toc1121965"/>
      <w:r>
        <w:t>Chapter Two: The Foreign Investment Framework</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072E4E6F" w14:textId="174728D7" w:rsidR="00083FDD" w:rsidRDefault="00CB54C2" w:rsidP="00753FEF">
      <w:r w:rsidRPr="00CB54C2">
        <w:t xml:space="preserve">This chapter discusses the changing foreign investment landscape in Australia, and the accomplishments and challenges faced by the </w:t>
      </w:r>
      <w:r w:rsidR="002653B1">
        <w:t>Board</w:t>
      </w:r>
      <w:r w:rsidRPr="00CB54C2">
        <w:t xml:space="preserve"> in 2017–18. It </w:t>
      </w:r>
      <w:r w:rsidR="008E06DF">
        <w:t>outlines</w:t>
      </w:r>
      <w:r w:rsidR="00083FDD">
        <w:t>:</w:t>
      </w:r>
    </w:p>
    <w:p w14:paraId="3339EE54" w14:textId="7A55C45E" w:rsidR="00676B7B" w:rsidRDefault="00676B7B" w:rsidP="00753FEF">
      <w:pPr>
        <w:pStyle w:val="Bullet"/>
      </w:pPr>
      <w:r>
        <w:t>changes to the foreign investment landscape, including to critical infrastructure regulation;</w:t>
      </w:r>
    </w:p>
    <w:p w14:paraId="7691B00A" w14:textId="51A393AC" w:rsidR="00083FDD" w:rsidRPr="00B90D62" w:rsidRDefault="006D7C2E" w:rsidP="00753FEF">
      <w:pPr>
        <w:pStyle w:val="Bullet"/>
      </w:pPr>
      <w:r>
        <w:t xml:space="preserve">key areas of policy focus and </w:t>
      </w:r>
      <w:r w:rsidR="00CB54C2" w:rsidRPr="00CB54C2">
        <w:t>changes to the foreign investm</w:t>
      </w:r>
      <w:r w:rsidR="00083FDD">
        <w:t>ent framework in 2017–18;</w:t>
      </w:r>
      <w:r>
        <w:t xml:space="preserve"> and</w:t>
      </w:r>
    </w:p>
    <w:p w14:paraId="1516826E" w14:textId="339E5B14" w:rsidR="00083FDD" w:rsidRPr="00B90D62" w:rsidRDefault="00083FDD" w:rsidP="00753FEF">
      <w:pPr>
        <w:pStyle w:val="Bullet"/>
      </w:pPr>
      <w:r>
        <w:t xml:space="preserve">the </w:t>
      </w:r>
      <w:r w:rsidR="00DC57DF">
        <w:t xml:space="preserve">redesign of </w:t>
      </w:r>
      <w:r>
        <w:t xml:space="preserve">the </w:t>
      </w:r>
      <w:r w:rsidR="00C72B02">
        <w:t>FIRB</w:t>
      </w:r>
      <w:r>
        <w:t xml:space="preserve"> </w:t>
      </w:r>
      <w:r w:rsidR="00DC77B8">
        <w:t>Application</w:t>
      </w:r>
      <w:r w:rsidR="003A57EC">
        <w:t xml:space="preserve"> </w:t>
      </w:r>
      <w:r>
        <w:t>Portal</w:t>
      </w:r>
      <w:r w:rsidR="006D7C2E">
        <w:t>.</w:t>
      </w:r>
    </w:p>
    <w:p w14:paraId="14F19A65" w14:textId="6C099F68" w:rsidR="00CB54C2" w:rsidRPr="00B90D62" w:rsidRDefault="00CB54C2" w:rsidP="00753FEF">
      <w:pPr>
        <w:pStyle w:val="Heading2"/>
      </w:pPr>
      <w:bookmarkStart w:id="310" w:name="_Toc529530638"/>
      <w:bookmarkStart w:id="311" w:name="_Toc529545239"/>
      <w:bookmarkStart w:id="312" w:name="_Toc529795003"/>
      <w:bookmarkStart w:id="313" w:name="_Toc529802486"/>
      <w:bookmarkStart w:id="314" w:name="_Toc529878061"/>
      <w:bookmarkStart w:id="315" w:name="_Toc529879285"/>
      <w:bookmarkStart w:id="316" w:name="_Toc529882550"/>
      <w:bookmarkStart w:id="317" w:name="_Toc529885221"/>
      <w:bookmarkStart w:id="318" w:name="_Toc529890693"/>
      <w:bookmarkStart w:id="319" w:name="_Toc529970064"/>
      <w:bookmarkStart w:id="320" w:name="_Toc529979419"/>
      <w:bookmarkStart w:id="321" w:name="_Toc530050464"/>
      <w:bookmarkStart w:id="322" w:name="_Toc530065543"/>
      <w:bookmarkStart w:id="323" w:name="_Toc530066371"/>
      <w:bookmarkStart w:id="324" w:name="_Toc530145091"/>
      <w:bookmarkStart w:id="325" w:name="_Toc530146061"/>
      <w:bookmarkStart w:id="326" w:name="_Toc530146982"/>
      <w:bookmarkStart w:id="327" w:name="_Toc530148340"/>
      <w:bookmarkStart w:id="328" w:name="_Toc530148541"/>
      <w:bookmarkStart w:id="329" w:name="_Toc530149213"/>
      <w:bookmarkStart w:id="330" w:name="_Toc530149784"/>
      <w:bookmarkStart w:id="331" w:name="_Toc532207328"/>
      <w:bookmarkStart w:id="332" w:name="_Toc532217716"/>
      <w:bookmarkStart w:id="333" w:name="_Toc532218737"/>
      <w:bookmarkStart w:id="334" w:name="_Toc532219049"/>
      <w:bookmarkStart w:id="335" w:name="_Toc532223733"/>
      <w:bookmarkStart w:id="336" w:name="_Toc532224192"/>
      <w:bookmarkStart w:id="337" w:name="_Toc532226671"/>
      <w:bookmarkStart w:id="338" w:name="_Toc536029373"/>
      <w:bookmarkStart w:id="339" w:name="_Toc1120395"/>
      <w:bookmarkStart w:id="340" w:name="_Toc1121966"/>
      <w:r w:rsidRPr="00CB54C2">
        <w:t xml:space="preserve">Foreign </w:t>
      </w:r>
      <w:r w:rsidR="006A6E41">
        <w:t>i</w:t>
      </w:r>
      <w:r w:rsidRPr="00CB54C2">
        <w:t>nvestment policies and priorities</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58DE0221" w14:textId="35A34F15" w:rsidR="001A7732" w:rsidRDefault="00CB54C2" w:rsidP="00753FEF">
      <w:bookmarkStart w:id="341" w:name="_Toc512259054"/>
      <w:r w:rsidRPr="00CB54C2">
        <w:t>F</w:t>
      </w:r>
      <w:r>
        <w:t>oreign</w:t>
      </w:r>
      <w:r w:rsidRPr="00CB54C2">
        <w:rPr>
          <w:lang w:val="en-US"/>
        </w:rPr>
        <w:t xml:space="preserve"> investment </w:t>
      </w:r>
      <w:r w:rsidR="00637795">
        <w:rPr>
          <w:lang w:val="en-US"/>
        </w:rPr>
        <w:t>helps</w:t>
      </w:r>
      <w:r w:rsidR="00AC2F13">
        <w:rPr>
          <w:lang w:val="en-US"/>
        </w:rPr>
        <w:t xml:space="preserve"> </w:t>
      </w:r>
      <w:r w:rsidR="00AC2F13" w:rsidRPr="00CB54C2">
        <w:t xml:space="preserve">develop domestic assets, introduces technical and management expertise, and assists Australian businesses </w:t>
      </w:r>
      <w:r w:rsidR="00D3153F">
        <w:t xml:space="preserve">to </w:t>
      </w:r>
      <w:r w:rsidR="00AC2F13" w:rsidRPr="00CB54C2">
        <w:t>expand into overseas markets.</w:t>
      </w:r>
      <w:r w:rsidR="00AC2F13">
        <w:rPr>
          <w:rStyle w:val="FootnoteReference"/>
        </w:rPr>
        <w:footnoteReference w:id="4"/>
      </w:r>
      <w:r>
        <w:t xml:space="preserve"> </w:t>
      </w:r>
      <w:r w:rsidR="00637795" w:rsidRPr="00CB54C2">
        <w:t>Australia</w:t>
      </w:r>
      <w:r w:rsidR="00637795">
        <w:t>’s</w:t>
      </w:r>
      <w:r w:rsidR="00637795" w:rsidRPr="00CB54C2">
        <w:t xml:space="preserve"> large, resource-rich land mass, proximity to</w:t>
      </w:r>
      <w:r w:rsidR="00637795">
        <w:t xml:space="preserve"> </w:t>
      </w:r>
      <w:r w:rsidR="00637795" w:rsidRPr="00CB54C2">
        <w:t xml:space="preserve">fast-growing markets, </w:t>
      </w:r>
      <w:r w:rsidR="00637795">
        <w:t xml:space="preserve">easy </w:t>
      </w:r>
      <w:r w:rsidR="00637795" w:rsidRPr="00CB54C2">
        <w:t>access to finance and strong rule of law</w:t>
      </w:r>
      <w:r w:rsidR="00637795">
        <w:t>, make it an attractive investment destination</w:t>
      </w:r>
      <w:r w:rsidR="00637795" w:rsidRPr="00CB54C2">
        <w:t>.</w:t>
      </w:r>
    </w:p>
    <w:p w14:paraId="040E0DD9" w14:textId="3EACBEB5" w:rsidR="00F34769" w:rsidRDefault="00F34769" w:rsidP="00F34769">
      <w:r w:rsidRPr="00CB54C2">
        <w:t xml:space="preserve">Net </w:t>
      </w:r>
      <w:r w:rsidRPr="00CB54C2" w:rsidDel="00023FE4">
        <w:t xml:space="preserve">inward </w:t>
      </w:r>
      <w:r w:rsidRPr="00CB54C2">
        <w:t>flows</w:t>
      </w:r>
      <w:r w:rsidR="00775796">
        <w:t xml:space="preserve"> of </w:t>
      </w:r>
      <w:r w:rsidR="00D857B5">
        <w:t>foreign direct investment</w:t>
      </w:r>
      <w:r w:rsidRPr="00CB54C2">
        <w:t xml:space="preserve"> to Australia averaged around $51 billion a year over the five years to</w:t>
      </w:r>
      <w:r w:rsidR="007867BB">
        <w:t> </w:t>
      </w:r>
      <w:r w:rsidRPr="00CB54C2">
        <w:t>2017, ranging from $27.2 billion in 2015 to $64.2 billion in 2016.</w:t>
      </w:r>
      <w:r w:rsidRPr="00E31EE1">
        <w:rPr>
          <w:rStyle w:val="FootnoteReference"/>
        </w:rPr>
        <w:footnoteReference w:id="5"/>
      </w:r>
    </w:p>
    <w:p w14:paraId="2E615A5C" w14:textId="77777777" w:rsidR="006D7C2E" w:rsidRPr="00CB54C2" w:rsidRDefault="006D7C2E" w:rsidP="006D7C2E">
      <w:r w:rsidRPr="00CB54C2">
        <w:t xml:space="preserve">The Australian Government maintains an open and non-discriminatory foreign investment </w:t>
      </w:r>
      <w:r>
        <w:t>framework</w:t>
      </w:r>
      <w:r w:rsidRPr="00CB54C2">
        <w:t xml:space="preserve"> that balances encouraging foreign investment flows while ensuring foreign investment is not contrary to the national interest.</w:t>
      </w:r>
    </w:p>
    <w:p w14:paraId="67D45735" w14:textId="1FABBD34" w:rsidR="006D7C2E" w:rsidRDefault="006D7C2E" w:rsidP="006D7C2E">
      <w:r w:rsidRPr="00CB54C2">
        <w:t>The</w:t>
      </w:r>
      <w:r w:rsidRPr="00CB54C2" w:rsidDel="00C16F87">
        <w:t xml:space="preserve"> </w:t>
      </w:r>
      <w:r>
        <w:t>framework</w:t>
      </w:r>
      <w:r w:rsidRPr="00CB54C2">
        <w:t xml:space="preserve"> is designed to ensure that foreign investment is appropriately </w:t>
      </w:r>
      <w:r w:rsidR="00AC2F13">
        <w:t>assessed</w:t>
      </w:r>
      <w:r w:rsidRPr="00CB54C2">
        <w:t xml:space="preserve">, and assures the Australian public that national interest factors are properly considered. This Government, like previous Australian Governments, supports a case-by-case approach to considering foreign investment proposals. Under the </w:t>
      </w:r>
      <w:r w:rsidRPr="00CB54C2">
        <w:rPr>
          <w:i/>
        </w:rPr>
        <w:t>Foreign Acquisitions and Takeovers Act</w:t>
      </w:r>
      <w:r>
        <w:rPr>
          <w:i/>
        </w:rPr>
        <w:t> </w:t>
      </w:r>
      <w:r w:rsidRPr="00CB54C2">
        <w:rPr>
          <w:i/>
        </w:rPr>
        <w:t>1975</w:t>
      </w:r>
      <w:r w:rsidRPr="00CB54C2">
        <w:t xml:space="preserve">, the Treasurer can </w:t>
      </w:r>
      <w:r w:rsidR="007343BA">
        <w:t>reject</w:t>
      </w:r>
      <w:r w:rsidR="00073375" w:rsidRPr="00CB54C2">
        <w:t xml:space="preserve"> </w:t>
      </w:r>
      <w:r w:rsidRPr="00CB54C2">
        <w:t>proposals found to be contrary to the national interest, or can impose conditions on an investment to address national interest concerns.</w:t>
      </w:r>
    </w:p>
    <w:p w14:paraId="2E93D97F" w14:textId="77777777" w:rsidR="00EE77C2" w:rsidRPr="00EE77C2" w:rsidRDefault="00EE77C2" w:rsidP="00EE77C2">
      <w:pPr>
        <w:rPr>
          <w:rFonts w:ascii="Calibri" w:hAnsi="Calibri"/>
        </w:rPr>
        <w:sectPr w:rsidR="00EE77C2" w:rsidRPr="00EE77C2" w:rsidSect="003D410F">
          <w:pgSz w:w="11907" w:h="16840" w:code="9"/>
          <w:pgMar w:top="2466" w:right="2098" w:bottom="2466" w:left="2098" w:header="1899" w:footer="1899" w:gutter="0"/>
          <w:cols w:space="720"/>
          <w:titlePg/>
          <w:docGrid w:linePitch="360"/>
        </w:sectPr>
      </w:pPr>
    </w:p>
    <w:p w14:paraId="5F81C6A2" w14:textId="7ACE8C2C" w:rsidR="00EE77C2" w:rsidRDefault="00531ADB" w:rsidP="006D7C2E">
      <w:r w:rsidRPr="007C6F91">
        <w:rPr>
          <w:rFonts w:ascii="Calibri" w:eastAsia="Calibri" w:hAnsi="Calibri"/>
          <w:noProof/>
        </w:rPr>
        <mc:AlternateContent>
          <mc:Choice Requires="wps">
            <w:drawing>
              <wp:anchor distT="0" distB="0" distL="114300" distR="114300" simplePos="0" relativeHeight="251658253" behindDoc="0" locked="1" layoutInCell="1" allowOverlap="0" wp14:anchorId="228C80F3" wp14:editId="432DB446">
                <wp:simplePos x="0" y="0"/>
                <wp:positionH relativeFrom="column">
                  <wp:posOffset>3175</wp:posOffset>
                </wp:positionH>
                <wp:positionV relativeFrom="paragraph">
                  <wp:posOffset>0</wp:posOffset>
                </wp:positionV>
                <wp:extent cx="4896000" cy="7714800"/>
                <wp:effectExtent l="0" t="0" r="0" b="635"/>
                <wp:wrapSquare wrapText="bothSides"/>
                <wp:docPr id="32" name="Snip and Round Single Corner Rectangle 32"/>
                <wp:cNvGraphicFramePr/>
                <a:graphic xmlns:a="http://schemas.openxmlformats.org/drawingml/2006/main">
                  <a:graphicData uri="http://schemas.microsoft.com/office/word/2010/wordprocessingShape">
                    <wps:wsp>
                      <wps:cNvSpPr/>
                      <wps:spPr>
                        <a:xfrm>
                          <a:off x="0" y="0"/>
                          <a:ext cx="4896000" cy="7714800"/>
                        </a:xfrm>
                        <a:prstGeom prst="snipRoundRect">
                          <a:avLst>
                            <a:gd name="adj1" fmla="val 5531"/>
                            <a:gd name="adj2" fmla="val 10817"/>
                          </a:avLst>
                        </a:prstGeom>
                        <a:solidFill>
                          <a:srgbClr val="A32035"/>
                        </a:solidFill>
                        <a:ln w="25400" cap="flat" cmpd="sng" algn="ctr">
                          <a:noFill/>
                          <a:prstDash val="solid"/>
                        </a:ln>
                        <a:effectLst/>
                      </wps:spPr>
                      <wps:txbx>
                        <w:txbxContent>
                          <w:p w14:paraId="17BBA606" w14:textId="77777777" w:rsidR="00E56859" w:rsidRPr="005A4B82" w:rsidRDefault="00E56859" w:rsidP="0015450A">
                            <w:pPr>
                              <w:pStyle w:val="CaseStudyHeading"/>
                            </w:pPr>
                            <w:bookmarkStart w:id="342" w:name="_Toc1054868"/>
                            <w:proofErr w:type="spellStart"/>
                            <w:r w:rsidRPr="005A4B82">
                              <w:t>Arrium</w:t>
                            </w:r>
                            <w:proofErr w:type="spellEnd"/>
                            <w:r w:rsidRPr="005A4B82">
                              <w:t xml:space="preserve"> </w:t>
                            </w:r>
                            <w:r>
                              <w:t>c</w:t>
                            </w:r>
                            <w:r w:rsidRPr="005A4B82">
                              <w:t xml:space="preserve">ase </w:t>
                            </w:r>
                            <w:r>
                              <w:t>s</w:t>
                            </w:r>
                            <w:r w:rsidRPr="005A4B82">
                              <w:t>tudy</w:t>
                            </w:r>
                            <w:bookmarkEnd w:id="342"/>
                          </w:p>
                          <w:p w14:paraId="14DCF48C" w14:textId="5E40AE66" w:rsidR="00E56859" w:rsidRPr="00EB536F" w:rsidRDefault="00E56859" w:rsidP="00EE77C2">
                            <w:pPr>
                              <w:pStyle w:val="CaseStudyText"/>
                            </w:pPr>
                            <w:r w:rsidRPr="005A4B82">
                              <w:t xml:space="preserve">In 2017, </w:t>
                            </w:r>
                            <w:r w:rsidRPr="00C9728D">
                              <w:t>GFG Alliance</w:t>
                            </w:r>
                            <w:r>
                              <w:t>,</w:t>
                            </w:r>
                            <w:r w:rsidRPr="005A4B82">
                              <w:t xml:space="preserve"> led by British businessman </w:t>
                            </w:r>
                            <w:r>
                              <w:t xml:space="preserve">Mr </w:t>
                            </w:r>
                            <w:r w:rsidRPr="005A4B82">
                              <w:t xml:space="preserve">Sanjeev Gupta, </w:t>
                            </w:r>
                            <w:r>
                              <w:t>acquired</w:t>
                            </w:r>
                            <w:r w:rsidRPr="005A4B82">
                              <w:t xml:space="preserve"> </w:t>
                            </w:r>
                            <w:proofErr w:type="spellStart"/>
                            <w:r w:rsidRPr="005A4B82">
                              <w:t>Arrium’s</w:t>
                            </w:r>
                            <w:proofErr w:type="spellEnd"/>
                            <w:r w:rsidRPr="005A4B82">
                              <w:t xml:space="preserve"> steel and mining business. The</w:t>
                            </w:r>
                            <w:r w:rsidRPr="005A4B82" w:rsidDel="00491FC4">
                              <w:t xml:space="preserve"> </w:t>
                            </w:r>
                            <w:r w:rsidRPr="005A4B82">
                              <w:t>acquisition included the Whyalla Steelworks, associated iron ore mines, the Port of Whyalla and the</w:t>
                            </w:r>
                            <w:r>
                              <w:t xml:space="preserve"> associated</w:t>
                            </w:r>
                            <w:r w:rsidRPr="005A4B82">
                              <w:t xml:space="preserve"> steel manufacturing, recycling and distribution businesses.</w:t>
                            </w:r>
                          </w:p>
                          <w:p w14:paraId="7B9E5375" w14:textId="77777777" w:rsidR="00E56859" w:rsidRPr="005A4B82" w:rsidRDefault="00E56859" w:rsidP="00EE77C2">
                            <w:pPr>
                              <w:pStyle w:val="CaseStudyText"/>
                            </w:pPr>
                            <w:proofErr w:type="spellStart"/>
                            <w:r w:rsidRPr="00EB536F">
                              <w:t>Arrium</w:t>
                            </w:r>
                            <w:proofErr w:type="spellEnd"/>
                            <w:r w:rsidRPr="00EB536F">
                              <w:t xml:space="preserve"> had been in voluntary administration for over 12 months with $</w:t>
                            </w:r>
                            <w:r w:rsidRPr="00EB536F" w:rsidDel="00491FC4">
                              <w:t>4</w:t>
                            </w:r>
                            <w:r w:rsidRPr="00EB536F">
                              <w:t> billion in debt. The acquisition effectively saved 5,500 jobs and the viability of</w:t>
                            </w:r>
                            <w:r>
                              <w:t xml:space="preserve"> Whyalla</w:t>
                            </w:r>
                            <w:r w:rsidRPr="005A4B82">
                              <w:t>.</w:t>
                            </w:r>
                          </w:p>
                          <w:p w14:paraId="03F49CFA" w14:textId="52EF0FFB" w:rsidR="00E56859" w:rsidRPr="00EB536F" w:rsidRDefault="00E56859" w:rsidP="00EE77C2">
                            <w:pPr>
                              <w:pStyle w:val="CaseStudyText"/>
                            </w:pPr>
                            <w:r w:rsidRPr="00EB536F">
                              <w:t xml:space="preserve">The </w:t>
                            </w:r>
                            <w:r>
                              <w:t>Board</w:t>
                            </w:r>
                            <w:r w:rsidRPr="00EB536F">
                              <w:t xml:space="preserve"> reviewed the acquisition to ensure that it was not contrary to the national interest. This</w:t>
                            </w:r>
                            <w:r w:rsidRPr="00EB536F" w:rsidDel="00491FC4">
                              <w:t xml:space="preserve"> </w:t>
                            </w:r>
                            <w:r w:rsidRPr="00EB536F">
                              <w:t>particularly took into account the location and nature of the assets, and the impact on employees and the community.</w:t>
                            </w:r>
                          </w:p>
                          <w:p w14:paraId="5A36E4D5" w14:textId="77777777" w:rsidR="00E56859" w:rsidRPr="00EB536F" w:rsidRDefault="00E56859" w:rsidP="00531ADB">
                            <w:pPr>
                              <w:pStyle w:val="ChartGraphic"/>
                              <w:spacing w:after="120"/>
                              <w:ind w:left="112"/>
                            </w:pPr>
                            <w:r w:rsidRPr="00EB536F">
                              <w:rPr>
                                <w:rFonts w:ascii="Roboto" w:hAnsi="Roboto"/>
                                <w:noProof/>
                                <w:color w:val="1A1A1A"/>
                                <w:sz w:val="18"/>
                                <w:szCs w:val="18"/>
                              </w:rPr>
                              <w:drawing>
                                <wp:inline distT="0" distB="0" distL="0" distR="0" wp14:anchorId="78A6DD36" wp14:editId="7EC73A75">
                                  <wp:extent cx="4198289" cy="2006477"/>
                                  <wp:effectExtent l="19050" t="19050" r="12065" b="13335"/>
                                  <wp:docPr id="36" name="zoom-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zoom-image" descr="Whyalla Steelworks at night : Stock Photo"/>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3759"/>
                                          <a:stretch/>
                                        </pic:blipFill>
                                        <pic:spPr bwMode="auto">
                                          <a:xfrm>
                                            <a:off x="0" y="0"/>
                                            <a:ext cx="4198389" cy="2006525"/>
                                          </a:xfrm>
                                          <a:prstGeom prst="rect">
                                            <a:avLst/>
                                          </a:prstGeom>
                                          <a:noFill/>
                                          <a:ln w="635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F59A32" w14:textId="77777777" w:rsidR="00E56859" w:rsidRPr="00EB536F" w:rsidRDefault="00E56859" w:rsidP="00EE77C2">
                            <w:pPr>
                              <w:pStyle w:val="CaseStudyText"/>
                            </w:pPr>
                            <w:r w:rsidRPr="00EB536F">
                              <w:t xml:space="preserve">Mr Gupta’s </w:t>
                            </w:r>
                            <w:r>
                              <w:t xml:space="preserve">plans included </w:t>
                            </w:r>
                            <w:r w:rsidRPr="005A4B82">
                              <w:t>more than $1.35 billion in new investment with a significant emphasis on renewable energy projects to help reduce the steelworks’ operating costs. There are plans for pumped hydroelectric storage and an upgrade to the co</w:t>
                            </w:r>
                            <w:r w:rsidRPr="005A4B82">
                              <w:noBreakHyphen/>
                              <w:t xml:space="preserve">generation plant, with the major investment the construction of the 280 megawatt </w:t>
                            </w:r>
                            <w:proofErr w:type="spellStart"/>
                            <w:r w:rsidRPr="005A4B82">
                              <w:t>Cultana</w:t>
                            </w:r>
                            <w:proofErr w:type="spellEnd"/>
                            <w:r w:rsidRPr="005A4B82">
                              <w:t xml:space="preserve"> Solar Farm Project.</w:t>
                            </w:r>
                          </w:p>
                          <w:p w14:paraId="17292956" w14:textId="29340B20" w:rsidR="00E56859" w:rsidRDefault="00E56859" w:rsidP="00EE77C2">
                            <w:pPr>
                              <w:pStyle w:val="CaseStudyText"/>
                            </w:pPr>
                            <w:r w:rsidRPr="00EB536F">
                              <w:t xml:space="preserve">The </w:t>
                            </w:r>
                            <w:proofErr w:type="spellStart"/>
                            <w:r w:rsidRPr="00EB536F">
                              <w:t>Cultana</w:t>
                            </w:r>
                            <w:proofErr w:type="spellEnd"/>
                            <w:r w:rsidRPr="00EB536F">
                              <w:t xml:space="preserve"> Solar Farm Project is to be developed in 2019. It is expected to generate enough electricity for 96,000 homes, employ 350 workers during construction, and ensure greater energy security for the steelworks. Mr Gupta has also announced plans to construct the world’s largest lithium-ion battery in South Australia, creating a further 100 jobs during construction.</w:t>
                            </w:r>
                          </w:p>
                          <w:p w14:paraId="2123926C" w14:textId="37A618DA" w:rsidR="00E56859" w:rsidRPr="00286A19" w:rsidRDefault="00E56859" w:rsidP="00EE77C2">
                            <w:pPr>
                              <w:pStyle w:val="CaseStudyText"/>
                            </w:pPr>
                            <w:r>
                              <w:t>Whyalla Mayor Lyn Breuer was reported as saying the acquisition by Mr Gupta was a huge relief for the regional town of 22,000 people. It had lifted the cloud from over Whyalla, ending 15 months of uncertainly, during which time people had stopped spending and businesses had gone under. The Mayor said that the proposed transformation of the steelworks would transform not only the company’s operations, but also the entire community. The company’s vision for the region had the community’s full support.</w:t>
                            </w:r>
                          </w:p>
                        </w:txbxContent>
                      </wps:txbx>
                      <wps:bodyPr rot="0" spcFirstLastPara="0" vertOverflow="overflow" horzOverflow="overflow" vert="horz" wrap="square" lIns="18000" tIns="0" rIns="1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32" o:spid="_x0000_s1026" style="position:absolute;left:0;text-align:left;margin-left:.25pt;margin-top:0;width:385.5pt;height:607.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96000,771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" o:allowoverlap="f" adj="-11796480,,5400" path="m270798,l4366400,r529600,529600l4896000,7714800,,7714800,,270798c,121240,121240,,270798,xe" fillcolor="#a32035" stroked="f" strokeweight="2pt">
                <v:stroke joinstyle="miter"/>
                <v:formulas/>
                <v:path arrowok="t" o:connecttype="custom" o:connectlocs="270798,0;4366400,0;4896000,529600;4896000,7714800;0,7714800;0,270798;270798,0" o:connectangles="0,0,0,0,0,0,0" textboxrect="0,0,4896000,7714800"/>
                <v:textbox inset=".5mm,0,.5mm,0">
                  <w:txbxContent>
                    <w:p w14:paraId="17BBA606" w14:textId="77777777" w:rsidR="00E56859" w:rsidRPr="005A4B82" w:rsidRDefault="00E56859" w:rsidP="0015450A">
                      <w:pPr>
                        <w:pStyle w:val="CaseStudyHeading"/>
                      </w:pPr>
                      <w:bookmarkStart w:id="342" w:name="_Toc1054868"/>
                      <w:r w:rsidRPr="005A4B82">
                        <w:t xml:space="preserve">Arrium </w:t>
                      </w:r>
                      <w:r>
                        <w:t>c</w:t>
                      </w:r>
                      <w:r w:rsidRPr="005A4B82">
                        <w:t xml:space="preserve">ase </w:t>
                      </w:r>
                      <w:r>
                        <w:t>s</w:t>
                      </w:r>
                      <w:r w:rsidRPr="005A4B82">
                        <w:t>tudy</w:t>
                      </w:r>
                      <w:bookmarkEnd w:id="342"/>
                    </w:p>
                    <w:p w14:paraId="14DCF48C" w14:textId="5E40AE66" w:rsidR="00E56859" w:rsidRPr="00EB536F" w:rsidRDefault="00E56859" w:rsidP="00EE77C2">
                      <w:pPr>
                        <w:pStyle w:val="CaseStudyText"/>
                      </w:pPr>
                      <w:r w:rsidRPr="005A4B82">
                        <w:t xml:space="preserve">In 2017, </w:t>
                      </w:r>
                      <w:r w:rsidRPr="00C9728D">
                        <w:t>GFG Alliance</w:t>
                      </w:r>
                      <w:r>
                        <w:t>,</w:t>
                      </w:r>
                      <w:r w:rsidRPr="005A4B82">
                        <w:t xml:space="preserve"> led by British businessman </w:t>
                      </w:r>
                      <w:r>
                        <w:t xml:space="preserve">Mr </w:t>
                      </w:r>
                      <w:r w:rsidRPr="005A4B82">
                        <w:t xml:space="preserve">Sanjeev Gupta, </w:t>
                      </w:r>
                      <w:r>
                        <w:t>acquired</w:t>
                      </w:r>
                      <w:r w:rsidRPr="005A4B82">
                        <w:t xml:space="preserve"> Arrium’s steel and mining business. The</w:t>
                      </w:r>
                      <w:r w:rsidRPr="005A4B82" w:rsidDel="00491FC4">
                        <w:t xml:space="preserve"> </w:t>
                      </w:r>
                      <w:r w:rsidRPr="005A4B82">
                        <w:t>acquisition included the Whyalla Steelworks, associated iron ore mines, the Port of Whyalla and the</w:t>
                      </w:r>
                      <w:r>
                        <w:t xml:space="preserve"> associated</w:t>
                      </w:r>
                      <w:r w:rsidRPr="005A4B82">
                        <w:t xml:space="preserve"> steel manufacturing, recycling and distribution businesses.</w:t>
                      </w:r>
                    </w:p>
                    <w:p w14:paraId="7B9E5375" w14:textId="77777777" w:rsidR="00E56859" w:rsidRPr="005A4B82" w:rsidRDefault="00E56859" w:rsidP="00EE77C2">
                      <w:pPr>
                        <w:pStyle w:val="CaseStudyText"/>
                      </w:pPr>
                      <w:r w:rsidRPr="00EB536F">
                        <w:t>Arrium had been in voluntary administration for over 12 months with $</w:t>
                      </w:r>
                      <w:r w:rsidRPr="00EB536F" w:rsidDel="00491FC4">
                        <w:t>4</w:t>
                      </w:r>
                      <w:r w:rsidRPr="00EB536F">
                        <w:t> billion in debt. The acquisition effectively saved 5,500 jobs and the viability of</w:t>
                      </w:r>
                      <w:r>
                        <w:t xml:space="preserve"> Whyalla</w:t>
                      </w:r>
                      <w:r w:rsidRPr="005A4B82">
                        <w:t>.</w:t>
                      </w:r>
                    </w:p>
                    <w:p w14:paraId="03F49CFA" w14:textId="52EF0FFB" w:rsidR="00E56859" w:rsidRPr="00EB536F" w:rsidRDefault="00E56859" w:rsidP="00EE77C2">
                      <w:pPr>
                        <w:pStyle w:val="CaseStudyText"/>
                      </w:pPr>
                      <w:r w:rsidRPr="00EB536F">
                        <w:t xml:space="preserve">The </w:t>
                      </w:r>
                      <w:r>
                        <w:t>Board</w:t>
                      </w:r>
                      <w:r w:rsidRPr="00EB536F">
                        <w:t xml:space="preserve"> reviewed the acquisition to ensure that it was not contrary to the national interest. This</w:t>
                      </w:r>
                      <w:r w:rsidRPr="00EB536F" w:rsidDel="00491FC4">
                        <w:t xml:space="preserve"> </w:t>
                      </w:r>
                      <w:r w:rsidRPr="00EB536F">
                        <w:t>particularly took into account the location and nature of the assets, and the impact on employees and the community.</w:t>
                      </w:r>
                    </w:p>
                    <w:p w14:paraId="5A36E4D5" w14:textId="77777777" w:rsidR="00E56859" w:rsidRPr="00EB536F" w:rsidRDefault="00E56859" w:rsidP="00531ADB">
                      <w:pPr>
                        <w:pStyle w:val="ChartGraphic"/>
                        <w:spacing w:after="120"/>
                        <w:ind w:left="112"/>
                      </w:pPr>
                      <w:r w:rsidRPr="00EB536F">
                        <w:rPr>
                          <w:rFonts w:ascii="Roboto" w:hAnsi="Roboto"/>
                          <w:noProof/>
                          <w:color w:val="1A1A1A"/>
                          <w:sz w:val="18"/>
                          <w:szCs w:val="18"/>
                          <w:lang w:eastAsia="zh-CN"/>
                        </w:rPr>
                        <w:drawing>
                          <wp:inline distT="0" distB="0" distL="0" distR="0" wp14:anchorId="78A6DD36" wp14:editId="7EC73A75">
                            <wp:extent cx="4198289" cy="2006477"/>
                            <wp:effectExtent l="19050" t="19050" r="12065" b="13335"/>
                            <wp:docPr id="36" name="zoom-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zoom-image" descr="Whyalla Steelworks at night : Stock Photo"/>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3759"/>
                                    <a:stretch/>
                                  </pic:blipFill>
                                  <pic:spPr bwMode="auto">
                                    <a:xfrm>
                                      <a:off x="0" y="0"/>
                                      <a:ext cx="4198389" cy="2006525"/>
                                    </a:xfrm>
                                    <a:prstGeom prst="rect">
                                      <a:avLst/>
                                    </a:prstGeom>
                                    <a:noFill/>
                                    <a:ln w="635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F59A32" w14:textId="77777777" w:rsidR="00E56859" w:rsidRPr="00EB536F" w:rsidRDefault="00E56859" w:rsidP="00EE77C2">
                      <w:pPr>
                        <w:pStyle w:val="CaseStudyText"/>
                      </w:pPr>
                      <w:r w:rsidRPr="00EB536F">
                        <w:t xml:space="preserve">Mr Gupta’s </w:t>
                      </w:r>
                      <w:r>
                        <w:t xml:space="preserve">plans included </w:t>
                      </w:r>
                      <w:r w:rsidRPr="005A4B82">
                        <w:t>more than $1.35 billion in new investment with a significant emphasis on renewable energy projects to help reduce the steelworks’ operating costs. There are plans for pumped hydroelectric storage and an upgrade to the co</w:t>
                      </w:r>
                      <w:r w:rsidRPr="005A4B82">
                        <w:noBreakHyphen/>
                        <w:t>generation plant, with the major investment the construction of the 280 megawatt Cultana Solar Farm Project.</w:t>
                      </w:r>
                    </w:p>
                    <w:p w14:paraId="17292956" w14:textId="29340B20" w:rsidR="00E56859" w:rsidRDefault="00E56859" w:rsidP="00EE77C2">
                      <w:pPr>
                        <w:pStyle w:val="CaseStudyText"/>
                      </w:pPr>
                      <w:r w:rsidRPr="00EB536F">
                        <w:t>The Cultana Solar Farm Project is to be developed in 2019. It is expected to generate enough electricity for 96,000 homes, employ 350 workers during construction, and ensure greater energy security for the steelworks. Mr Gupta has also announced plans to construct the world’s largest lithium-ion battery in South Australia, creating a further 100 jobs during construction.</w:t>
                      </w:r>
                    </w:p>
                    <w:p w14:paraId="2123926C" w14:textId="37A618DA" w:rsidR="00E56859" w:rsidRPr="00286A19" w:rsidRDefault="00E56859" w:rsidP="00EE77C2">
                      <w:pPr>
                        <w:pStyle w:val="CaseStudyText"/>
                      </w:pPr>
                      <w:r>
                        <w:t>Whyalla Mayor Lyn Breuer was reported as saying the acquisition by Mr Gupta was a huge relief for the regional town of 22,000 people. It had lifted the cloud from over Whyalla, ending 15 months of uncertainly, during which time people had stopped spending and businesses had gone under. The Mayor said that the proposed transformation of the steelworks would transform not only the company’s operations, but also the entire community. The company’s vision for the region had the community’s full support.</w:t>
                      </w:r>
                    </w:p>
                  </w:txbxContent>
                </v:textbox>
                <w10:wrap type="square"/>
                <w10:anchorlock/>
              </v:shape>
            </w:pict>
          </mc:Fallback>
        </mc:AlternateContent>
      </w:r>
    </w:p>
    <w:p w14:paraId="70501835" w14:textId="77777777" w:rsidR="00CB54C2" w:rsidRPr="002C2D66" w:rsidRDefault="00CB54C2" w:rsidP="00EF467D">
      <w:pPr>
        <w:pStyle w:val="Heading3"/>
        <w:rPr>
          <w:rFonts w:eastAsiaTheme="majorEastAsia"/>
        </w:rPr>
      </w:pPr>
      <w:r w:rsidRPr="00CB54C2">
        <w:rPr>
          <w:rFonts w:eastAsiaTheme="majorEastAsia"/>
        </w:rPr>
        <w:t>The changing foreign investment landscape</w:t>
      </w:r>
    </w:p>
    <w:p w14:paraId="64D52A37" w14:textId="3F589870" w:rsidR="00E47BB7" w:rsidRDefault="00683D05" w:rsidP="00CB54C2">
      <w:r w:rsidRPr="00683D05">
        <w:t>Despite solid global economic growth, the backdrop for foreign investment in Australia and globally has become more challenging in recent years. In particular, heightened geo</w:t>
      </w:r>
      <w:r>
        <w:noBreakHyphen/>
      </w:r>
      <w:r w:rsidRPr="00683D05">
        <w:t>political uncertainty and international trade tensions have resulted in foreign investors becoming increasingly selective about their investment</w:t>
      </w:r>
      <w:r w:rsidR="00073375">
        <w:t xml:space="preserve"> decisions and</w:t>
      </w:r>
      <w:r w:rsidRPr="00683D05">
        <w:t xml:space="preserve"> </w:t>
      </w:r>
      <w:r>
        <w:t>destinations</w:t>
      </w:r>
      <w:r w:rsidRPr="00683D05">
        <w:t>. Chinese outbound investment to Australia and the rest of the world has also slowed as authorities have tightened capital controls.</w:t>
      </w:r>
    </w:p>
    <w:p w14:paraId="7824281D" w14:textId="7D41155D" w:rsidR="00DA7562" w:rsidRDefault="00F950F4" w:rsidP="00CB54C2">
      <w:r>
        <w:t xml:space="preserve">While </w:t>
      </w:r>
      <w:r w:rsidR="00810985">
        <w:t>Australia’s resource</w:t>
      </w:r>
      <w:r w:rsidR="002048F0">
        <w:t>s</w:t>
      </w:r>
      <w:r w:rsidR="00810985">
        <w:t xml:space="preserve"> </w:t>
      </w:r>
      <w:r w:rsidR="00F76FA6">
        <w:t>sector,</w:t>
      </w:r>
      <w:r>
        <w:t xml:space="preserve"> which </w:t>
      </w:r>
      <w:r w:rsidR="00F76FA6">
        <w:t>has</w:t>
      </w:r>
      <w:r>
        <w:t xml:space="preserve"> traditionally</w:t>
      </w:r>
      <w:r w:rsidR="00810985">
        <w:t xml:space="preserve"> been</w:t>
      </w:r>
      <w:r>
        <w:t xml:space="preserve"> attractive</w:t>
      </w:r>
      <w:r w:rsidR="00810985">
        <w:t xml:space="preserve"> </w:t>
      </w:r>
      <w:r>
        <w:t>for foreign investment</w:t>
      </w:r>
      <w:r w:rsidR="00F76FA6">
        <w:t>,</w:t>
      </w:r>
      <w:r>
        <w:t xml:space="preserve"> </w:t>
      </w:r>
      <w:r w:rsidR="00BE1218">
        <w:t>continue</w:t>
      </w:r>
      <w:r w:rsidR="00F76FA6">
        <w:t>s</w:t>
      </w:r>
      <w:r w:rsidR="00DA7562">
        <w:t xml:space="preserve"> to </w:t>
      </w:r>
      <w:r>
        <w:t>receive</w:t>
      </w:r>
      <w:r w:rsidR="00810985">
        <w:t xml:space="preserve"> investor interest</w:t>
      </w:r>
      <w:r w:rsidR="00DA7562">
        <w:t xml:space="preserve">, </w:t>
      </w:r>
      <w:r w:rsidR="002048F0">
        <w:t xml:space="preserve">the </w:t>
      </w:r>
      <w:r w:rsidR="00DA7562">
        <w:t xml:space="preserve">services </w:t>
      </w:r>
      <w:r w:rsidR="002048F0">
        <w:t>sector is</w:t>
      </w:r>
      <w:r w:rsidR="00EB536F">
        <w:t xml:space="preserve"> </w:t>
      </w:r>
      <w:r w:rsidR="006E1413">
        <w:t xml:space="preserve">now </w:t>
      </w:r>
      <w:r w:rsidR="00EB536F">
        <w:t>receiving greater attention</w:t>
      </w:r>
      <w:r w:rsidR="00455B7E">
        <w:t>.</w:t>
      </w:r>
      <w:r w:rsidR="002C6C7E">
        <w:t xml:space="preserve"> </w:t>
      </w:r>
      <w:r w:rsidR="00F76FA6">
        <w:t xml:space="preserve">This is </w:t>
      </w:r>
      <w:r w:rsidR="00DA7562">
        <w:t>particular</w:t>
      </w:r>
      <w:r>
        <w:t>ly</w:t>
      </w:r>
      <w:r w:rsidR="00DA7562">
        <w:t xml:space="preserve"> </w:t>
      </w:r>
      <w:r w:rsidR="00F76FA6">
        <w:t xml:space="preserve">true of </w:t>
      </w:r>
      <w:r w:rsidR="00DA7562">
        <w:t>health</w:t>
      </w:r>
      <w:r w:rsidR="0038315D">
        <w:t xml:space="preserve"> </w:t>
      </w:r>
      <w:r w:rsidR="00DA7562">
        <w:t>care</w:t>
      </w:r>
      <w:r w:rsidR="00396C8C">
        <w:t>, which experienced a $3.7 billion year-on-year increase of approved foreign investment</w:t>
      </w:r>
      <w:r w:rsidR="00F76FA6">
        <w:t xml:space="preserve">. </w:t>
      </w:r>
      <w:r w:rsidR="002C6C7E">
        <w:t xml:space="preserve">As foreign investors </w:t>
      </w:r>
      <w:r w:rsidR="008A7DE7">
        <w:t>from developing economies</w:t>
      </w:r>
      <w:r w:rsidR="002C6C7E">
        <w:t xml:space="preserve"> seek to meet </w:t>
      </w:r>
      <w:r w:rsidR="00271991">
        <w:t xml:space="preserve">growing </w:t>
      </w:r>
      <w:r w:rsidR="00084D58">
        <w:t>middle class</w:t>
      </w:r>
      <w:r w:rsidR="002C6C7E">
        <w:t xml:space="preserve"> consumption demands, </w:t>
      </w:r>
      <w:r w:rsidR="008A7DE7">
        <w:t xml:space="preserve">and investors globally </w:t>
      </w:r>
      <w:r w:rsidR="00F76FA6">
        <w:t>look</w:t>
      </w:r>
      <w:r w:rsidR="008A7DE7">
        <w:t xml:space="preserve"> to </w:t>
      </w:r>
      <w:r w:rsidR="002C6C7E">
        <w:t>acquire advanced technology</w:t>
      </w:r>
      <w:r w:rsidR="00F76FA6">
        <w:t xml:space="preserve"> and </w:t>
      </w:r>
      <w:r w:rsidR="002C6C7E">
        <w:t>best-practice management techniques</w:t>
      </w:r>
      <w:r w:rsidR="00F76FA6">
        <w:t>,</w:t>
      </w:r>
      <w:r w:rsidR="002C6C7E">
        <w:t xml:space="preserve"> </w:t>
      </w:r>
      <w:r w:rsidR="00F76FA6">
        <w:t>as well as</w:t>
      </w:r>
      <w:r w:rsidR="00EA7878">
        <w:t xml:space="preserve"> expand their global market presence, </w:t>
      </w:r>
      <w:r w:rsidR="002C6C7E">
        <w:t xml:space="preserve">this trend </w:t>
      </w:r>
      <w:r w:rsidR="00EA7878">
        <w:t xml:space="preserve">towards </w:t>
      </w:r>
      <w:r w:rsidR="007B193D">
        <w:t xml:space="preserve">foreign investment in Australia’s </w:t>
      </w:r>
      <w:r w:rsidR="00EA7878">
        <w:t xml:space="preserve">service sector </w:t>
      </w:r>
      <w:r w:rsidR="002C6C7E">
        <w:t>is expected to continue.</w:t>
      </w:r>
      <w:r w:rsidR="00084D58">
        <w:rPr>
          <w:rStyle w:val="FootnoteReference"/>
        </w:rPr>
        <w:footnoteReference w:id="6"/>
      </w:r>
    </w:p>
    <w:p w14:paraId="3E4679D3" w14:textId="6AAA6CC1" w:rsidR="00270A9E" w:rsidRDefault="0080203E" w:rsidP="00CB54C2">
      <w:r>
        <w:t xml:space="preserve">In 2017-18, the </w:t>
      </w:r>
      <w:r w:rsidR="002653B1">
        <w:t>Board</w:t>
      </w:r>
      <w:r>
        <w:t xml:space="preserve"> continue</w:t>
      </w:r>
      <w:r w:rsidR="002452F0">
        <w:t>d</w:t>
      </w:r>
      <w:r>
        <w:t xml:space="preserve"> to manage a range of complexities associated with l</w:t>
      </w:r>
      <w:r w:rsidR="00CB54C2" w:rsidRPr="00CB54C2">
        <w:t xml:space="preserve">arge commercial investments in sectors </w:t>
      </w:r>
      <w:r w:rsidR="0083303D">
        <w:t>critical to the Australian community and economy</w:t>
      </w:r>
      <w:r>
        <w:t xml:space="preserve">. </w:t>
      </w:r>
      <w:r w:rsidR="00925926">
        <w:t xml:space="preserve">The past two </w:t>
      </w:r>
      <w:r>
        <w:t>reporting period</w:t>
      </w:r>
      <w:r w:rsidR="00925926">
        <w:t>s</w:t>
      </w:r>
      <w:r>
        <w:t xml:space="preserve"> saw </w:t>
      </w:r>
      <w:r w:rsidR="002452F0">
        <w:t xml:space="preserve">increased </w:t>
      </w:r>
      <w:r w:rsidR="00925926">
        <w:t xml:space="preserve">complexity associated with </w:t>
      </w:r>
      <w:r>
        <w:t xml:space="preserve">privatisation of </w:t>
      </w:r>
      <w:r w:rsidR="00925926">
        <w:t>large</w:t>
      </w:r>
      <w:r w:rsidR="00CF0AAD">
        <w:br/>
      </w:r>
      <w:r w:rsidR="00925926">
        <w:t>state-owned electricity assets</w:t>
      </w:r>
      <w:r w:rsidR="002E047E">
        <w:t xml:space="preserve"> and sales of data centres combined with a heightened national security environment</w:t>
      </w:r>
      <w:r w:rsidR="00F37DD5">
        <w:t xml:space="preserve"> – in particular the security of critical infrastructure and nationally important data</w:t>
      </w:r>
      <w:r w:rsidR="00925926">
        <w:t>. While there continues to be significant foreign interest in critical infrastructure assets</w:t>
      </w:r>
      <w:r w:rsidR="002E047E">
        <w:t xml:space="preserve"> and data centres</w:t>
      </w:r>
      <w:r w:rsidR="00925926">
        <w:t>, 2017-18</w:t>
      </w:r>
      <w:r w:rsidR="002E047E">
        <w:t xml:space="preserve"> saw </w:t>
      </w:r>
      <w:r w:rsidR="00F76FA6">
        <w:t>growing</w:t>
      </w:r>
      <w:r w:rsidR="002E047E">
        <w:t xml:space="preserve"> interest in the sale of large health and financial services business</w:t>
      </w:r>
      <w:r w:rsidR="00F76FA6">
        <w:t>es</w:t>
      </w:r>
      <w:r w:rsidR="002E047E">
        <w:t>.</w:t>
      </w:r>
      <w:r w:rsidR="00925926">
        <w:t xml:space="preserve"> </w:t>
      </w:r>
      <w:r w:rsidR="002E047E">
        <w:t>As wi</w:t>
      </w:r>
      <w:r w:rsidR="00270A9E">
        <w:t xml:space="preserve">th sales of data centres, these types of acquisitions raise national interest factors associated with the protection of sensitive data. Consequently, the development of data security conditions continued to be a key area of focus for the </w:t>
      </w:r>
      <w:r w:rsidR="002653B1">
        <w:t>Board</w:t>
      </w:r>
      <w:r w:rsidR="00270A9E">
        <w:t>, to ensure a change of ownership does not present an unmanaged risk of unauthorised access to personal, government, or sensitive operational data.</w:t>
      </w:r>
    </w:p>
    <w:p w14:paraId="536AF7DB" w14:textId="266EA423" w:rsidR="000B4E18" w:rsidRPr="00CB54C2" w:rsidRDefault="00F76FA6" w:rsidP="00CB54C2">
      <w:r>
        <w:t>The imposition of conditions on approvals continued to play an important role in enabling foreign investment to proceed while safeguarding the national interest and managing any identified risks.</w:t>
      </w:r>
    </w:p>
    <w:p w14:paraId="7F711D36" w14:textId="1AB19E93" w:rsidR="00AA69B7" w:rsidRPr="00CB54C2" w:rsidRDefault="00AA69B7" w:rsidP="0015450A">
      <w:pPr>
        <w:pStyle w:val="Heading3"/>
      </w:pPr>
      <w:r>
        <w:t xml:space="preserve">Key </w:t>
      </w:r>
      <w:r w:rsidR="00620A91">
        <w:t>d</w:t>
      </w:r>
      <w:r w:rsidR="0015450A">
        <w:t>evelopments in 2017–</w:t>
      </w:r>
      <w:r>
        <w:t>18</w:t>
      </w:r>
    </w:p>
    <w:p w14:paraId="662CD2F9" w14:textId="5CFD4A39" w:rsidR="00270A9E" w:rsidRPr="00CB54C2" w:rsidRDefault="00270A9E" w:rsidP="00270A9E">
      <w:r>
        <w:t xml:space="preserve">In the reporting period, key areas of policy focus for </w:t>
      </w:r>
      <w:r w:rsidR="009D5C16">
        <w:t xml:space="preserve">the </w:t>
      </w:r>
      <w:r w:rsidR="002653B1">
        <w:t>Board</w:t>
      </w:r>
      <w:r>
        <w:t xml:space="preserve"> related to implementing the regulatory changes introduced in the 2017-18 Budget</w:t>
      </w:r>
      <w:r w:rsidR="00A35F76">
        <w:t>,</w:t>
      </w:r>
      <w:r w:rsidDel="00F37DD5">
        <w:t xml:space="preserve"> </w:t>
      </w:r>
      <w:r w:rsidR="00620A91">
        <w:t>including streamlining measures and the introduction of a vacancy fee</w:t>
      </w:r>
      <w:r w:rsidR="00F37DD5">
        <w:t xml:space="preserve"> in respect of residential real estate,</w:t>
      </w:r>
      <w:r w:rsidR="00620A91">
        <w:t xml:space="preserve"> and policy announcements concerning the acquisition of agricultural land and electricity assets</w:t>
      </w:r>
      <w:r w:rsidR="00F37DD5">
        <w:t xml:space="preserve">. The </w:t>
      </w:r>
      <w:r w:rsidR="002653B1">
        <w:t>Board</w:t>
      </w:r>
      <w:r w:rsidR="00F37DD5">
        <w:t xml:space="preserve"> </w:t>
      </w:r>
      <w:r w:rsidR="000E646B">
        <w:t xml:space="preserve">and FIRB agencies </w:t>
      </w:r>
      <w:r w:rsidR="00F37DD5">
        <w:t>supported</w:t>
      </w:r>
      <w:r w:rsidR="00620A91">
        <w:t xml:space="preserve"> the establishment of the </w:t>
      </w:r>
      <w:r w:rsidR="00D3153F">
        <w:t>Critical Infrastructure Centre (</w:t>
      </w:r>
      <w:r w:rsidR="002653B1">
        <w:t>CIC</w:t>
      </w:r>
      <w:r w:rsidR="00D3153F">
        <w:t>)</w:t>
      </w:r>
      <w:r w:rsidR="00620A91">
        <w:t xml:space="preserve"> and the </w:t>
      </w:r>
      <w:r w:rsidR="00620A91" w:rsidRPr="007427BF">
        <w:t xml:space="preserve">Australian National Audit Office’s </w:t>
      </w:r>
      <w:r w:rsidR="00620A91">
        <w:t>(ANAO) review</w:t>
      </w:r>
      <w:r w:rsidR="00620A91" w:rsidRPr="007427BF">
        <w:t xml:space="preserve"> and report</w:t>
      </w:r>
      <w:r w:rsidR="009D5C16">
        <w:t>,</w:t>
      </w:r>
      <w:r w:rsidR="00620A91" w:rsidRPr="007427BF">
        <w:t xml:space="preserve"> </w:t>
      </w:r>
      <w:r w:rsidR="00620A91" w:rsidRPr="007427BF">
        <w:rPr>
          <w:i/>
        </w:rPr>
        <w:t xml:space="preserve">Management of compliance with foreign investment obligations </w:t>
      </w:r>
      <w:r w:rsidR="00667739">
        <w:rPr>
          <w:i/>
        </w:rPr>
        <w:t>for</w:t>
      </w:r>
      <w:r w:rsidR="00667739" w:rsidRPr="007427BF">
        <w:rPr>
          <w:i/>
        </w:rPr>
        <w:t xml:space="preserve"> </w:t>
      </w:r>
      <w:r w:rsidR="00620A91" w:rsidRPr="007427BF">
        <w:rPr>
          <w:i/>
        </w:rPr>
        <w:t>residential real estate</w:t>
      </w:r>
      <w:r w:rsidR="009D5C16">
        <w:rPr>
          <w:i/>
        </w:rPr>
        <w:t>.</w:t>
      </w:r>
    </w:p>
    <w:p w14:paraId="669F317D" w14:textId="4C723601" w:rsidR="00631DD9" w:rsidRDefault="00631DD9" w:rsidP="0015450A">
      <w:pPr>
        <w:pStyle w:val="Heading4"/>
        <w:rPr>
          <w:rFonts w:eastAsiaTheme="majorEastAsia"/>
        </w:rPr>
      </w:pPr>
      <w:r>
        <w:rPr>
          <w:rFonts w:eastAsiaTheme="majorEastAsia"/>
        </w:rPr>
        <w:t xml:space="preserve">Implementation of the </w:t>
      </w:r>
      <w:r w:rsidR="00C4679E">
        <w:rPr>
          <w:rFonts w:eastAsiaTheme="majorEastAsia"/>
        </w:rPr>
        <w:t>2017</w:t>
      </w:r>
      <w:r w:rsidR="0015450A">
        <w:rPr>
          <w:rFonts w:eastAsiaTheme="majorEastAsia"/>
        </w:rPr>
        <w:t>–</w:t>
      </w:r>
      <w:r w:rsidR="00C4679E">
        <w:rPr>
          <w:rFonts w:eastAsiaTheme="majorEastAsia"/>
        </w:rPr>
        <w:t xml:space="preserve">18 </w:t>
      </w:r>
      <w:r w:rsidR="00A1607F" w:rsidRPr="0015450A">
        <w:rPr>
          <w:rFonts w:eastAsiaTheme="majorEastAsia"/>
        </w:rPr>
        <w:t>B</w:t>
      </w:r>
      <w:r w:rsidR="00C4679E" w:rsidRPr="0015450A">
        <w:rPr>
          <w:rFonts w:eastAsiaTheme="majorEastAsia"/>
        </w:rPr>
        <w:t>udget</w:t>
      </w:r>
      <w:r w:rsidR="00C4679E">
        <w:rPr>
          <w:rFonts w:eastAsiaTheme="majorEastAsia"/>
        </w:rPr>
        <w:t xml:space="preserve"> </w:t>
      </w:r>
      <w:r>
        <w:rPr>
          <w:rFonts w:eastAsiaTheme="majorEastAsia"/>
        </w:rPr>
        <w:t>reform</w:t>
      </w:r>
      <w:r w:rsidR="00C4679E">
        <w:rPr>
          <w:rFonts w:eastAsiaTheme="majorEastAsia"/>
        </w:rPr>
        <w:t>s</w:t>
      </w:r>
    </w:p>
    <w:p w14:paraId="043A7C2E" w14:textId="0884825A" w:rsidR="00631DD9" w:rsidRDefault="00631DD9" w:rsidP="00C21803">
      <w:pPr>
        <w:rPr>
          <w:rFonts w:ascii="Calibri" w:eastAsiaTheme="minorHAnsi" w:hAnsi="Calibri" w:cs="Calibri"/>
          <w:sz w:val="24"/>
          <w:szCs w:val="24"/>
          <w:lang w:eastAsia="en-US"/>
        </w:rPr>
      </w:pPr>
      <w:r>
        <w:t>In 2017-18, FIRB agencies supported the implementation of a range of reforms</w:t>
      </w:r>
      <w:r w:rsidR="00620A91">
        <w:t xml:space="preserve"> </w:t>
      </w:r>
      <w:r w:rsidR="00C4679E">
        <w:t xml:space="preserve">announced </w:t>
      </w:r>
      <w:r w:rsidR="00620A91">
        <w:t>by the Government</w:t>
      </w:r>
      <w:r>
        <w:t xml:space="preserve"> in the previous reporting period, including a number of </w:t>
      </w:r>
      <w:r w:rsidR="00620A91">
        <w:t xml:space="preserve">streamlining </w:t>
      </w:r>
      <w:r>
        <w:t xml:space="preserve">measures that came into effect on 1 July </w:t>
      </w:r>
      <w:r w:rsidR="00620A91">
        <w:t>2017</w:t>
      </w:r>
      <w:r>
        <w:t>.</w:t>
      </w:r>
    </w:p>
    <w:p w14:paraId="52BAAD2D" w14:textId="1EEA29AF" w:rsidR="00631DD9" w:rsidRDefault="00204B71" w:rsidP="00C21803">
      <w:pPr>
        <w:rPr>
          <w:rFonts w:eastAsiaTheme="minorHAnsi"/>
          <w:lang w:eastAsia="en-US"/>
        </w:rPr>
      </w:pPr>
      <w:r>
        <w:rPr>
          <w:rFonts w:eastAsiaTheme="minorHAnsi"/>
          <w:lang w:eastAsia="en-US"/>
        </w:rPr>
        <w:t>These</w:t>
      </w:r>
      <w:r w:rsidR="00620A91" w:rsidDel="00204B71">
        <w:rPr>
          <w:rFonts w:eastAsiaTheme="minorHAnsi"/>
          <w:lang w:eastAsia="en-US"/>
        </w:rPr>
        <w:t xml:space="preserve"> </w:t>
      </w:r>
      <w:r>
        <w:rPr>
          <w:rFonts w:eastAsiaTheme="minorHAnsi"/>
          <w:lang w:eastAsia="en-US"/>
        </w:rPr>
        <w:t xml:space="preserve">streamlining </w:t>
      </w:r>
      <w:r w:rsidR="00620A91">
        <w:rPr>
          <w:rFonts w:eastAsiaTheme="minorHAnsi"/>
          <w:lang w:eastAsia="en-US"/>
        </w:rPr>
        <w:t>measures have reduced</w:t>
      </w:r>
      <w:r w:rsidR="00631DD9" w:rsidRPr="00130A46">
        <w:rPr>
          <w:rFonts w:eastAsiaTheme="minorHAnsi"/>
          <w:lang w:eastAsia="en-US"/>
        </w:rPr>
        <w:t xml:space="preserve"> the requirement for investors to seek multiple approvals for si</w:t>
      </w:r>
      <w:r w:rsidR="00631DD9">
        <w:rPr>
          <w:rFonts w:eastAsiaTheme="minorHAnsi"/>
          <w:lang w:eastAsia="en-US"/>
        </w:rPr>
        <w:t>milar low risk transactions by:</w:t>
      </w:r>
    </w:p>
    <w:p w14:paraId="5E928797" w14:textId="2C90FA0D" w:rsidR="00631DD9" w:rsidRDefault="00631DD9" w:rsidP="00631DD9">
      <w:pPr>
        <w:pStyle w:val="Bullet"/>
        <w:spacing w:after="220"/>
        <w:rPr>
          <w:rFonts w:eastAsiaTheme="minorHAnsi"/>
          <w:lang w:eastAsia="en-US"/>
        </w:rPr>
      </w:pPr>
      <w:r w:rsidRPr="00130A46">
        <w:rPr>
          <w:rFonts w:eastAsiaTheme="minorHAnsi"/>
          <w:lang w:eastAsia="en-US"/>
        </w:rPr>
        <w:t xml:space="preserve">allowing developers to re-sell </w:t>
      </w:r>
      <w:r w:rsidR="009D5C16" w:rsidRPr="00130A46">
        <w:rPr>
          <w:rFonts w:eastAsiaTheme="minorHAnsi"/>
          <w:lang w:eastAsia="en-US"/>
        </w:rPr>
        <w:t>to foreign pers</w:t>
      </w:r>
      <w:r w:rsidR="009D5C16">
        <w:rPr>
          <w:rFonts w:eastAsiaTheme="minorHAnsi"/>
          <w:lang w:eastAsia="en-US"/>
        </w:rPr>
        <w:t>ons</w:t>
      </w:r>
      <w:r w:rsidR="009D5C16" w:rsidRPr="00130A46">
        <w:rPr>
          <w:rFonts w:eastAsiaTheme="minorHAnsi"/>
          <w:lang w:eastAsia="en-US"/>
        </w:rPr>
        <w:t xml:space="preserve"> </w:t>
      </w:r>
      <w:r w:rsidRPr="00130A46">
        <w:rPr>
          <w:rFonts w:eastAsiaTheme="minorHAnsi"/>
          <w:lang w:eastAsia="en-US"/>
        </w:rPr>
        <w:t>‘as new’ off-the-plan dwellings that failed to settle, and therefore may be considered ‘established’</w:t>
      </w:r>
      <w:r>
        <w:rPr>
          <w:rFonts w:eastAsiaTheme="minorHAnsi"/>
          <w:lang w:eastAsia="en-US"/>
        </w:rPr>
        <w:t>;</w:t>
      </w:r>
    </w:p>
    <w:p w14:paraId="36688971" w14:textId="184DE6BC" w:rsidR="00631DD9" w:rsidRPr="00E42EBB" w:rsidRDefault="00631DD9" w:rsidP="00631DD9">
      <w:pPr>
        <w:pStyle w:val="Bullet"/>
        <w:spacing w:after="220"/>
        <w:rPr>
          <w:rFonts w:eastAsiaTheme="minorHAnsi"/>
          <w:lang w:eastAsia="en-US"/>
        </w:rPr>
      </w:pPr>
      <w:r w:rsidRPr="00130A46">
        <w:rPr>
          <w:rFonts w:ascii="Calibri" w:eastAsiaTheme="minorHAnsi" w:hAnsi="Calibri" w:cs="Calibri"/>
          <w:lang w:eastAsia="en-US"/>
        </w:rPr>
        <w:t>introducing an exemption certificate so that only one approval is required for individuals considering a number of residential properties with the inte</w:t>
      </w:r>
      <w:r>
        <w:rPr>
          <w:rFonts w:ascii="Calibri" w:eastAsiaTheme="minorHAnsi" w:hAnsi="Calibri" w:cs="Calibri"/>
          <w:lang w:eastAsia="en-US"/>
        </w:rPr>
        <w:t xml:space="preserve">ntion to purchase </w:t>
      </w:r>
      <w:r w:rsidR="00204B71">
        <w:rPr>
          <w:rFonts w:ascii="Calibri" w:eastAsiaTheme="minorHAnsi" w:hAnsi="Calibri" w:cs="Calibri"/>
          <w:lang w:eastAsia="en-US"/>
        </w:rPr>
        <w:t xml:space="preserve">only </w:t>
      </w:r>
      <w:r>
        <w:rPr>
          <w:rFonts w:ascii="Calibri" w:eastAsiaTheme="minorHAnsi" w:hAnsi="Calibri" w:cs="Calibri"/>
          <w:lang w:eastAsia="en-US"/>
        </w:rPr>
        <w:t>one;</w:t>
      </w:r>
    </w:p>
    <w:p w14:paraId="636D88DE" w14:textId="6A740087" w:rsidR="00631DD9" w:rsidRPr="00130A46" w:rsidRDefault="00631DD9" w:rsidP="00631DD9">
      <w:pPr>
        <w:pStyle w:val="Bullet"/>
        <w:rPr>
          <w:rFonts w:eastAsiaTheme="minorHAnsi"/>
          <w:lang w:eastAsia="en-US"/>
        </w:rPr>
      </w:pPr>
      <w:r>
        <w:rPr>
          <w:rFonts w:eastAsiaTheme="minorHAnsi"/>
          <w:lang w:eastAsia="en-US"/>
        </w:rPr>
        <w:t>c</w:t>
      </w:r>
      <w:r w:rsidR="009D5C16">
        <w:rPr>
          <w:rFonts w:eastAsiaTheme="minorHAnsi"/>
          <w:lang w:eastAsia="en-US"/>
        </w:rPr>
        <w:t xml:space="preserve">hanging </w:t>
      </w:r>
      <w:r w:rsidRPr="00130A46">
        <w:rPr>
          <w:rFonts w:eastAsiaTheme="minorHAnsi"/>
          <w:lang w:eastAsia="en-US"/>
        </w:rPr>
        <w:t xml:space="preserve">fees </w:t>
      </w:r>
      <w:r w:rsidR="009D5C16">
        <w:rPr>
          <w:rFonts w:eastAsiaTheme="minorHAnsi"/>
          <w:lang w:eastAsia="en-US"/>
        </w:rPr>
        <w:t xml:space="preserve">to </w:t>
      </w:r>
      <w:r w:rsidRPr="00130A46">
        <w:rPr>
          <w:rFonts w:eastAsiaTheme="minorHAnsi"/>
          <w:lang w:eastAsia="en-US"/>
        </w:rPr>
        <w:t>improve transparency and consistency, reduce complexity and achieve more equitable fee outcomes across differ</w:t>
      </w:r>
      <w:r>
        <w:rPr>
          <w:rFonts w:eastAsiaTheme="minorHAnsi"/>
          <w:lang w:eastAsia="en-US"/>
        </w:rPr>
        <w:t>ent categories of transactions; and</w:t>
      </w:r>
    </w:p>
    <w:p w14:paraId="7C289E29" w14:textId="77777777" w:rsidR="00631DD9" w:rsidRDefault="00631DD9" w:rsidP="00631DD9">
      <w:pPr>
        <w:pStyle w:val="Bullet"/>
        <w:spacing w:after="220"/>
        <w:rPr>
          <w:rFonts w:eastAsiaTheme="minorHAnsi"/>
          <w:lang w:eastAsia="en-US"/>
        </w:rPr>
      </w:pPr>
      <w:r w:rsidRPr="00130A46">
        <w:rPr>
          <w:rFonts w:ascii="Calibri" w:eastAsiaTheme="minorHAnsi" w:hAnsi="Calibri" w:cs="Calibri"/>
          <w:lang w:eastAsia="en-US"/>
        </w:rPr>
        <w:t>introducing a new business exemption certificate for interests in assets and securities to enable broad pre-app</w:t>
      </w:r>
      <w:r>
        <w:rPr>
          <w:rFonts w:ascii="Calibri" w:eastAsiaTheme="minorHAnsi" w:hAnsi="Calibri" w:cs="Calibri"/>
          <w:lang w:eastAsia="en-US"/>
        </w:rPr>
        <w:t>roval for routine transactions.</w:t>
      </w:r>
    </w:p>
    <w:p w14:paraId="7FE2393C" w14:textId="2460CA07" w:rsidR="005373DC" w:rsidRDefault="00631DD9" w:rsidP="0015450A">
      <w:pPr>
        <w:pStyle w:val="Bullet"/>
        <w:numPr>
          <w:ilvl w:val="0"/>
          <w:numId w:val="0"/>
        </w:numPr>
        <w:spacing w:after="220"/>
        <w:rPr>
          <w:rFonts w:eastAsiaTheme="minorHAnsi"/>
          <w:lang w:eastAsia="en-US"/>
        </w:rPr>
      </w:pPr>
      <w:r>
        <w:rPr>
          <w:rFonts w:eastAsiaTheme="minorHAnsi"/>
          <w:lang w:eastAsia="en-US"/>
        </w:rPr>
        <w:t>Treasury worked closely with consult agencies, applicant</w:t>
      </w:r>
      <w:r w:rsidR="00897F86">
        <w:rPr>
          <w:rFonts w:eastAsiaTheme="minorHAnsi"/>
          <w:lang w:eastAsia="en-US"/>
        </w:rPr>
        <w:t>s</w:t>
      </w:r>
      <w:r>
        <w:rPr>
          <w:rFonts w:eastAsiaTheme="minorHAnsi"/>
          <w:lang w:eastAsia="en-US"/>
        </w:rPr>
        <w:t xml:space="preserve"> and their </w:t>
      </w:r>
      <w:r w:rsidR="00BE091A">
        <w:rPr>
          <w:rFonts w:eastAsiaTheme="minorHAnsi"/>
          <w:lang w:eastAsia="en-US"/>
        </w:rPr>
        <w:t xml:space="preserve">advisers </w:t>
      </w:r>
      <w:r>
        <w:rPr>
          <w:rFonts w:eastAsiaTheme="minorHAnsi"/>
          <w:lang w:eastAsia="en-US"/>
        </w:rPr>
        <w:t>over the past 12</w:t>
      </w:r>
      <w:r w:rsidR="00897F86">
        <w:rPr>
          <w:rFonts w:eastAsiaTheme="minorHAnsi"/>
          <w:lang w:eastAsia="en-US"/>
        </w:rPr>
        <w:t> </w:t>
      </w:r>
      <w:r>
        <w:rPr>
          <w:rFonts w:eastAsiaTheme="minorHAnsi"/>
          <w:lang w:eastAsia="en-US"/>
        </w:rPr>
        <w:t xml:space="preserve">months to implement these changes, particularly processes to support business </w:t>
      </w:r>
      <w:r w:rsidR="00897F86">
        <w:rPr>
          <w:rFonts w:eastAsiaTheme="minorHAnsi"/>
          <w:lang w:eastAsia="en-US"/>
        </w:rPr>
        <w:t>exemption certificates</w:t>
      </w:r>
      <w:r>
        <w:rPr>
          <w:rFonts w:eastAsiaTheme="minorHAnsi"/>
          <w:lang w:eastAsia="en-US"/>
        </w:rPr>
        <w:t>.</w:t>
      </w:r>
      <w:r w:rsidR="005373DC">
        <w:rPr>
          <w:rFonts w:eastAsiaTheme="minorHAnsi"/>
          <w:lang w:eastAsia="en-US"/>
        </w:rPr>
        <w:br w:type="page"/>
      </w:r>
    </w:p>
    <w:tbl>
      <w:tblPr>
        <w:tblW w:w="0" w:type="auto"/>
        <w:tblLook w:val="04A0" w:firstRow="1" w:lastRow="0" w:firstColumn="1" w:lastColumn="0" w:noHBand="0" w:noVBand="1"/>
      </w:tblPr>
      <w:tblGrid>
        <w:gridCol w:w="7927"/>
      </w:tblGrid>
      <w:tr w:rsidR="006735C2" w:rsidRPr="006735C2" w14:paraId="1E6832AF" w14:textId="77777777" w:rsidTr="006735C2">
        <w:tc>
          <w:tcPr>
            <w:tcW w:w="7927" w:type="dxa"/>
          </w:tcPr>
          <w:bookmarkStart w:id="343" w:name="_Toc532217694"/>
          <w:bookmarkStart w:id="344" w:name="_Toc532218715"/>
          <w:bookmarkStart w:id="345" w:name="_Toc532219027"/>
          <w:bookmarkStart w:id="346" w:name="_Toc532223688"/>
          <w:bookmarkStart w:id="347" w:name="_Toc532224147"/>
          <w:bookmarkStart w:id="348" w:name="_Toc532226625"/>
          <w:bookmarkStart w:id="349" w:name="_Toc1054869"/>
          <w:p w14:paraId="6CF49B9E" w14:textId="440EB70C" w:rsidR="006735C2" w:rsidRPr="006735C2" w:rsidRDefault="006735C2" w:rsidP="00503AF6">
            <w:pPr>
              <w:pStyle w:val="CaseStudyHeading"/>
            </w:pPr>
            <w:r w:rsidRPr="00FC1819">
              <w:rPr>
                <w:noProof/>
              </w:rPr>
              <mc:AlternateContent>
                <mc:Choice Requires="wps">
                  <w:drawing>
                    <wp:anchor distT="0" distB="0" distL="114300" distR="114300" simplePos="0" relativeHeight="251658248" behindDoc="1" locked="0" layoutInCell="1" allowOverlap="1" wp14:anchorId="27ED0932" wp14:editId="2C6B9410">
                      <wp:simplePos x="0" y="0"/>
                      <wp:positionH relativeFrom="column">
                        <wp:posOffset>-67973</wp:posOffset>
                      </wp:positionH>
                      <wp:positionV relativeFrom="paragraph">
                        <wp:posOffset>497</wp:posOffset>
                      </wp:positionV>
                      <wp:extent cx="5018405" cy="3268638"/>
                      <wp:effectExtent l="0" t="0" r="0" b="8255"/>
                      <wp:wrapNone/>
                      <wp:docPr id="297" name="Rounded Rectangle 292"/>
                      <wp:cNvGraphicFramePr/>
                      <a:graphic xmlns:a="http://schemas.openxmlformats.org/drawingml/2006/main">
                        <a:graphicData uri="http://schemas.microsoft.com/office/word/2010/wordprocessingShape">
                          <wps:wsp>
                            <wps:cNvSpPr/>
                            <wps:spPr>
                              <a:xfrm>
                                <a:off x="0" y="0"/>
                                <a:ext cx="5018405" cy="3268638"/>
                              </a:xfrm>
                              <a:custGeom>
                                <a:avLst/>
                                <a:gdLst>
                                  <a:gd name="connsiteX0" fmla="*/ 0 w 1345565"/>
                                  <a:gd name="connsiteY0" fmla="*/ 250141 h 1492250"/>
                                  <a:gd name="connsiteX1" fmla="*/ 250141 w 1345565"/>
                                  <a:gd name="connsiteY1" fmla="*/ 0 h 1492250"/>
                                  <a:gd name="connsiteX2" fmla="*/ 1095424 w 1345565"/>
                                  <a:gd name="connsiteY2" fmla="*/ 0 h 1492250"/>
                                  <a:gd name="connsiteX3" fmla="*/ 1345565 w 1345565"/>
                                  <a:gd name="connsiteY3" fmla="*/ 250141 h 1492250"/>
                                  <a:gd name="connsiteX4" fmla="*/ 1345565 w 1345565"/>
                                  <a:gd name="connsiteY4" fmla="*/ 1242109 h 1492250"/>
                                  <a:gd name="connsiteX5" fmla="*/ 1095424 w 1345565"/>
                                  <a:gd name="connsiteY5" fmla="*/ 1492250 h 1492250"/>
                                  <a:gd name="connsiteX6" fmla="*/ 250141 w 1345565"/>
                                  <a:gd name="connsiteY6" fmla="*/ 1492250 h 1492250"/>
                                  <a:gd name="connsiteX7" fmla="*/ 0 w 1345565"/>
                                  <a:gd name="connsiteY7" fmla="*/ 1242109 h 1492250"/>
                                  <a:gd name="connsiteX8" fmla="*/ 0 w 1345565"/>
                                  <a:gd name="connsiteY8" fmla="*/ 250141 h 1492250"/>
                                  <a:gd name="connsiteX0" fmla="*/ 0 w 1345565"/>
                                  <a:gd name="connsiteY0" fmla="*/ 250141 h 1553649"/>
                                  <a:gd name="connsiteX1" fmla="*/ 250141 w 1345565"/>
                                  <a:gd name="connsiteY1" fmla="*/ 0 h 1553649"/>
                                  <a:gd name="connsiteX2" fmla="*/ 1095424 w 1345565"/>
                                  <a:gd name="connsiteY2" fmla="*/ 0 h 1553649"/>
                                  <a:gd name="connsiteX3" fmla="*/ 1345565 w 1345565"/>
                                  <a:gd name="connsiteY3" fmla="*/ 250141 h 1553649"/>
                                  <a:gd name="connsiteX4" fmla="*/ 1345565 w 1345565"/>
                                  <a:gd name="connsiteY4" fmla="*/ 1242109 h 1553649"/>
                                  <a:gd name="connsiteX5" fmla="*/ 1095424 w 1345565"/>
                                  <a:gd name="connsiteY5" fmla="*/ 1492250 h 1553649"/>
                                  <a:gd name="connsiteX6" fmla="*/ 250141 w 1345565"/>
                                  <a:gd name="connsiteY6" fmla="*/ 1492250 h 1553649"/>
                                  <a:gd name="connsiteX7" fmla="*/ 0 w 1345565"/>
                                  <a:gd name="connsiteY7" fmla="*/ 1492250 h 1553649"/>
                                  <a:gd name="connsiteX8" fmla="*/ 0 w 1345565"/>
                                  <a:gd name="connsiteY8" fmla="*/ 250141 h 1553649"/>
                                  <a:gd name="connsiteX0" fmla="*/ 61399 w 1406964"/>
                                  <a:gd name="connsiteY0" fmla="*/ 250141 h 1553759"/>
                                  <a:gd name="connsiteX1" fmla="*/ 311540 w 1406964"/>
                                  <a:gd name="connsiteY1" fmla="*/ 0 h 1553759"/>
                                  <a:gd name="connsiteX2" fmla="*/ 1156823 w 1406964"/>
                                  <a:gd name="connsiteY2" fmla="*/ 0 h 1553759"/>
                                  <a:gd name="connsiteX3" fmla="*/ 1406964 w 1406964"/>
                                  <a:gd name="connsiteY3" fmla="*/ 250141 h 1553759"/>
                                  <a:gd name="connsiteX4" fmla="*/ 1406964 w 1406964"/>
                                  <a:gd name="connsiteY4" fmla="*/ 1242109 h 1553759"/>
                                  <a:gd name="connsiteX5" fmla="*/ 1156823 w 1406964"/>
                                  <a:gd name="connsiteY5" fmla="*/ 1492250 h 1553759"/>
                                  <a:gd name="connsiteX6" fmla="*/ 61399 w 1406964"/>
                                  <a:gd name="connsiteY6" fmla="*/ 1492672 h 1553759"/>
                                  <a:gd name="connsiteX7" fmla="*/ 61399 w 1406964"/>
                                  <a:gd name="connsiteY7" fmla="*/ 1492250 h 1553759"/>
                                  <a:gd name="connsiteX8" fmla="*/ 61399 w 1406964"/>
                                  <a:gd name="connsiteY8" fmla="*/ 250141 h 1553759"/>
                                  <a:gd name="connsiteX0" fmla="*/ 498 w 1346063"/>
                                  <a:gd name="connsiteY0" fmla="*/ 250141 h 1553216"/>
                                  <a:gd name="connsiteX1" fmla="*/ 250639 w 1346063"/>
                                  <a:gd name="connsiteY1" fmla="*/ 0 h 1553216"/>
                                  <a:gd name="connsiteX2" fmla="*/ 1095922 w 1346063"/>
                                  <a:gd name="connsiteY2" fmla="*/ 0 h 1553216"/>
                                  <a:gd name="connsiteX3" fmla="*/ 1346063 w 1346063"/>
                                  <a:gd name="connsiteY3" fmla="*/ 250141 h 1553216"/>
                                  <a:gd name="connsiteX4" fmla="*/ 1346063 w 1346063"/>
                                  <a:gd name="connsiteY4" fmla="*/ 1242109 h 1553216"/>
                                  <a:gd name="connsiteX5" fmla="*/ 1095922 w 1346063"/>
                                  <a:gd name="connsiteY5" fmla="*/ 1492250 h 1553216"/>
                                  <a:gd name="connsiteX6" fmla="*/ 498 w 1346063"/>
                                  <a:gd name="connsiteY6" fmla="*/ 1492672 h 1553216"/>
                                  <a:gd name="connsiteX7" fmla="*/ 498 w 1346063"/>
                                  <a:gd name="connsiteY7" fmla="*/ 1492250 h 1553216"/>
                                  <a:gd name="connsiteX8" fmla="*/ 498 w 1346063"/>
                                  <a:gd name="connsiteY8" fmla="*/ 250141 h 1553216"/>
                                  <a:gd name="connsiteX0" fmla="*/ 200 w 1345765"/>
                                  <a:gd name="connsiteY0" fmla="*/ 250141 h 1492672"/>
                                  <a:gd name="connsiteX1" fmla="*/ 250341 w 1345765"/>
                                  <a:gd name="connsiteY1" fmla="*/ 0 h 1492672"/>
                                  <a:gd name="connsiteX2" fmla="*/ 1095624 w 1345765"/>
                                  <a:gd name="connsiteY2" fmla="*/ 0 h 1492672"/>
                                  <a:gd name="connsiteX3" fmla="*/ 1345765 w 1345765"/>
                                  <a:gd name="connsiteY3" fmla="*/ 250141 h 1492672"/>
                                  <a:gd name="connsiteX4" fmla="*/ 1345765 w 1345765"/>
                                  <a:gd name="connsiteY4" fmla="*/ 1242109 h 1492672"/>
                                  <a:gd name="connsiteX5" fmla="*/ 1095624 w 1345765"/>
                                  <a:gd name="connsiteY5" fmla="*/ 1492250 h 1492672"/>
                                  <a:gd name="connsiteX6" fmla="*/ 200 w 1345765"/>
                                  <a:gd name="connsiteY6" fmla="*/ 1492672 h 1492672"/>
                                  <a:gd name="connsiteX7" fmla="*/ 200 w 1345765"/>
                                  <a:gd name="connsiteY7" fmla="*/ 1492250 h 1492672"/>
                                  <a:gd name="connsiteX8" fmla="*/ 200 w 1345765"/>
                                  <a:gd name="connsiteY8" fmla="*/ 250141 h 1492672"/>
                                  <a:gd name="connsiteX0" fmla="*/ 200 w 1407164"/>
                                  <a:gd name="connsiteY0" fmla="*/ 250141 h 1492672"/>
                                  <a:gd name="connsiteX1" fmla="*/ 250341 w 1407164"/>
                                  <a:gd name="connsiteY1" fmla="*/ 0 h 1492672"/>
                                  <a:gd name="connsiteX2" fmla="*/ 1095624 w 1407164"/>
                                  <a:gd name="connsiteY2" fmla="*/ 0 h 1492672"/>
                                  <a:gd name="connsiteX3" fmla="*/ 1345765 w 1407164"/>
                                  <a:gd name="connsiteY3" fmla="*/ 250141 h 1492672"/>
                                  <a:gd name="connsiteX4" fmla="*/ 1345765 w 1407164"/>
                                  <a:gd name="connsiteY4" fmla="*/ 1242109 h 1492672"/>
                                  <a:gd name="connsiteX5" fmla="*/ 1345765 w 1407164"/>
                                  <a:gd name="connsiteY5" fmla="*/ 1492672 h 1492672"/>
                                  <a:gd name="connsiteX6" fmla="*/ 200 w 1407164"/>
                                  <a:gd name="connsiteY6" fmla="*/ 1492672 h 1492672"/>
                                  <a:gd name="connsiteX7" fmla="*/ 200 w 1407164"/>
                                  <a:gd name="connsiteY7" fmla="*/ 1492250 h 1492672"/>
                                  <a:gd name="connsiteX8" fmla="*/ 200 w 1407164"/>
                                  <a:gd name="connsiteY8" fmla="*/ 250141 h 1492672"/>
                                  <a:gd name="connsiteX0" fmla="*/ 200 w 1407947"/>
                                  <a:gd name="connsiteY0" fmla="*/ 250141 h 1554071"/>
                                  <a:gd name="connsiteX1" fmla="*/ 250341 w 1407947"/>
                                  <a:gd name="connsiteY1" fmla="*/ 0 h 1554071"/>
                                  <a:gd name="connsiteX2" fmla="*/ 1095624 w 1407947"/>
                                  <a:gd name="connsiteY2" fmla="*/ 0 h 1554071"/>
                                  <a:gd name="connsiteX3" fmla="*/ 1345765 w 1407947"/>
                                  <a:gd name="connsiteY3" fmla="*/ 250141 h 1554071"/>
                                  <a:gd name="connsiteX4" fmla="*/ 1348747 w 1407947"/>
                                  <a:gd name="connsiteY4" fmla="*/ 1492672 h 1554071"/>
                                  <a:gd name="connsiteX5" fmla="*/ 1345765 w 1407947"/>
                                  <a:gd name="connsiteY5" fmla="*/ 1492672 h 1554071"/>
                                  <a:gd name="connsiteX6" fmla="*/ 200 w 1407947"/>
                                  <a:gd name="connsiteY6" fmla="*/ 1492672 h 1554071"/>
                                  <a:gd name="connsiteX7" fmla="*/ 200 w 1407947"/>
                                  <a:gd name="connsiteY7" fmla="*/ 1492250 h 1554071"/>
                                  <a:gd name="connsiteX8" fmla="*/ 200 w 1407947"/>
                                  <a:gd name="connsiteY8" fmla="*/ 250141 h 1554071"/>
                                  <a:gd name="connsiteX0" fmla="*/ 200 w 1406648"/>
                                  <a:gd name="connsiteY0" fmla="*/ 250141 h 1493274"/>
                                  <a:gd name="connsiteX1" fmla="*/ 250341 w 1406648"/>
                                  <a:gd name="connsiteY1" fmla="*/ 0 h 1493274"/>
                                  <a:gd name="connsiteX2" fmla="*/ 1095624 w 1406648"/>
                                  <a:gd name="connsiteY2" fmla="*/ 0 h 1493274"/>
                                  <a:gd name="connsiteX3" fmla="*/ 1345765 w 1406648"/>
                                  <a:gd name="connsiteY3" fmla="*/ 250141 h 1493274"/>
                                  <a:gd name="connsiteX4" fmla="*/ 1348747 w 1406648"/>
                                  <a:gd name="connsiteY4" fmla="*/ 1492672 h 1493274"/>
                                  <a:gd name="connsiteX5" fmla="*/ 1345765 w 1406648"/>
                                  <a:gd name="connsiteY5" fmla="*/ 1492672 h 1493274"/>
                                  <a:gd name="connsiteX6" fmla="*/ 200 w 1406648"/>
                                  <a:gd name="connsiteY6" fmla="*/ 1492672 h 1493274"/>
                                  <a:gd name="connsiteX7" fmla="*/ 200 w 1406648"/>
                                  <a:gd name="connsiteY7" fmla="*/ 1492250 h 1493274"/>
                                  <a:gd name="connsiteX8" fmla="*/ 200 w 1406648"/>
                                  <a:gd name="connsiteY8" fmla="*/ 250141 h 1493274"/>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0 w 1348747"/>
                                  <a:gd name="connsiteY0" fmla="*/ 165456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65456 h 1493370"/>
                                  <a:gd name="connsiteX0" fmla="*/ 0 w 1348747"/>
                                  <a:gd name="connsiteY0" fmla="*/ 191920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02113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02113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02113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196233 w 1348747"/>
                                  <a:gd name="connsiteY2" fmla="*/ 0 h 1493370"/>
                                  <a:gd name="connsiteX3" fmla="*/ 1348747 w 1348747"/>
                                  <a:gd name="connsiteY3" fmla="*/ 102113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196233 w 1348747"/>
                                  <a:gd name="connsiteY2" fmla="*/ 0 h 1493370"/>
                                  <a:gd name="connsiteX3" fmla="*/ 1348747 w 1348747"/>
                                  <a:gd name="connsiteY3" fmla="*/ 102113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196233 w 1348747"/>
                                  <a:gd name="connsiteY2" fmla="*/ 0 h 1493370"/>
                                  <a:gd name="connsiteX3" fmla="*/ 1348747 w 1348747"/>
                                  <a:gd name="connsiteY3" fmla="*/ 104209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196233 w 1348747"/>
                                  <a:gd name="connsiteY2" fmla="*/ 0 h 1493370"/>
                                  <a:gd name="connsiteX3" fmla="*/ 1348747 w 1348747"/>
                                  <a:gd name="connsiteY3" fmla="*/ 104209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196233 w 1348747"/>
                                  <a:gd name="connsiteY2" fmla="*/ 0 h 1493370"/>
                                  <a:gd name="connsiteX3" fmla="*/ 1348747 w 1348747"/>
                                  <a:gd name="connsiteY3" fmla="*/ 104209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139604 h 1493371"/>
                                  <a:gd name="connsiteX1" fmla="*/ 156313 w 1348747"/>
                                  <a:gd name="connsiteY1" fmla="*/ 1 h 1493371"/>
                                  <a:gd name="connsiteX2" fmla="*/ 1196233 w 1348747"/>
                                  <a:gd name="connsiteY2" fmla="*/ 1 h 1493371"/>
                                  <a:gd name="connsiteX3" fmla="*/ 1348747 w 1348747"/>
                                  <a:gd name="connsiteY3" fmla="*/ 104210 h 1493371"/>
                                  <a:gd name="connsiteX4" fmla="*/ 1348747 w 1348747"/>
                                  <a:gd name="connsiteY4" fmla="*/ 1492673 h 1493371"/>
                                  <a:gd name="connsiteX5" fmla="*/ 1345765 w 1348747"/>
                                  <a:gd name="connsiteY5" fmla="*/ 1492673 h 1493371"/>
                                  <a:gd name="connsiteX6" fmla="*/ 200 w 1348747"/>
                                  <a:gd name="connsiteY6" fmla="*/ 1492673 h 1493371"/>
                                  <a:gd name="connsiteX7" fmla="*/ 200 w 1348747"/>
                                  <a:gd name="connsiteY7" fmla="*/ 1492251 h 1493371"/>
                                  <a:gd name="connsiteX8" fmla="*/ 0 w 1348747"/>
                                  <a:gd name="connsiteY8" fmla="*/ 139604 h 1493371"/>
                                  <a:gd name="connsiteX0" fmla="*/ 0 w 1348747"/>
                                  <a:gd name="connsiteY0" fmla="*/ 139603 h 1493370"/>
                                  <a:gd name="connsiteX1" fmla="*/ 156313 w 1348747"/>
                                  <a:gd name="connsiteY1" fmla="*/ 0 h 1493370"/>
                                  <a:gd name="connsiteX2" fmla="*/ 1196233 w 1348747"/>
                                  <a:gd name="connsiteY2" fmla="*/ 0 h 1493370"/>
                                  <a:gd name="connsiteX3" fmla="*/ 1348747 w 1348747"/>
                                  <a:gd name="connsiteY3" fmla="*/ 104209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39603 h 1493370"/>
                                  <a:gd name="connsiteX0" fmla="*/ 0 w 1348747"/>
                                  <a:gd name="connsiteY0" fmla="*/ 118532 h 1494261"/>
                                  <a:gd name="connsiteX1" fmla="*/ 156313 w 1348747"/>
                                  <a:gd name="connsiteY1" fmla="*/ 891 h 1494261"/>
                                  <a:gd name="connsiteX2" fmla="*/ 1196233 w 1348747"/>
                                  <a:gd name="connsiteY2" fmla="*/ 891 h 1494261"/>
                                  <a:gd name="connsiteX3" fmla="*/ 1348747 w 1348747"/>
                                  <a:gd name="connsiteY3" fmla="*/ 105100 h 1494261"/>
                                  <a:gd name="connsiteX4" fmla="*/ 1348747 w 1348747"/>
                                  <a:gd name="connsiteY4" fmla="*/ 1493563 h 1494261"/>
                                  <a:gd name="connsiteX5" fmla="*/ 1345765 w 1348747"/>
                                  <a:gd name="connsiteY5" fmla="*/ 1493563 h 1494261"/>
                                  <a:gd name="connsiteX6" fmla="*/ 200 w 1348747"/>
                                  <a:gd name="connsiteY6" fmla="*/ 1493563 h 1494261"/>
                                  <a:gd name="connsiteX7" fmla="*/ 200 w 1348747"/>
                                  <a:gd name="connsiteY7" fmla="*/ 1493141 h 1494261"/>
                                  <a:gd name="connsiteX8" fmla="*/ 0 w 1348747"/>
                                  <a:gd name="connsiteY8" fmla="*/ 118532 h 1494261"/>
                                  <a:gd name="connsiteX0" fmla="*/ 0 w 1348747"/>
                                  <a:gd name="connsiteY0" fmla="*/ 117641 h 1493370"/>
                                  <a:gd name="connsiteX1" fmla="*/ 156313 w 1348747"/>
                                  <a:gd name="connsiteY1" fmla="*/ 0 h 1493370"/>
                                  <a:gd name="connsiteX2" fmla="*/ 1196233 w 1348747"/>
                                  <a:gd name="connsiteY2" fmla="*/ 0 h 1493370"/>
                                  <a:gd name="connsiteX3" fmla="*/ 1348747 w 1348747"/>
                                  <a:gd name="connsiteY3" fmla="*/ 104209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17641 h 1493370"/>
                                  <a:gd name="connsiteX0" fmla="*/ 0 w 1348747"/>
                                  <a:gd name="connsiteY0" fmla="*/ 117641 h 1493370"/>
                                  <a:gd name="connsiteX1" fmla="*/ 156313 w 1348747"/>
                                  <a:gd name="connsiteY1" fmla="*/ 0 h 1493370"/>
                                  <a:gd name="connsiteX2" fmla="*/ 1196233 w 1348747"/>
                                  <a:gd name="connsiteY2" fmla="*/ 0 h 1493370"/>
                                  <a:gd name="connsiteX3" fmla="*/ 1348747 w 1348747"/>
                                  <a:gd name="connsiteY3" fmla="*/ 165899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17641 h 1493370"/>
                                  <a:gd name="connsiteX0" fmla="*/ 0 w 1348747"/>
                                  <a:gd name="connsiteY0" fmla="*/ 117641 h 1493370"/>
                                  <a:gd name="connsiteX1" fmla="*/ 156313 w 1348747"/>
                                  <a:gd name="connsiteY1" fmla="*/ 0 h 1493370"/>
                                  <a:gd name="connsiteX2" fmla="*/ 1196233 w 1348747"/>
                                  <a:gd name="connsiteY2" fmla="*/ 0 h 1493370"/>
                                  <a:gd name="connsiteX3" fmla="*/ 1348747 w 1348747"/>
                                  <a:gd name="connsiteY3" fmla="*/ 165899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17641 h 1493370"/>
                                  <a:gd name="connsiteX0" fmla="*/ 0 w 1348747"/>
                                  <a:gd name="connsiteY0" fmla="*/ 117641 h 1493370"/>
                                  <a:gd name="connsiteX1" fmla="*/ 156313 w 1348747"/>
                                  <a:gd name="connsiteY1" fmla="*/ 0 h 1493370"/>
                                  <a:gd name="connsiteX2" fmla="*/ 1196233 w 1348747"/>
                                  <a:gd name="connsiteY2" fmla="*/ 0 h 1493370"/>
                                  <a:gd name="connsiteX3" fmla="*/ 1348747 w 1348747"/>
                                  <a:gd name="connsiteY3" fmla="*/ 165899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17641 h 1493370"/>
                                  <a:gd name="connsiteX0" fmla="*/ 0 w 1348747"/>
                                  <a:gd name="connsiteY0" fmla="*/ 117641 h 1493370"/>
                                  <a:gd name="connsiteX1" fmla="*/ 156313 w 1348747"/>
                                  <a:gd name="connsiteY1" fmla="*/ 0 h 1493370"/>
                                  <a:gd name="connsiteX2" fmla="*/ 1196233 w 1348747"/>
                                  <a:gd name="connsiteY2" fmla="*/ 0 h 1493370"/>
                                  <a:gd name="connsiteX3" fmla="*/ 1348747 w 1348747"/>
                                  <a:gd name="connsiteY3" fmla="*/ 165899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17641 h 1493370"/>
                                  <a:gd name="connsiteX0" fmla="*/ 0 w 1348747"/>
                                  <a:gd name="connsiteY0" fmla="*/ 117641 h 1493370"/>
                                  <a:gd name="connsiteX1" fmla="*/ 156313 w 1348747"/>
                                  <a:gd name="connsiteY1" fmla="*/ 0 h 1493370"/>
                                  <a:gd name="connsiteX2" fmla="*/ 1196233 w 1348747"/>
                                  <a:gd name="connsiteY2" fmla="*/ 0 h 1493370"/>
                                  <a:gd name="connsiteX3" fmla="*/ 1348747 w 1348747"/>
                                  <a:gd name="connsiteY3" fmla="*/ 163105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17641 h 1493370"/>
                                  <a:gd name="connsiteX0" fmla="*/ 0 w 1348747"/>
                                  <a:gd name="connsiteY0" fmla="*/ 117641 h 1493370"/>
                                  <a:gd name="connsiteX1" fmla="*/ 156313 w 1348747"/>
                                  <a:gd name="connsiteY1" fmla="*/ 0 h 1493370"/>
                                  <a:gd name="connsiteX2" fmla="*/ 1196233 w 1348747"/>
                                  <a:gd name="connsiteY2" fmla="*/ 0 h 1493370"/>
                                  <a:gd name="connsiteX3" fmla="*/ 1348747 w 1348747"/>
                                  <a:gd name="connsiteY3" fmla="*/ 163105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17641 h 1493370"/>
                                  <a:gd name="connsiteX0" fmla="*/ 0 w 1348747"/>
                                  <a:gd name="connsiteY0" fmla="*/ 117641 h 1493370"/>
                                  <a:gd name="connsiteX1" fmla="*/ 156313 w 1348747"/>
                                  <a:gd name="connsiteY1" fmla="*/ 0 h 1493370"/>
                                  <a:gd name="connsiteX2" fmla="*/ 1196233 w 1348747"/>
                                  <a:gd name="connsiteY2" fmla="*/ 0 h 1493370"/>
                                  <a:gd name="connsiteX3" fmla="*/ 1348747 w 1348747"/>
                                  <a:gd name="connsiteY3" fmla="*/ 163105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17641 h 1493370"/>
                                  <a:gd name="connsiteX0" fmla="*/ 0 w 1348747"/>
                                  <a:gd name="connsiteY0" fmla="*/ 117641 h 1493370"/>
                                  <a:gd name="connsiteX1" fmla="*/ 156313 w 1348747"/>
                                  <a:gd name="connsiteY1" fmla="*/ 0 h 1493370"/>
                                  <a:gd name="connsiteX2" fmla="*/ 1196233 w 1348747"/>
                                  <a:gd name="connsiteY2" fmla="*/ 0 h 1493370"/>
                                  <a:gd name="connsiteX3" fmla="*/ 1348747 w 1348747"/>
                                  <a:gd name="connsiteY3" fmla="*/ 141016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17641 h 1493370"/>
                                  <a:gd name="connsiteX0" fmla="*/ 0 w 1348747"/>
                                  <a:gd name="connsiteY0" fmla="*/ 117641 h 1493370"/>
                                  <a:gd name="connsiteX1" fmla="*/ 156313 w 1348747"/>
                                  <a:gd name="connsiteY1" fmla="*/ 0 h 1493370"/>
                                  <a:gd name="connsiteX2" fmla="*/ 1196233 w 1348747"/>
                                  <a:gd name="connsiteY2" fmla="*/ 0 h 1493370"/>
                                  <a:gd name="connsiteX3" fmla="*/ 1348747 w 1348747"/>
                                  <a:gd name="connsiteY3" fmla="*/ 163775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17641 h 1493370"/>
                                  <a:gd name="connsiteX0" fmla="*/ 0 w 1348747"/>
                                  <a:gd name="connsiteY0" fmla="*/ 171390 h 1493370"/>
                                  <a:gd name="connsiteX1" fmla="*/ 156313 w 1348747"/>
                                  <a:gd name="connsiteY1" fmla="*/ 0 h 1493370"/>
                                  <a:gd name="connsiteX2" fmla="*/ 1196233 w 1348747"/>
                                  <a:gd name="connsiteY2" fmla="*/ 0 h 1493370"/>
                                  <a:gd name="connsiteX3" fmla="*/ 1348747 w 1348747"/>
                                  <a:gd name="connsiteY3" fmla="*/ 163775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71390 h 1493370"/>
                                  <a:gd name="connsiteX0" fmla="*/ 0 w 1348747"/>
                                  <a:gd name="connsiteY0" fmla="*/ 171390 h 1493370"/>
                                  <a:gd name="connsiteX1" fmla="*/ 156313 w 1348747"/>
                                  <a:gd name="connsiteY1" fmla="*/ 0 h 1493370"/>
                                  <a:gd name="connsiteX2" fmla="*/ 1196233 w 1348747"/>
                                  <a:gd name="connsiteY2" fmla="*/ 0 h 1493370"/>
                                  <a:gd name="connsiteX3" fmla="*/ 1348747 w 1348747"/>
                                  <a:gd name="connsiteY3" fmla="*/ 18940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71390 h 1493370"/>
                                  <a:gd name="connsiteX0" fmla="*/ 0 w 1348747"/>
                                  <a:gd name="connsiteY0" fmla="*/ 171390 h 1493370"/>
                                  <a:gd name="connsiteX1" fmla="*/ 156313 w 1348747"/>
                                  <a:gd name="connsiteY1" fmla="*/ 0 h 1493370"/>
                                  <a:gd name="connsiteX2" fmla="*/ 1208295 w 1348747"/>
                                  <a:gd name="connsiteY2" fmla="*/ 0 h 1493370"/>
                                  <a:gd name="connsiteX3" fmla="*/ 1348747 w 1348747"/>
                                  <a:gd name="connsiteY3" fmla="*/ 18940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71390 h 1493370"/>
                                  <a:gd name="connsiteX0" fmla="*/ 0 w 1348747"/>
                                  <a:gd name="connsiteY0" fmla="*/ 171390 h 1493370"/>
                                  <a:gd name="connsiteX1" fmla="*/ 156313 w 1348747"/>
                                  <a:gd name="connsiteY1" fmla="*/ 0 h 1493370"/>
                                  <a:gd name="connsiteX2" fmla="*/ 1208295 w 1348747"/>
                                  <a:gd name="connsiteY2" fmla="*/ 0 h 1493370"/>
                                  <a:gd name="connsiteX3" fmla="*/ 1348747 w 1348747"/>
                                  <a:gd name="connsiteY3" fmla="*/ 18940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71390 h 1493370"/>
                                  <a:gd name="connsiteX0" fmla="*/ 0 w 1348747"/>
                                  <a:gd name="connsiteY0" fmla="*/ 171390 h 1493370"/>
                                  <a:gd name="connsiteX1" fmla="*/ 156313 w 1348747"/>
                                  <a:gd name="connsiteY1" fmla="*/ 0 h 1493370"/>
                                  <a:gd name="connsiteX2" fmla="*/ 1208295 w 1348747"/>
                                  <a:gd name="connsiteY2" fmla="*/ 0 h 1493370"/>
                                  <a:gd name="connsiteX3" fmla="*/ 1348747 w 1348747"/>
                                  <a:gd name="connsiteY3" fmla="*/ 18940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71390 h 1493370"/>
                                  <a:gd name="connsiteX0" fmla="*/ 0 w 1348747"/>
                                  <a:gd name="connsiteY0" fmla="*/ 218620 h 1493370"/>
                                  <a:gd name="connsiteX1" fmla="*/ 156313 w 1348747"/>
                                  <a:gd name="connsiteY1" fmla="*/ 0 h 1493370"/>
                                  <a:gd name="connsiteX2" fmla="*/ 1208295 w 1348747"/>
                                  <a:gd name="connsiteY2" fmla="*/ 0 h 1493370"/>
                                  <a:gd name="connsiteX3" fmla="*/ 1348747 w 1348747"/>
                                  <a:gd name="connsiteY3" fmla="*/ 18940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8620 h 14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8747" h="1493370">
                                    <a:moveTo>
                                      <a:pt x="0" y="218620"/>
                                    </a:moveTo>
                                    <a:cubicBezTo>
                                      <a:pt x="884" y="154785"/>
                                      <a:pt x="38375" y="1464"/>
                                      <a:pt x="156313" y="0"/>
                                    </a:cubicBezTo>
                                    <a:lnTo>
                                      <a:pt x="1208295" y="0"/>
                                    </a:lnTo>
                                    <a:cubicBezTo>
                                      <a:pt x="1346049" y="186700"/>
                                      <a:pt x="1207292" y="-2083"/>
                                      <a:pt x="1348747" y="189407"/>
                                    </a:cubicBezTo>
                                    <a:lnTo>
                                      <a:pt x="1348747" y="1492672"/>
                                    </a:lnTo>
                                    <a:cubicBezTo>
                                      <a:pt x="1342935" y="1494027"/>
                                      <a:pt x="1344042" y="1493061"/>
                                      <a:pt x="1345765" y="1492672"/>
                                    </a:cubicBezTo>
                                    <a:lnTo>
                                      <a:pt x="200" y="1492672"/>
                                    </a:lnTo>
                                    <a:cubicBezTo>
                                      <a:pt x="-919" y="1490220"/>
                                      <a:pt x="3179" y="1493394"/>
                                      <a:pt x="200" y="1492250"/>
                                    </a:cubicBezTo>
                                    <a:cubicBezTo>
                                      <a:pt x="133" y="1049985"/>
                                      <a:pt x="67" y="660885"/>
                                      <a:pt x="0" y="218620"/>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le 292" o:spid="_x0000_s1026" style="position:absolute;margin-left:-5.35pt;margin-top:.05pt;width:395.15pt;height:257.3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7,14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" path="m,218620c884,154785,38375,1464,156313,l1208295,v137754,186700,-1003,-2083,140452,189407l1348747,1492672v-5812,1355,-4705,389,-2982,l200,1492672v-1119,-2452,2979,722,,-422c133,1049985,67,660885,,218620xe" fillcolor="#a32035 [3204]" stroked="f" strokeweight="2pt">
                      <v:path arrowok="t" o:connecttype="custom" o:connectlocs="0,478508;581608,0;4495813,0;5018405,414568;5018405,3267110;5007310,3267110;744,3267110;744,3266187;0,478508" o:connectangles="0,0,0,0,0,0,0,0,0"/>
                    </v:shape>
                  </w:pict>
                </mc:Fallback>
              </mc:AlternateContent>
            </w:r>
            <w:bookmarkEnd w:id="343"/>
            <w:bookmarkEnd w:id="344"/>
            <w:bookmarkEnd w:id="345"/>
            <w:bookmarkEnd w:id="346"/>
            <w:bookmarkEnd w:id="347"/>
            <w:bookmarkEnd w:id="348"/>
            <w:r w:rsidRPr="006735C2">
              <w:t xml:space="preserve">Business </w:t>
            </w:r>
            <w:r w:rsidR="0093021F">
              <w:t>e</w:t>
            </w:r>
            <w:r w:rsidR="0093021F" w:rsidRPr="006735C2">
              <w:t xml:space="preserve">xemption </w:t>
            </w:r>
            <w:r w:rsidR="0093021F">
              <w:t>c</w:t>
            </w:r>
            <w:r w:rsidR="0093021F" w:rsidRPr="006735C2">
              <w:t>ertificates</w:t>
            </w:r>
            <w:bookmarkEnd w:id="349"/>
          </w:p>
          <w:p w14:paraId="7F02E359" w14:textId="5693AB4B" w:rsidR="006735C2" w:rsidRPr="006735C2" w:rsidRDefault="006735C2" w:rsidP="00CF25DF">
            <w:pPr>
              <w:pStyle w:val="CaseStudyText"/>
            </w:pPr>
            <w:r w:rsidRPr="006735C2">
              <w:t>Business exemption certificates were introduced on 1 July 2017, to provide a streamlined process for routine, low sensitivity transactions. They minimise the regulatory cost of the foreign investment framework on investments of relatively low value and sensitivity.</w:t>
            </w:r>
          </w:p>
          <w:p w14:paraId="2CD8BD34" w14:textId="7C9568EE" w:rsidR="006735C2" w:rsidRPr="006735C2" w:rsidRDefault="006735C2" w:rsidP="00CF25DF">
            <w:pPr>
              <w:pStyle w:val="CaseStudyText"/>
            </w:pPr>
            <w:r w:rsidRPr="006735C2">
              <w:t xml:space="preserve">Rather than having to notify prior to each separate acquisition, a business exemption certificate allows a foreign person to apply only once for pre-approval for multiple acquisitions </w:t>
            </w:r>
            <w:r w:rsidR="001854BD">
              <w:t xml:space="preserve">of assets or securities </w:t>
            </w:r>
            <w:r w:rsidRPr="006735C2">
              <w:t xml:space="preserve">over a specified period and up to </w:t>
            </w:r>
            <w:r w:rsidR="001854BD">
              <w:t>a specified monetary limit</w:t>
            </w:r>
            <w:r w:rsidRPr="006735C2">
              <w:t>. The certificates are suited to large investment funds, particularly those with low risk foreign government investors. For these funds, the exemption certificates reduce the regulatory cost that would have been associated if separate applications were required for multiple acquisitions. The certificate also suits investors who may not have exact target acquisitions in mind when they seek approval, but intend to make a series of passive investments in sectors or industries that typically do not raise national interest concerns.</w:t>
            </w:r>
          </w:p>
          <w:p w14:paraId="1DE2BC8D" w14:textId="62976C9E" w:rsidR="006735C2" w:rsidRPr="006735C2" w:rsidRDefault="006735C2" w:rsidP="00CA2684">
            <w:pPr>
              <w:pStyle w:val="CaseStudyText"/>
            </w:pPr>
            <w:r w:rsidRPr="006735C2">
              <w:t>The certificates are available in addition to existing exemption certificates for the acquisition of land and land entities, and mining and exploration tenements.</w:t>
            </w:r>
          </w:p>
        </w:tc>
      </w:tr>
    </w:tbl>
    <w:p w14:paraId="27EC8E32" w14:textId="77777777" w:rsidR="00CF25DF" w:rsidRDefault="00CF25DF" w:rsidP="00CF25DF">
      <w:pPr>
        <w:rPr>
          <w:rFonts w:eastAsiaTheme="majorEastAsia"/>
        </w:rPr>
      </w:pPr>
    </w:p>
    <w:p w14:paraId="73179278" w14:textId="2B886B67" w:rsidR="00AA69B7" w:rsidRPr="007B233C" w:rsidRDefault="00D3153F" w:rsidP="00C21803">
      <w:pPr>
        <w:pStyle w:val="Heading4"/>
        <w:rPr>
          <w:rFonts w:eastAsiaTheme="majorEastAsia"/>
        </w:rPr>
      </w:pPr>
      <w:r>
        <w:rPr>
          <w:rFonts w:eastAsiaTheme="majorEastAsia"/>
        </w:rPr>
        <w:t>T</w:t>
      </w:r>
      <w:r w:rsidRPr="00D3153F">
        <w:rPr>
          <w:rFonts w:eastAsiaTheme="majorEastAsia"/>
        </w:rPr>
        <w:t>he Australian National Audit Office (</w:t>
      </w:r>
      <w:r w:rsidR="00AA69B7" w:rsidRPr="007B233C">
        <w:rPr>
          <w:rFonts w:eastAsiaTheme="majorEastAsia"/>
        </w:rPr>
        <w:t>ANAO</w:t>
      </w:r>
      <w:r>
        <w:rPr>
          <w:rFonts w:eastAsiaTheme="majorEastAsia"/>
        </w:rPr>
        <w:t>)</w:t>
      </w:r>
      <w:r w:rsidR="00AA69B7" w:rsidRPr="007B233C">
        <w:rPr>
          <w:rFonts w:eastAsiaTheme="majorEastAsia"/>
        </w:rPr>
        <w:t xml:space="preserve"> report on residential real estate compliance</w:t>
      </w:r>
    </w:p>
    <w:p w14:paraId="5E914BB4" w14:textId="717EE0AF" w:rsidR="00897F86" w:rsidRPr="0098121D" w:rsidRDefault="00897F86" w:rsidP="0098121D">
      <w:r w:rsidRPr="007427BF">
        <w:t xml:space="preserve">In 2017-18, FIRB agencies supported the </w:t>
      </w:r>
      <w:r>
        <w:t>ANAO</w:t>
      </w:r>
      <w:r w:rsidR="00E76D0E">
        <w:t xml:space="preserve"> review and report</w:t>
      </w:r>
      <w:r w:rsidRPr="007427BF">
        <w:t xml:space="preserve"> </w:t>
      </w:r>
      <w:r w:rsidRPr="007427BF">
        <w:rPr>
          <w:i/>
        </w:rPr>
        <w:t xml:space="preserve">Management of compliance with foreign investment obligations </w:t>
      </w:r>
      <w:r w:rsidR="00667739">
        <w:rPr>
          <w:i/>
        </w:rPr>
        <w:t>for</w:t>
      </w:r>
      <w:r w:rsidR="00667739" w:rsidRPr="007427BF">
        <w:rPr>
          <w:i/>
        </w:rPr>
        <w:t xml:space="preserve"> </w:t>
      </w:r>
      <w:r w:rsidRPr="007427BF">
        <w:rPr>
          <w:i/>
        </w:rPr>
        <w:t>residential real estate</w:t>
      </w:r>
      <w:r>
        <w:rPr>
          <w:i/>
        </w:rPr>
        <w:t xml:space="preserve">, </w:t>
      </w:r>
      <w:r w:rsidRPr="0098121D">
        <w:t xml:space="preserve">which was tabled in </w:t>
      </w:r>
      <w:r w:rsidR="00DF3EE2">
        <w:t xml:space="preserve">parliament in </w:t>
      </w:r>
      <w:r w:rsidRPr="0098121D">
        <w:t>June 2018</w:t>
      </w:r>
      <w:r w:rsidRPr="007427BF">
        <w:rPr>
          <w:i/>
        </w:rPr>
        <w:t>.</w:t>
      </w:r>
    </w:p>
    <w:p w14:paraId="3DA75B23" w14:textId="39E79096" w:rsidR="00AA69B7" w:rsidRPr="0098121D" w:rsidRDefault="00897F86" w:rsidP="00CF0AAD">
      <w:pPr>
        <w:rPr>
          <w:color w:val="auto"/>
        </w:rPr>
      </w:pPr>
      <w:r>
        <w:rPr>
          <w:color w:val="auto"/>
        </w:rPr>
        <w:t>The report presents a comprehensive review of the arrangements the Government implemented in December 2015 to strengthen compliance with residential real</w:t>
      </w:r>
      <w:r w:rsidR="00DF3EE2">
        <w:rPr>
          <w:color w:val="auto"/>
        </w:rPr>
        <w:t xml:space="preserve"> </w:t>
      </w:r>
      <w:r>
        <w:rPr>
          <w:color w:val="auto"/>
        </w:rPr>
        <w:t xml:space="preserve">estate rules. </w:t>
      </w:r>
      <w:r w:rsidR="00A06E71">
        <w:rPr>
          <w:color w:val="auto"/>
        </w:rPr>
        <w:t>This included</w:t>
      </w:r>
      <w:r>
        <w:rPr>
          <w:color w:val="auto"/>
        </w:rPr>
        <w:t xml:space="preserve"> the transfer of administrative responsibility for residential real estate from </w:t>
      </w:r>
      <w:r w:rsidR="00AA69B7" w:rsidRPr="0098121D">
        <w:rPr>
          <w:color w:val="auto"/>
        </w:rPr>
        <w:t xml:space="preserve">Treasury </w:t>
      </w:r>
      <w:r>
        <w:rPr>
          <w:color w:val="auto"/>
        </w:rPr>
        <w:t>to</w:t>
      </w:r>
      <w:r w:rsidR="00AA69B7" w:rsidRPr="0098121D">
        <w:rPr>
          <w:color w:val="auto"/>
        </w:rPr>
        <w:t xml:space="preserve"> the ATO</w:t>
      </w:r>
      <w:r w:rsidRPr="0029026A">
        <w:rPr>
          <w:color w:val="auto"/>
        </w:rPr>
        <w:t xml:space="preserve"> </w:t>
      </w:r>
      <w:r>
        <w:rPr>
          <w:color w:val="auto"/>
        </w:rPr>
        <w:t>along with additional enforcement powers. The ANAO report is largely positive about the arrangements</w:t>
      </w:r>
      <w:r w:rsidR="00A86A07">
        <w:rPr>
          <w:color w:val="auto"/>
        </w:rPr>
        <w:t xml:space="preserve"> implemented, finding tha</w:t>
      </w:r>
      <w:r w:rsidR="000B79B5">
        <w:rPr>
          <w:color w:val="auto"/>
        </w:rPr>
        <w:t>t</w:t>
      </w:r>
      <w:r w:rsidR="00AA69B7" w:rsidRPr="0098121D">
        <w:rPr>
          <w:color w:val="auto"/>
        </w:rPr>
        <w:t xml:space="preserve"> overall, ATO processes for investigating compliance with the residential real estate rules are effective. It noted the significant work undertaken by the ATO to develop processes and systems to support the detection and investigation of non-compliance with foreign investment obligations for residential real estate.</w:t>
      </w:r>
    </w:p>
    <w:p w14:paraId="60B75227" w14:textId="0516110E" w:rsidR="000B79B5" w:rsidRDefault="00AA69B7" w:rsidP="00CF0AAD">
      <w:pPr>
        <w:rPr>
          <w:color w:val="auto"/>
        </w:rPr>
      </w:pPr>
      <w:r w:rsidRPr="0098121D">
        <w:t>The</w:t>
      </w:r>
      <w:r w:rsidRPr="0098121D" w:rsidDel="00E3791D">
        <w:t xml:space="preserve"> </w:t>
      </w:r>
      <w:r w:rsidRPr="0098121D">
        <w:t>report made practical recommendations to improve the ATO’s effectiveness in detecting non-compliance and reporting.</w:t>
      </w:r>
      <w:r w:rsidR="00EE0077">
        <w:rPr>
          <w:color w:val="auto"/>
        </w:rPr>
        <w:t xml:space="preserve"> </w:t>
      </w:r>
      <w:r w:rsidR="00E3791D">
        <w:t>T</w:t>
      </w:r>
      <w:r w:rsidR="00E3791D" w:rsidRPr="0098121D">
        <w:t xml:space="preserve">he </w:t>
      </w:r>
      <w:r w:rsidRPr="0098121D">
        <w:t xml:space="preserve">ATO </w:t>
      </w:r>
      <w:r w:rsidR="00E3791D">
        <w:t xml:space="preserve">has already commenced work </w:t>
      </w:r>
      <w:r w:rsidRPr="0098121D">
        <w:t xml:space="preserve">to </w:t>
      </w:r>
      <w:r w:rsidR="00A35F76">
        <w:t>implement</w:t>
      </w:r>
      <w:r w:rsidR="00A35F76" w:rsidRPr="0098121D">
        <w:t xml:space="preserve"> </w:t>
      </w:r>
      <w:r w:rsidRPr="0098121D">
        <w:t>these recomme</w:t>
      </w:r>
      <w:r w:rsidR="00EE0077">
        <w:t>ndations, including compiling</w:t>
      </w:r>
      <w:r w:rsidRPr="0098121D">
        <w:t xml:space="preserve"> an overarching compliance and enforcement strategy</w:t>
      </w:r>
      <w:r w:rsidR="00E3791D">
        <w:t>,</w:t>
      </w:r>
      <w:r w:rsidRPr="0098121D">
        <w:t xml:space="preserve"> </w:t>
      </w:r>
      <w:r w:rsidRPr="0098121D">
        <w:rPr>
          <w:color w:val="auto"/>
        </w:rPr>
        <w:t>and impleme</w:t>
      </w:r>
      <w:r w:rsidR="0073416C">
        <w:rPr>
          <w:color w:val="auto"/>
        </w:rPr>
        <w:t>nt</w:t>
      </w:r>
      <w:r w:rsidR="00EE0077">
        <w:rPr>
          <w:color w:val="auto"/>
        </w:rPr>
        <w:t>ing</w:t>
      </w:r>
      <w:r w:rsidRPr="0098121D">
        <w:rPr>
          <w:color w:val="auto"/>
        </w:rPr>
        <w:t xml:space="preserve"> outstanding data matching rules to aid the detection of key compliance risks.</w:t>
      </w:r>
    </w:p>
    <w:p w14:paraId="7BA96674" w14:textId="1290A4E1" w:rsidR="00AA69B7" w:rsidRDefault="000B79B5" w:rsidP="00503AF6">
      <w:pPr>
        <w:spacing w:after="230"/>
        <w:rPr>
          <w:color w:val="auto"/>
        </w:rPr>
      </w:pPr>
      <w:r>
        <w:t>The report contain</w:t>
      </w:r>
      <w:r w:rsidR="00A35F76">
        <w:t>ed no specific</w:t>
      </w:r>
      <w:r w:rsidRPr="0098121D" w:rsidDel="00A35F76">
        <w:rPr>
          <w:color w:val="auto"/>
        </w:rPr>
        <w:t xml:space="preserve"> </w:t>
      </w:r>
      <w:r w:rsidR="00AA69B7" w:rsidRPr="0098121D">
        <w:rPr>
          <w:color w:val="auto"/>
        </w:rPr>
        <w:t>recommendations for Treasury</w:t>
      </w:r>
      <w:r w:rsidRPr="0029026A">
        <w:rPr>
          <w:color w:val="auto"/>
        </w:rPr>
        <w:t xml:space="preserve"> </w:t>
      </w:r>
      <w:r>
        <w:rPr>
          <w:color w:val="auto"/>
        </w:rPr>
        <w:t xml:space="preserve">but </w:t>
      </w:r>
      <w:r w:rsidR="00A35F76">
        <w:rPr>
          <w:color w:val="auto"/>
        </w:rPr>
        <w:t xml:space="preserve">the </w:t>
      </w:r>
      <w:r>
        <w:rPr>
          <w:color w:val="auto"/>
        </w:rPr>
        <w:t>ANAO</w:t>
      </w:r>
      <w:r w:rsidR="00AA69B7" w:rsidRPr="0098121D">
        <w:rPr>
          <w:color w:val="auto"/>
        </w:rPr>
        <w:t xml:space="preserve"> did observe that the </w:t>
      </w:r>
      <w:r>
        <w:rPr>
          <w:color w:val="auto"/>
        </w:rPr>
        <w:t xml:space="preserve">public </w:t>
      </w:r>
      <w:r w:rsidR="00AA69B7" w:rsidRPr="0098121D">
        <w:rPr>
          <w:color w:val="auto"/>
        </w:rPr>
        <w:t>guidance material could be simplified to ease navigation</w:t>
      </w:r>
      <w:r w:rsidR="003E44CC">
        <w:rPr>
          <w:color w:val="auto"/>
        </w:rPr>
        <w:t xml:space="preserve">. </w:t>
      </w:r>
      <w:r>
        <w:rPr>
          <w:color w:val="auto"/>
        </w:rPr>
        <w:t>T</w:t>
      </w:r>
      <w:r w:rsidR="00AA69B7" w:rsidRPr="0098121D">
        <w:rPr>
          <w:color w:val="auto"/>
        </w:rPr>
        <w:t>reasury is in the process of reviewing and updating its guidance material</w:t>
      </w:r>
      <w:r w:rsidR="00110CBA">
        <w:rPr>
          <w:color w:val="auto"/>
        </w:rPr>
        <w:t xml:space="preserve"> and the FIRB website.</w:t>
      </w:r>
    </w:p>
    <w:p w14:paraId="40548BFD" w14:textId="77777777" w:rsidR="003B38CA" w:rsidRPr="00115641" w:rsidRDefault="003B38CA" w:rsidP="0015450A">
      <w:pPr>
        <w:pStyle w:val="Heading4"/>
        <w:rPr>
          <w:rFonts w:eastAsiaTheme="majorEastAsia"/>
        </w:rPr>
      </w:pPr>
      <w:r>
        <w:rPr>
          <w:rFonts w:eastAsiaTheme="majorEastAsia"/>
        </w:rPr>
        <w:t>Implementation of the r</w:t>
      </w:r>
      <w:r w:rsidRPr="00115641">
        <w:rPr>
          <w:rFonts w:eastAsiaTheme="majorEastAsia"/>
        </w:rPr>
        <w:t>esidential real estate vacancy fee</w:t>
      </w:r>
    </w:p>
    <w:p w14:paraId="068B4D8B" w14:textId="4E5D6716" w:rsidR="003B38CA" w:rsidRPr="00CB54C2" w:rsidRDefault="003B38CA" w:rsidP="00503AF6">
      <w:pPr>
        <w:spacing w:after="230"/>
        <w:rPr>
          <w:rFonts w:ascii="Calibri" w:eastAsiaTheme="minorHAnsi" w:hAnsi="Calibri" w:cs="Calibri"/>
          <w:lang w:eastAsia="en-US"/>
        </w:rPr>
      </w:pPr>
      <w:r w:rsidRPr="00CB54C2">
        <w:t>In the 2017–18 Budget, the Government introduced enhanced rules for foreign investors to ensure that more homes are available for Australians</w:t>
      </w:r>
      <w:r>
        <w:t xml:space="preserve"> by introducing a vacancy charge for houses left vacant for more than six months</w:t>
      </w:r>
      <w:r w:rsidRPr="00CB54C2">
        <w:t xml:space="preserve">. </w:t>
      </w:r>
      <w:r w:rsidRPr="00CB54C2">
        <w:rPr>
          <w:rFonts w:ascii="Calibri" w:eastAsiaTheme="minorHAnsi" w:hAnsi="Calibri" w:cs="Calibri"/>
          <w:lang w:eastAsia="en-US"/>
        </w:rPr>
        <w:t xml:space="preserve">Foreign </w:t>
      </w:r>
      <w:r>
        <w:rPr>
          <w:rFonts w:ascii="Calibri" w:eastAsiaTheme="minorHAnsi" w:hAnsi="Calibri" w:cs="Calibri"/>
          <w:lang w:eastAsia="en-US"/>
        </w:rPr>
        <w:t>person</w:t>
      </w:r>
      <w:r w:rsidRPr="00CB54C2">
        <w:rPr>
          <w:rFonts w:ascii="Calibri" w:eastAsiaTheme="minorHAnsi" w:hAnsi="Calibri" w:cs="Calibri"/>
          <w:lang w:eastAsia="en-US"/>
        </w:rPr>
        <w:t>s who purchased a dwelling after 9 May 2017 are required to lodge an annual vacancy fee return. If the dwelling has not been genuinely occupied as a residence</w:t>
      </w:r>
      <w:r w:rsidR="00DF3EE2">
        <w:rPr>
          <w:rFonts w:ascii="Calibri" w:eastAsiaTheme="minorHAnsi" w:hAnsi="Calibri" w:cs="Calibri"/>
          <w:lang w:eastAsia="en-US"/>
        </w:rPr>
        <w:t xml:space="preserve"> </w:t>
      </w:r>
      <w:r w:rsidRPr="00CB54C2">
        <w:rPr>
          <w:rFonts w:ascii="Calibri" w:eastAsiaTheme="minorHAnsi" w:hAnsi="Calibri" w:cs="Calibri"/>
          <w:lang w:eastAsia="en-US"/>
        </w:rPr>
        <w:t xml:space="preserve">or available for rent for at least 183 days in the previous </w:t>
      </w:r>
      <w:r>
        <w:rPr>
          <w:rFonts w:ascii="Calibri" w:eastAsiaTheme="minorHAnsi" w:hAnsi="Calibri" w:cs="Calibri"/>
          <w:lang w:eastAsia="en-US"/>
        </w:rPr>
        <w:t>12</w:t>
      </w:r>
      <w:r w:rsidR="00CF0AAD">
        <w:rPr>
          <w:rFonts w:ascii="Calibri" w:eastAsiaTheme="minorHAnsi" w:hAnsi="Calibri" w:cs="Calibri"/>
          <w:lang w:eastAsia="en-US"/>
        </w:rPr>
        <w:t> </w:t>
      </w:r>
      <w:r w:rsidRPr="00CB54C2">
        <w:rPr>
          <w:rFonts w:ascii="Calibri" w:eastAsiaTheme="minorHAnsi" w:hAnsi="Calibri" w:cs="Calibri"/>
          <w:lang w:eastAsia="en-US"/>
        </w:rPr>
        <w:t xml:space="preserve">months foreign </w:t>
      </w:r>
      <w:r>
        <w:rPr>
          <w:rFonts w:ascii="Calibri" w:eastAsiaTheme="minorHAnsi" w:hAnsi="Calibri" w:cs="Calibri"/>
          <w:lang w:eastAsia="en-US"/>
        </w:rPr>
        <w:t>persons</w:t>
      </w:r>
      <w:r w:rsidRPr="00CB54C2">
        <w:rPr>
          <w:rFonts w:ascii="Calibri" w:eastAsiaTheme="minorHAnsi" w:hAnsi="Calibri" w:cs="Calibri"/>
          <w:lang w:eastAsia="en-US"/>
        </w:rPr>
        <w:t xml:space="preserve"> will have to pay a vacancy fee.</w:t>
      </w:r>
    </w:p>
    <w:p w14:paraId="24197242" w14:textId="32A4BBA1" w:rsidR="00A01D62" w:rsidRDefault="003B38CA" w:rsidP="00503AF6">
      <w:pPr>
        <w:spacing w:after="230"/>
      </w:pPr>
      <w:r w:rsidRPr="00CB54C2">
        <w:t>The ATO administers t</w:t>
      </w:r>
      <w:r>
        <w:t>he vacancy fee and</w:t>
      </w:r>
      <w:r w:rsidRPr="00CB54C2">
        <w:t xml:space="preserve"> uses </w:t>
      </w:r>
      <w:r>
        <w:t xml:space="preserve">its </w:t>
      </w:r>
      <w:r w:rsidRPr="00CB54C2">
        <w:t>extensive data matching capability against a variety of sources, together with community information</w:t>
      </w:r>
      <w:r>
        <w:t xml:space="preserve"> to monitor compliance.</w:t>
      </w:r>
      <w:r w:rsidR="00A01D62">
        <w:t xml:space="preserve"> </w:t>
      </w:r>
      <w:r w:rsidR="00A01D62" w:rsidRPr="00CB54C2">
        <w:t>In June</w:t>
      </w:r>
      <w:r w:rsidR="00CF0AAD">
        <w:t> </w:t>
      </w:r>
      <w:r w:rsidR="00A01D62" w:rsidRPr="00CB54C2">
        <w:t>2018, a new online vacancy fee return, along with guidance material and a</w:t>
      </w:r>
      <w:r w:rsidR="0074410C">
        <w:t xml:space="preserve"> </w:t>
      </w:r>
      <w:r w:rsidR="00A01D62" w:rsidRPr="00CB54C2">
        <w:t>pre-</w:t>
      </w:r>
      <w:r w:rsidR="0074410C" w:rsidRPr="00CB54C2">
        <w:t>recorded</w:t>
      </w:r>
      <w:r w:rsidR="0074410C">
        <w:t xml:space="preserve"> </w:t>
      </w:r>
      <w:r w:rsidR="0068163E" w:rsidRPr="00CB54C2">
        <w:t>webinar</w:t>
      </w:r>
      <w:r w:rsidR="00A01D62" w:rsidRPr="00CB54C2">
        <w:t xml:space="preserve"> were published on the ATO’s website.</w:t>
      </w:r>
      <w:r w:rsidR="00A01D62">
        <w:t xml:space="preserve"> To</w:t>
      </w:r>
      <w:r w:rsidR="00A01D62" w:rsidDel="00A35F76">
        <w:t xml:space="preserve"> </w:t>
      </w:r>
      <w:r w:rsidR="00A01D62">
        <w:t xml:space="preserve">support </w:t>
      </w:r>
      <w:r>
        <w:t>implementation</w:t>
      </w:r>
      <w:r w:rsidR="00A01D62">
        <w:t xml:space="preserve"> of the new requirement</w:t>
      </w:r>
      <w:r>
        <w:t xml:space="preserve">, the ATO </w:t>
      </w:r>
      <w:r w:rsidRPr="00CB54C2">
        <w:t xml:space="preserve">has </w:t>
      </w:r>
      <w:r w:rsidR="00DF3EE2">
        <w:t>a</w:t>
      </w:r>
      <w:r w:rsidRPr="00CB54C2">
        <w:t xml:space="preserve"> </w:t>
      </w:r>
      <w:r w:rsidR="00A01D62" w:rsidRPr="00CB54C2">
        <w:t xml:space="preserve">comprehensive communications strategy in place </w:t>
      </w:r>
      <w:r w:rsidR="00A01D62">
        <w:t xml:space="preserve">and </w:t>
      </w:r>
      <w:r w:rsidR="00EE0077">
        <w:t xml:space="preserve">has </w:t>
      </w:r>
      <w:r w:rsidR="00A01D62">
        <w:t xml:space="preserve">engaged extensively with </w:t>
      </w:r>
      <w:r w:rsidR="00A01D62" w:rsidRPr="00CB54C2">
        <w:t xml:space="preserve">foreign </w:t>
      </w:r>
      <w:r w:rsidR="00A01D62">
        <w:t xml:space="preserve">persons and their </w:t>
      </w:r>
      <w:r w:rsidR="00BE091A">
        <w:t xml:space="preserve">advisers </w:t>
      </w:r>
      <w:r w:rsidR="00A01D62">
        <w:t>to raise awareness of the fee</w:t>
      </w:r>
      <w:r w:rsidR="00D60E62">
        <w:t>, including</w:t>
      </w:r>
      <w:r w:rsidR="00D60E62" w:rsidRPr="00D60E62">
        <w:t xml:space="preserve"> </w:t>
      </w:r>
      <w:r w:rsidR="00D60E62">
        <w:t>conducting</w:t>
      </w:r>
      <w:r w:rsidR="00A01D62">
        <w:t>:</w:t>
      </w:r>
    </w:p>
    <w:p w14:paraId="0D196B6E" w14:textId="606EC1A0" w:rsidR="00D60E62" w:rsidRDefault="003B38CA" w:rsidP="00503AF6">
      <w:pPr>
        <w:pStyle w:val="Bullet"/>
        <w:spacing w:after="230"/>
      </w:pPr>
      <w:r w:rsidRPr="00CB54C2">
        <w:t>face-to-face visits with over 20 </w:t>
      </w:r>
      <w:r w:rsidR="00EE0077">
        <w:t xml:space="preserve">foreign investment </w:t>
      </w:r>
      <w:r w:rsidR="00BE091A">
        <w:t>advisers</w:t>
      </w:r>
      <w:r w:rsidR="00BE091A" w:rsidRPr="00CB54C2">
        <w:t xml:space="preserve"> </w:t>
      </w:r>
      <w:r w:rsidRPr="00CB54C2">
        <w:t>(each representing more than 100 applicants)</w:t>
      </w:r>
      <w:r w:rsidR="00D60E62">
        <w:t>; and</w:t>
      </w:r>
    </w:p>
    <w:p w14:paraId="2238A68D" w14:textId="2BE60DB3" w:rsidR="003B38CA" w:rsidRDefault="00D60E62" w:rsidP="00503AF6">
      <w:pPr>
        <w:pStyle w:val="Bullet"/>
        <w:spacing w:after="230"/>
      </w:pPr>
      <w:r>
        <w:t>l</w:t>
      </w:r>
      <w:r w:rsidR="003B38CA" w:rsidRPr="00CB54C2">
        <w:t xml:space="preserve">ive webinars, targeted at </w:t>
      </w:r>
      <w:r w:rsidR="00EE0077">
        <w:t xml:space="preserve">foreign investment </w:t>
      </w:r>
      <w:r w:rsidR="00EB4A38">
        <w:t xml:space="preserve">advisers </w:t>
      </w:r>
      <w:r w:rsidR="00DE27FA">
        <w:t>through the tax p</w:t>
      </w:r>
      <w:r w:rsidR="003B38CA" w:rsidRPr="00CB54C2">
        <w:t xml:space="preserve">ractitioner community, </w:t>
      </w:r>
      <w:r w:rsidR="008D027F">
        <w:t xml:space="preserve">and </w:t>
      </w:r>
      <w:r w:rsidR="003B38CA" w:rsidRPr="00CB54C2">
        <w:t>lawyers and conveyancers through industry associations</w:t>
      </w:r>
      <w:r>
        <w:t>.</w:t>
      </w:r>
    </w:p>
    <w:p w14:paraId="49E8CF77" w14:textId="0BF5C377" w:rsidR="003B38CA" w:rsidRDefault="003B38CA" w:rsidP="003B38CA">
      <w:pPr>
        <w:pStyle w:val="Heading4"/>
        <w:rPr>
          <w:rFonts w:eastAsiaTheme="majorEastAsia"/>
        </w:rPr>
      </w:pPr>
      <w:r>
        <w:rPr>
          <w:rFonts w:eastAsiaTheme="majorEastAsia"/>
        </w:rPr>
        <w:t xml:space="preserve">Policy </w:t>
      </w:r>
      <w:r w:rsidR="00D86849">
        <w:rPr>
          <w:rFonts w:eastAsiaTheme="majorEastAsia"/>
        </w:rPr>
        <w:t>a</w:t>
      </w:r>
      <w:r>
        <w:rPr>
          <w:rFonts w:eastAsiaTheme="majorEastAsia"/>
        </w:rPr>
        <w:t>nnouncements</w:t>
      </w:r>
      <w:r w:rsidR="00D86849">
        <w:rPr>
          <w:rFonts w:eastAsiaTheme="majorEastAsia"/>
        </w:rPr>
        <w:t xml:space="preserve"> in 2017</w:t>
      </w:r>
      <w:r w:rsidR="0015450A">
        <w:rPr>
          <w:rFonts w:eastAsiaTheme="majorEastAsia"/>
        </w:rPr>
        <w:t>–</w:t>
      </w:r>
      <w:r w:rsidR="00D86849">
        <w:rPr>
          <w:rFonts w:eastAsiaTheme="majorEastAsia"/>
        </w:rPr>
        <w:t>18</w:t>
      </w:r>
    </w:p>
    <w:p w14:paraId="5C2ACAFE" w14:textId="77777777" w:rsidR="00631DD9" w:rsidRPr="007C6CF0" w:rsidRDefault="00631DD9" w:rsidP="0015450A">
      <w:pPr>
        <w:pStyle w:val="Heading5"/>
        <w:rPr>
          <w:rFonts w:eastAsiaTheme="majorEastAsia"/>
        </w:rPr>
      </w:pPr>
      <w:r w:rsidRPr="007C6CF0">
        <w:rPr>
          <w:rFonts w:eastAsiaTheme="majorEastAsia"/>
        </w:rPr>
        <w:t>Australian electricity assets</w:t>
      </w:r>
    </w:p>
    <w:p w14:paraId="70BA6330" w14:textId="2338D31F" w:rsidR="00631DD9" w:rsidRDefault="00631DD9" w:rsidP="00503AF6">
      <w:pPr>
        <w:spacing w:after="230"/>
      </w:pPr>
      <w:r w:rsidRPr="00CB54C2">
        <w:t>On 1 February 2018, the</w:t>
      </w:r>
      <w:r w:rsidR="00E37312">
        <w:t>n</w:t>
      </w:r>
      <w:r w:rsidRPr="00CB54C2">
        <w:t xml:space="preserve"> </w:t>
      </w:r>
      <w:r>
        <w:t>Treasurer</w:t>
      </w:r>
      <w:r w:rsidR="00DF3EE2">
        <w:t xml:space="preserve">, the Hon Scott Morrison MP, </w:t>
      </w:r>
      <w:r>
        <w:t xml:space="preserve">issued a </w:t>
      </w:r>
      <w:r w:rsidR="00D27D28">
        <w:t xml:space="preserve">media </w:t>
      </w:r>
      <w:r>
        <w:t xml:space="preserve">release announcing that all </w:t>
      </w:r>
      <w:r w:rsidRPr="00CB54C2">
        <w:t>future sales</w:t>
      </w:r>
      <w:r>
        <w:t xml:space="preserve"> of</w:t>
      </w:r>
      <w:r w:rsidRPr="00CB54C2">
        <w:t xml:space="preserve"> electricity transmission, distribution and generation assets </w:t>
      </w:r>
      <w:r w:rsidR="00DF3EE2">
        <w:t xml:space="preserve">would </w:t>
      </w:r>
      <w:r w:rsidRPr="00CB54C2">
        <w:t>attract ownership restrictions or conditions</w:t>
      </w:r>
      <w:r>
        <w:t xml:space="preserve"> for foreign buyers</w:t>
      </w:r>
      <w:r w:rsidRPr="00CB54C2">
        <w:t>.</w:t>
      </w:r>
    </w:p>
    <w:p w14:paraId="6C4AFA21" w14:textId="6E8959B1" w:rsidR="00D60E62" w:rsidRDefault="00D60E62" w:rsidP="00503AF6">
      <w:pPr>
        <w:tabs>
          <w:tab w:val="num" w:pos="567"/>
        </w:tabs>
        <w:spacing w:after="230"/>
      </w:pPr>
      <w:r w:rsidRPr="00CB54C2">
        <w:t xml:space="preserve">The announcement </w:t>
      </w:r>
      <w:r w:rsidR="003E44CC" w:rsidRPr="00CB54C2">
        <w:t>recognise</w:t>
      </w:r>
      <w:r w:rsidR="003E44CC">
        <w:t>d</w:t>
      </w:r>
      <w:r w:rsidR="003E44CC" w:rsidRPr="00CB54C2">
        <w:t xml:space="preserve"> </w:t>
      </w:r>
      <w:r w:rsidRPr="00CB54C2">
        <w:t>the important role played by critical electricity infrastructure in underpinning a range of services to the community. In some cases, aggregated ownership of critical infrastructure may increase risks to national security</w:t>
      </w:r>
      <w:r>
        <w:t xml:space="preserve"> and maintaining diversity of ownership at the company and country level operates as an important national security safeguard.</w:t>
      </w:r>
    </w:p>
    <w:p w14:paraId="4437BAAF" w14:textId="1C254585" w:rsidR="00D60E62" w:rsidRPr="00CB54C2" w:rsidRDefault="00D60E62" w:rsidP="00D60E62">
      <w:pPr>
        <w:tabs>
          <w:tab w:val="num" w:pos="567"/>
        </w:tabs>
      </w:pPr>
      <w:r>
        <w:t xml:space="preserve">The announcement </w:t>
      </w:r>
      <w:r w:rsidR="00F26638">
        <w:t>formalise</w:t>
      </w:r>
      <w:r w:rsidR="00AD3E16">
        <w:t>d</w:t>
      </w:r>
      <w:r w:rsidR="00F26638">
        <w:t xml:space="preserve"> the approach already being applied</w:t>
      </w:r>
      <w:r>
        <w:t xml:space="preserve"> </w:t>
      </w:r>
      <w:r w:rsidR="00AD3E16">
        <w:t>at the time</w:t>
      </w:r>
      <w:r>
        <w:t xml:space="preserve"> when assessing the national interest on a case-by-case basis</w:t>
      </w:r>
      <w:r w:rsidR="003E44CC">
        <w:t>. It</w:t>
      </w:r>
      <w:r w:rsidR="00F26638">
        <w:t xml:space="preserve"> provid</w:t>
      </w:r>
      <w:r w:rsidR="00AD3E16">
        <w:t>ed</w:t>
      </w:r>
      <w:r w:rsidR="00F26638">
        <w:t xml:space="preserve"> a clear</w:t>
      </w:r>
      <w:r>
        <w:t xml:space="preserve"> signal that existing levels of foreign ownership in an asset</w:t>
      </w:r>
      <w:r w:rsidR="00F26638">
        <w:t>,</w:t>
      </w:r>
      <w:r>
        <w:t xml:space="preserve"> within a </w:t>
      </w:r>
      <w:r w:rsidR="0084638E">
        <w:t xml:space="preserve">sector or </w:t>
      </w:r>
      <w:r>
        <w:t xml:space="preserve">subsector </w:t>
      </w:r>
      <w:r w:rsidR="00F26638">
        <w:t>are considered when assessing foreign investment applications. The announcement respond</w:t>
      </w:r>
      <w:r w:rsidR="0084638E">
        <w:t>ed</w:t>
      </w:r>
      <w:r w:rsidR="00F26638">
        <w:t xml:space="preserve"> to requests for greater clarity around the types of factors taken into account when assessing foreign investment applications in this sector.</w:t>
      </w:r>
    </w:p>
    <w:p w14:paraId="24FEDE9F" w14:textId="77777777" w:rsidR="00631DD9" w:rsidRPr="007C6CF0" w:rsidRDefault="00631DD9" w:rsidP="0015450A">
      <w:pPr>
        <w:pStyle w:val="Heading5"/>
        <w:rPr>
          <w:rFonts w:eastAsiaTheme="majorEastAsia"/>
        </w:rPr>
      </w:pPr>
      <w:r w:rsidRPr="007C6CF0">
        <w:rPr>
          <w:rFonts w:eastAsiaTheme="majorEastAsia"/>
        </w:rPr>
        <w:t xml:space="preserve">Agricultural land sale </w:t>
      </w:r>
      <w:r w:rsidRPr="0015450A">
        <w:rPr>
          <w:rFonts w:eastAsiaTheme="majorEastAsia"/>
        </w:rPr>
        <w:t>processes</w:t>
      </w:r>
    </w:p>
    <w:p w14:paraId="60AF3B06" w14:textId="309249DA" w:rsidR="00631DD9" w:rsidRPr="00CB54C2" w:rsidRDefault="005D60AD" w:rsidP="00631DD9">
      <w:r>
        <w:t>On</w:t>
      </w:r>
      <w:r w:rsidR="00631DD9" w:rsidRPr="00CB54C2">
        <w:t xml:space="preserve"> 1 February 2018, the </w:t>
      </w:r>
      <w:r w:rsidR="00F26638">
        <w:t xml:space="preserve">Treasurer </w:t>
      </w:r>
      <w:r w:rsidR="00B44809">
        <w:t xml:space="preserve">also issued a media release clarifying the importance of </w:t>
      </w:r>
      <w:r w:rsidR="00B44809" w:rsidRPr="00CB54C2">
        <w:t>an open and transparent sale process</w:t>
      </w:r>
      <w:r w:rsidR="00B44809">
        <w:t xml:space="preserve"> when assessing applications for acquisitions of agricultural land.</w:t>
      </w:r>
    </w:p>
    <w:p w14:paraId="3D783709" w14:textId="1AEC462F" w:rsidR="00631DD9" w:rsidRPr="00CB54C2" w:rsidRDefault="00631DD9" w:rsidP="00631DD9">
      <w:pPr>
        <w:spacing w:after="220"/>
        <w:rPr>
          <w:rFonts w:ascii="Calibri" w:hAnsi="Calibri"/>
        </w:rPr>
      </w:pPr>
      <w:r w:rsidRPr="00CB54C2">
        <w:t xml:space="preserve">The </w:t>
      </w:r>
      <w:r w:rsidRPr="00CB54C2">
        <w:rPr>
          <w:rFonts w:ascii="Calibri" w:hAnsi="Calibri"/>
        </w:rPr>
        <w:t>Government recognises that investment in agriculture is important for growth and innovation</w:t>
      </w:r>
      <w:r w:rsidR="00B44809">
        <w:rPr>
          <w:rFonts w:ascii="Calibri" w:hAnsi="Calibri"/>
        </w:rPr>
        <w:t xml:space="preserve"> and </w:t>
      </w:r>
      <w:r w:rsidR="0084638E">
        <w:rPr>
          <w:rFonts w:ascii="Calibri" w:hAnsi="Calibri"/>
        </w:rPr>
        <w:t xml:space="preserve">contributes </w:t>
      </w:r>
      <w:r w:rsidRPr="00CB54C2">
        <w:rPr>
          <w:rFonts w:ascii="Calibri" w:hAnsi="Calibri"/>
        </w:rPr>
        <w:t>to the prosperity of local businesses, rural communities and the broader economy. However, it is essential that the right checks and balances are in place to ensure that foreign investment is not contrary to the national interest</w:t>
      </w:r>
      <w:r w:rsidR="00B44809">
        <w:rPr>
          <w:rFonts w:ascii="Calibri" w:hAnsi="Calibri"/>
        </w:rPr>
        <w:t>, including that Australians are provided with the opportunity to bid for agricultural land.</w:t>
      </w:r>
    </w:p>
    <w:p w14:paraId="47E436A6" w14:textId="769FB21F" w:rsidR="00631DD9" w:rsidRDefault="00631DD9" w:rsidP="00631DD9">
      <w:pPr>
        <w:spacing w:after="220"/>
        <w:rPr>
          <w:rFonts w:ascii="Calibri" w:hAnsi="Calibri"/>
        </w:rPr>
      </w:pPr>
      <w:r w:rsidRPr="00CB54C2">
        <w:rPr>
          <w:rFonts w:ascii="Calibri" w:hAnsi="Calibri"/>
        </w:rPr>
        <w:t>Concerns around the ability of Australians to participate in sale</w:t>
      </w:r>
      <w:r w:rsidR="00B44809">
        <w:rPr>
          <w:rFonts w:ascii="Calibri" w:hAnsi="Calibri"/>
        </w:rPr>
        <w:t>s</w:t>
      </w:r>
      <w:r w:rsidRPr="00CB54C2">
        <w:rPr>
          <w:rFonts w:ascii="Calibri" w:hAnsi="Calibri"/>
        </w:rPr>
        <w:t xml:space="preserve"> process</w:t>
      </w:r>
      <w:r w:rsidR="0084638E">
        <w:rPr>
          <w:rFonts w:ascii="Calibri" w:hAnsi="Calibri"/>
        </w:rPr>
        <w:t>es</w:t>
      </w:r>
      <w:r w:rsidRPr="00CB54C2">
        <w:rPr>
          <w:rFonts w:ascii="Calibri" w:hAnsi="Calibri"/>
        </w:rPr>
        <w:t xml:space="preserve"> </w:t>
      </w:r>
      <w:r w:rsidR="00B44809">
        <w:rPr>
          <w:rFonts w:ascii="Calibri" w:hAnsi="Calibri"/>
        </w:rPr>
        <w:t>for</w:t>
      </w:r>
      <w:r w:rsidRPr="00CB54C2">
        <w:rPr>
          <w:rFonts w:ascii="Calibri" w:hAnsi="Calibri"/>
        </w:rPr>
        <w:t xml:space="preserve"> agricultural land acquisitions </w:t>
      </w:r>
      <w:r w:rsidR="00073375">
        <w:rPr>
          <w:rFonts w:ascii="Calibri" w:hAnsi="Calibri"/>
        </w:rPr>
        <w:t>were</w:t>
      </w:r>
      <w:r w:rsidRPr="00CB54C2">
        <w:rPr>
          <w:rFonts w:ascii="Calibri" w:hAnsi="Calibri"/>
        </w:rPr>
        <w:t xml:space="preserve"> a factor in previous foreign investment decisions</w:t>
      </w:r>
      <w:r w:rsidR="00B44809">
        <w:rPr>
          <w:rFonts w:ascii="Calibri" w:hAnsi="Calibri"/>
        </w:rPr>
        <w:t xml:space="preserve">, </w:t>
      </w:r>
      <w:r w:rsidRPr="00CB54C2">
        <w:rPr>
          <w:rFonts w:ascii="Calibri" w:hAnsi="Calibri"/>
        </w:rPr>
        <w:t>includ</w:t>
      </w:r>
      <w:r w:rsidR="00B44809">
        <w:rPr>
          <w:rFonts w:ascii="Calibri" w:hAnsi="Calibri"/>
        </w:rPr>
        <w:t>ing</w:t>
      </w:r>
      <w:r w:rsidRPr="00CB54C2">
        <w:rPr>
          <w:rFonts w:ascii="Calibri" w:hAnsi="Calibri"/>
        </w:rPr>
        <w:t xml:space="preserve"> the </w:t>
      </w:r>
      <w:r>
        <w:rPr>
          <w:rFonts w:ascii="Calibri" w:hAnsi="Calibri"/>
        </w:rPr>
        <w:t xml:space="preserve">9 December 2016 approval for the acquisition of </w:t>
      </w:r>
      <w:r w:rsidRPr="00CB54C2">
        <w:rPr>
          <w:rFonts w:ascii="Calibri" w:hAnsi="Calibri"/>
        </w:rPr>
        <w:t>S. Kidman &amp; Co Limited.</w:t>
      </w:r>
      <w:r w:rsidR="00110CBA">
        <w:rPr>
          <w:rFonts w:ascii="Calibri" w:hAnsi="Calibri"/>
        </w:rPr>
        <w:t xml:space="preserve"> </w:t>
      </w:r>
      <w:r w:rsidR="00B44809">
        <w:rPr>
          <w:rFonts w:ascii="Calibri" w:hAnsi="Calibri"/>
        </w:rPr>
        <w:t>Again, the announcement provide</w:t>
      </w:r>
      <w:r w:rsidR="0084638E">
        <w:rPr>
          <w:rFonts w:ascii="Calibri" w:hAnsi="Calibri"/>
        </w:rPr>
        <w:t>d</w:t>
      </w:r>
      <w:r w:rsidR="00B44809">
        <w:rPr>
          <w:rFonts w:ascii="Calibri" w:hAnsi="Calibri"/>
        </w:rPr>
        <w:t xml:space="preserve"> greater clarity to foreign investors wishing to purchase agricultural land that the sales process is an important factor when assessing whether a proposed acquisition is in the national interest.</w:t>
      </w:r>
    </w:p>
    <w:p w14:paraId="60546E71" w14:textId="77CA9884" w:rsidR="00631DD9" w:rsidRDefault="00631DD9" w:rsidP="001E680F">
      <w:pPr>
        <w:rPr>
          <w:color w:val="auto"/>
        </w:rPr>
      </w:pPr>
      <w:r w:rsidRPr="0098121D">
        <w:t>Treasury engaged a range of stakeholders</w:t>
      </w:r>
      <w:r w:rsidR="006B5B9D" w:rsidRPr="0098121D">
        <w:rPr>
          <w:color w:val="auto"/>
        </w:rPr>
        <w:t xml:space="preserve"> </w:t>
      </w:r>
      <w:r w:rsidR="00B44809">
        <w:rPr>
          <w:color w:val="auto"/>
        </w:rPr>
        <w:t xml:space="preserve">following the </w:t>
      </w:r>
      <w:r w:rsidRPr="0098121D">
        <w:rPr>
          <w:color w:val="auto"/>
        </w:rPr>
        <w:t xml:space="preserve">announcement </w:t>
      </w:r>
      <w:r w:rsidR="006B5B9D">
        <w:rPr>
          <w:color w:val="auto"/>
        </w:rPr>
        <w:t xml:space="preserve">to raise awareness of the requirement </w:t>
      </w:r>
      <w:r w:rsidR="006B5B9D" w:rsidRPr="0098121D">
        <w:rPr>
          <w:color w:val="auto"/>
        </w:rPr>
        <w:t xml:space="preserve">and </w:t>
      </w:r>
      <w:r w:rsidR="006B5B9D">
        <w:rPr>
          <w:color w:val="auto"/>
        </w:rPr>
        <w:t xml:space="preserve">develop practical guidance </w:t>
      </w:r>
      <w:r w:rsidR="006B5B9D" w:rsidRPr="0098121D">
        <w:rPr>
          <w:color w:val="auto"/>
        </w:rPr>
        <w:t>to support implementation</w:t>
      </w:r>
      <w:r w:rsidR="006B5B9D">
        <w:rPr>
          <w:color w:val="auto"/>
        </w:rPr>
        <w:t xml:space="preserve"> of the policy.</w:t>
      </w:r>
      <w:r w:rsidR="006B5B9D" w:rsidRPr="0098121D">
        <w:rPr>
          <w:color w:val="auto"/>
        </w:rPr>
        <w:t xml:space="preserve"> </w:t>
      </w:r>
      <w:r w:rsidRPr="0098121D">
        <w:rPr>
          <w:color w:val="auto"/>
        </w:rPr>
        <w:t xml:space="preserve">In September 2018, in response to stakeholder feedback, the </w:t>
      </w:r>
      <w:r w:rsidR="00C72B02">
        <w:rPr>
          <w:color w:val="auto"/>
        </w:rPr>
        <w:t>foreign investment framework</w:t>
      </w:r>
      <w:r w:rsidRPr="0098121D">
        <w:rPr>
          <w:color w:val="auto"/>
        </w:rPr>
        <w:t>’s online guidance notes were updated</w:t>
      </w:r>
      <w:r w:rsidR="00073375">
        <w:rPr>
          <w:color w:val="auto"/>
        </w:rPr>
        <w:t xml:space="preserve"> and clarified</w:t>
      </w:r>
      <w:r w:rsidRPr="0098121D">
        <w:rPr>
          <w:color w:val="auto"/>
        </w:rPr>
        <w:t xml:space="preserve"> to ensure the requirement is </w:t>
      </w:r>
      <w:r w:rsidR="00145988">
        <w:rPr>
          <w:color w:val="auto"/>
        </w:rPr>
        <w:t>appropriately</w:t>
      </w:r>
      <w:r w:rsidR="00145988" w:rsidRPr="0098121D">
        <w:rPr>
          <w:color w:val="auto"/>
        </w:rPr>
        <w:t xml:space="preserve"> </w:t>
      </w:r>
      <w:r w:rsidRPr="0098121D">
        <w:rPr>
          <w:color w:val="auto"/>
        </w:rPr>
        <w:t>targeted</w:t>
      </w:r>
      <w:r>
        <w:rPr>
          <w:color w:val="auto"/>
        </w:rPr>
        <w:t>.</w:t>
      </w:r>
    </w:p>
    <w:p w14:paraId="01BC909B" w14:textId="7D060588" w:rsidR="00AA69B7" w:rsidRPr="00AA69B7" w:rsidRDefault="00AA69B7" w:rsidP="0015450A">
      <w:pPr>
        <w:pStyle w:val="Heading2"/>
        <w:rPr>
          <w:rFonts w:eastAsiaTheme="majorEastAsia"/>
        </w:rPr>
      </w:pPr>
      <w:bookmarkStart w:id="350" w:name="_Toc532207329"/>
      <w:bookmarkStart w:id="351" w:name="_Toc532217717"/>
      <w:bookmarkStart w:id="352" w:name="_Toc532218738"/>
      <w:bookmarkStart w:id="353" w:name="_Toc532219050"/>
      <w:bookmarkStart w:id="354" w:name="_Toc532223734"/>
      <w:bookmarkStart w:id="355" w:name="_Toc532224193"/>
      <w:bookmarkStart w:id="356" w:name="_Toc532226672"/>
      <w:bookmarkStart w:id="357" w:name="_Toc536029374"/>
      <w:bookmarkStart w:id="358" w:name="_Toc1120396"/>
      <w:bookmarkStart w:id="359" w:name="_Toc1121967"/>
      <w:r>
        <w:rPr>
          <w:rFonts w:eastAsiaTheme="majorEastAsia"/>
        </w:rPr>
        <w:t xml:space="preserve">Managing </w:t>
      </w:r>
      <w:r w:rsidR="0093021F">
        <w:rPr>
          <w:rFonts w:eastAsiaTheme="majorEastAsia"/>
        </w:rPr>
        <w:t xml:space="preserve">national </w:t>
      </w:r>
      <w:r w:rsidR="0093021F" w:rsidRPr="0015450A">
        <w:rPr>
          <w:rFonts w:eastAsiaTheme="majorEastAsia"/>
        </w:rPr>
        <w:t>s</w:t>
      </w:r>
      <w:r w:rsidRPr="0015450A">
        <w:rPr>
          <w:rFonts w:eastAsiaTheme="majorEastAsia"/>
        </w:rPr>
        <w:t>ecurity</w:t>
      </w:r>
      <w:r>
        <w:rPr>
          <w:rFonts w:eastAsiaTheme="majorEastAsia"/>
        </w:rPr>
        <w:t xml:space="preserve"> </w:t>
      </w:r>
      <w:r w:rsidR="0093021F">
        <w:rPr>
          <w:rFonts w:eastAsiaTheme="majorEastAsia"/>
        </w:rPr>
        <w:t>r</w:t>
      </w:r>
      <w:r>
        <w:rPr>
          <w:rFonts w:eastAsiaTheme="majorEastAsia"/>
        </w:rPr>
        <w:t xml:space="preserve">isks to </w:t>
      </w:r>
      <w:r w:rsidR="0093021F">
        <w:rPr>
          <w:rFonts w:eastAsiaTheme="majorEastAsia"/>
        </w:rPr>
        <w:t>c</w:t>
      </w:r>
      <w:r>
        <w:rPr>
          <w:rFonts w:eastAsiaTheme="majorEastAsia"/>
        </w:rPr>
        <w:t xml:space="preserve">ritical </w:t>
      </w:r>
      <w:r w:rsidR="0093021F">
        <w:rPr>
          <w:rFonts w:eastAsiaTheme="majorEastAsia"/>
        </w:rPr>
        <w:t>i</w:t>
      </w:r>
      <w:r>
        <w:rPr>
          <w:rFonts w:eastAsiaTheme="majorEastAsia"/>
        </w:rPr>
        <w:t>nfrastructure</w:t>
      </w:r>
      <w:bookmarkEnd w:id="350"/>
      <w:bookmarkEnd w:id="351"/>
      <w:bookmarkEnd w:id="352"/>
      <w:bookmarkEnd w:id="353"/>
      <w:bookmarkEnd w:id="354"/>
      <w:bookmarkEnd w:id="355"/>
      <w:bookmarkEnd w:id="356"/>
      <w:bookmarkEnd w:id="357"/>
      <w:bookmarkEnd w:id="358"/>
      <w:bookmarkEnd w:id="359"/>
    </w:p>
    <w:p w14:paraId="49C81610" w14:textId="59168A9B" w:rsidR="009409A0" w:rsidRDefault="00051C9F" w:rsidP="00CB54C2">
      <w:pPr>
        <w:rPr>
          <w:szCs w:val="24"/>
        </w:rPr>
      </w:pPr>
      <w:r>
        <w:rPr>
          <w:szCs w:val="24"/>
        </w:rPr>
        <w:t xml:space="preserve">In </w:t>
      </w:r>
      <w:r w:rsidR="00AA69B7">
        <w:rPr>
          <w:szCs w:val="24"/>
        </w:rPr>
        <w:t xml:space="preserve">the </w:t>
      </w:r>
      <w:r>
        <w:rPr>
          <w:szCs w:val="24"/>
        </w:rPr>
        <w:t>2017–18</w:t>
      </w:r>
      <w:r w:rsidR="00AA69B7">
        <w:rPr>
          <w:szCs w:val="24"/>
        </w:rPr>
        <w:t xml:space="preserve"> reporting period</w:t>
      </w:r>
      <w:r>
        <w:rPr>
          <w:szCs w:val="24"/>
        </w:rPr>
        <w:t>, t</w:t>
      </w:r>
      <w:r w:rsidR="00CB54C2" w:rsidRPr="00CB54C2">
        <w:rPr>
          <w:szCs w:val="24"/>
        </w:rPr>
        <w:t xml:space="preserve">he </w:t>
      </w:r>
      <w:r w:rsidR="00C72B02">
        <w:rPr>
          <w:szCs w:val="24"/>
        </w:rPr>
        <w:t>Board</w:t>
      </w:r>
      <w:r w:rsidR="00607B01">
        <w:rPr>
          <w:szCs w:val="24"/>
        </w:rPr>
        <w:t xml:space="preserve"> and the Treasury</w:t>
      </w:r>
      <w:r w:rsidR="00607B01" w:rsidRPr="00CB54C2">
        <w:rPr>
          <w:szCs w:val="24"/>
        </w:rPr>
        <w:t xml:space="preserve"> </w:t>
      </w:r>
      <w:r w:rsidR="00CB54C2" w:rsidRPr="00CB54C2">
        <w:rPr>
          <w:szCs w:val="24"/>
        </w:rPr>
        <w:t xml:space="preserve">continued to address risks to critical infrastructure in a comprehensive and proactive manner. </w:t>
      </w:r>
      <w:r w:rsidR="00607B01">
        <w:rPr>
          <w:szCs w:val="24"/>
        </w:rPr>
        <w:t xml:space="preserve">Treasury maintained a key role in the implementation of the newly established CIC and passage of the </w:t>
      </w:r>
      <w:r w:rsidR="00607B01" w:rsidRPr="007C513F">
        <w:rPr>
          <w:i/>
          <w:szCs w:val="24"/>
        </w:rPr>
        <w:t>Security of Critical Infrastructure Act</w:t>
      </w:r>
      <w:r w:rsidR="00D3065D">
        <w:rPr>
          <w:i/>
          <w:szCs w:val="24"/>
        </w:rPr>
        <w:t xml:space="preserve"> 2018</w:t>
      </w:r>
      <w:r w:rsidR="00607B01" w:rsidRPr="00962D70">
        <w:rPr>
          <w:szCs w:val="24"/>
        </w:rPr>
        <w:t xml:space="preserve"> (SOCI Act)</w:t>
      </w:r>
      <w:r w:rsidR="00607B01">
        <w:rPr>
          <w:szCs w:val="24"/>
        </w:rPr>
        <w:t>.</w:t>
      </w:r>
      <w:r w:rsidR="0016606D">
        <w:rPr>
          <w:rStyle w:val="FootnoteReference"/>
          <w:szCs w:val="24"/>
        </w:rPr>
        <w:footnoteReference w:id="7"/>
      </w:r>
    </w:p>
    <w:p w14:paraId="1C4DCA8F" w14:textId="24B47AE4" w:rsidR="00AB6D23" w:rsidRDefault="0016606D" w:rsidP="0098121D">
      <w:pPr>
        <w:pStyle w:val="Bullet"/>
        <w:numPr>
          <w:ilvl w:val="0"/>
          <w:numId w:val="0"/>
        </w:numPr>
      </w:pPr>
      <w:r>
        <w:t>The CIC</w:t>
      </w:r>
      <w:r w:rsidR="004C1F03">
        <w:t xml:space="preserve">, </w:t>
      </w:r>
      <w:r w:rsidR="00A35F76">
        <w:t xml:space="preserve">now </w:t>
      </w:r>
      <w:r w:rsidR="004C1F03">
        <w:t>within the Department of Home Affairs,</w:t>
      </w:r>
      <w:r w:rsidR="00AB6D23">
        <w:t xml:space="preserve"> was established in February 2017</w:t>
      </w:r>
      <w:r>
        <w:t xml:space="preserve"> </w:t>
      </w:r>
      <w:r w:rsidR="00AB6D23">
        <w:t>to support a more comprehensive approach to manage national security risks to critical infrastructure that can arise through foreign investment and supply chain arrangements. In the reporting period, Treasury participated in a range of stakeholder consultations on the role of the CIC</w:t>
      </w:r>
      <w:r w:rsidR="00066513">
        <w:t xml:space="preserve">, particularly with respect to the CIC’s role as a source of expert advice to the </w:t>
      </w:r>
      <w:r w:rsidR="00C72B02">
        <w:t>Board</w:t>
      </w:r>
      <w:r w:rsidR="00066513">
        <w:t xml:space="preserve"> and the Treasurer for foreign investment transactions,</w:t>
      </w:r>
      <w:r w:rsidR="00AB6D23">
        <w:t xml:space="preserve"> and the development of the SOCI Act.</w:t>
      </w:r>
    </w:p>
    <w:p w14:paraId="7F065C4B" w14:textId="321CBCB2" w:rsidR="004C1F03" w:rsidRDefault="00066513" w:rsidP="00AB6D23">
      <w:pPr>
        <w:pStyle w:val="Bullet"/>
        <w:numPr>
          <w:ilvl w:val="0"/>
          <w:numId w:val="0"/>
        </w:numPr>
        <w:rPr>
          <w:szCs w:val="24"/>
        </w:rPr>
      </w:pPr>
      <w:r>
        <w:rPr>
          <w:szCs w:val="24"/>
        </w:rPr>
        <w:t>The SOCI Act</w:t>
      </w:r>
      <w:r w:rsidR="004C1F03">
        <w:rPr>
          <w:szCs w:val="24"/>
        </w:rPr>
        <w:t xml:space="preserve"> came into force on 11 July</w:t>
      </w:r>
      <w:r w:rsidR="0084638E">
        <w:rPr>
          <w:szCs w:val="24"/>
        </w:rPr>
        <w:t xml:space="preserve"> 2018</w:t>
      </w:r>
      <w:r w:rsidR="004C1F03">
        <w:rPr>
          <w:szCs w:val="24"/>
        </w:rPr>
        <w:t xml:space="preserve">, and </w:t>
      </w:r>
      <w:r>
        <w:rPr>
          <w:szCs w:val="24"/>
        </w:rPr>
        <w:t>provides information-gathering powers</w:t>
      </w:r>
      <w:r w:rsidR="0084638E">
        <w:rPr>
          <w:szCs w:val="24"/>
        </w:rPr>
        <w:t xml:space="preserve"> to the CIC</w:t>
      </w:r>
      <w:r>
        <w:rPr>
          <w:szCs w:val="24"/>
        </w:rPr>
        <w:t>, a ministerial directions power, and establishes a register of critical infrastructure assets</w:t>
      </w:r>
      <w:r w:rsidR="004C1F03">
        <w:rPr>
          <w:szCs w:val="24"/>
        </w:rPr>
        <w:t xml:space="preserve"> in Australia’s highest risk sectors</w:t>
      </w:r>
      <w:r w:rsidR="0084638E">
        <w:rPr>
          <w:szCs w:val="24"/>
        </w:rPr>
        <w:t xml:space="preserve"> (</w:t>
      </w:r>
      <w:r w:rsidR="004C1F03">
        <w:rPr>
          <w:szCs w:val="24"/>
        </w:rPr>
        <w:t>water, ports, electricity and gas</w:t>
      </w:r>
      <w:r w:rsidR="0084638E">
        <w:rPr>
          <w:szCs w:val="24"/>
        </w:rPr>
        <w:t>)</w:t>
      </w:r>
      <w:r w:rsidR="004C1F03">
        <w:rPr>
          <w:szCs w:val="24"/>
        </w:rPr>
        <w:t>.</w:t>
      </w:r>
      <w:r w:rsidR="00E74866" w:rsidRPr="00E74866">
        <w:rPr>
          <w:szCs w:val="24"/>
        </w:rPr>
        <w:t xml:space="preserve"> </w:t>
      </w:r>
      <w:r w:rsidR="00E74866">
        <w:rPr>
          <w:szCs w:val="24"/>
        </w:rPr>
        <w:t>The SOCI Act applies to domestic and foreign owned assets.</w:t>
      </w:r>
    </w:p>
    <w:p w14:paraId="5CDAD51E" w14:textId="600B5900" w:rsidR="00E74866" w:rsidRDefault="004C1F03" w:rsidP="00E74866">
      <w:pPr>
        <w:pStyle w:val="Bullet"/>
        <w:numPr>
          <w:ilvl w:val="0"/>
          <w:numId w:val="0"/>
        </w:numPr>
      </w:pPr>
      <w:r w:rsidRPr="0016606D">
        <w:rPr>
          <w:szCs w:val="18"/>
        </w:rPr>
        <w:t xml:space="preserve">The </w:t>
      </w:r>
      <w:r w:rsidR="00E74866">
        <w:rPr>
          <w:szCs w:val="18"/>
        </w:rPr>
        <w:t xml:space="preserve">SOCI Act complements separate legislation that came into force on </w:t>
      </w:r>
      <w:r w:rsidR="00E74866" w:rsidRPr="0098121D">
        <w:rPr>
          <w:rStyle w:val="Emphasis"/>
          <w:rFonts w:cs="Segoe UI"/>
          <w:i w:val="0"/>
          <w:color w:val="auto"/>
          <w:szCs w:val="18"/>
        </w:rPr>
        <w:t>18 September 2018</w:t>
      </w:r>
      <w:r w:rsidR="00E74866">
        <w:rPr>
          <w:rStyle w:val="Emphasis"/>
          <w:rFonts w:cs="Segoe UI"/>
          <w:i w:val="0"/>
          <w:color w:val="auto"/>
          <w:szCs w:val="18"/>
        </w:rPr>
        <w:t xml:space="preserve"> to manage national security risks to the </w:t>
      </w:r>
      <w:r w:rsidRPr="0016606D">
        <w:rPr>
          <w:szCs w:val="18"/>
        </w:rPr>
        <w:t>telecommunications sector</w:t>
      </w:r>
      <w:r w:rsidR="00E74866">
        <w:rPr>
          <w:szCs w:val="18"/>
        </w:rPr>
        <w:t>, the highest risk critical infrastructure sector.</w:t>
      </w:r>
      <w:r w:rsidR="009C1D7A">
        <w:rPr>
          <w:rStyle w:val="FootnoteReference"/>
          <w:szCs w:val="24"/>
        </w:rPr>
        <w:footnoteReference w:id="8"/>
      </w:r>
      <w:r w:rsidR="00E74866">
        <w:rPr>
          <w:szCs w:val="18"/>
        </w:rPr>
        <w:t xml:space="preserve"> The SOCI Act, telecommunications sector security reform legislation and the foreign investment framework provide the </w:t>
      </w:r>
      <w:r w:rsidR="00011A7A">
        <w:rPr>
          <w:szCs w:val="18"/>
        </w:rPr>
        <w:t>G</w:t>
      </w:r>
      <w:r w:rsidR="00E74866">
        <w:rPr>
          <w:szCs w:val="18"/>
        </w:rPr>
        <w:t>overnment with a framework to manage national security risks that may arise from foreign involvement in Australia’s highest risk critical infrastructure sectors.</w:t>
      </w:r>
    </w:p>
    <w:p w14:paraId="3A64D817" w14:textId="3C5BAAC2" w:rsidR="00607B01" w:rsidRPr="00EC6E69" w:rsidRDefault="00AB6D23" w:rsidP="00EC6E69">
      <w:pPr>
        <w:pStyle w:val="Bullet"/>
        <w:numPr>
          <w:ilvl w:val="0"/>
          <w:numId w:val="0"/>
        </w:numPr>
      </w:pPr>
      <w:r>
        <w:t xml:space="preserve">Over time, the work of the CIC to identify and manage risks to critical infrastructure will provide a more proactive approach to manage </w:t>
      </w:r>
      <w:r w:rsidR="00E74866">
        <w:t>key</w:t>
      </w:r>
      <w:r>
        <w:t xml:space="preserve"> risks</w:t>
      </w:r>
      <w:r w:rsidR="00E74866">
        <w:t xml:space="preserve">, </w:t>
      </w:r>
      <w:r>
        <w:t>including</w:t>
      </w:r>
      <w:r w:rsidR="00E74866">
        <w:t xml:space="preserve"> </w:t>
      </w:r>
      <w:r w:rsidR="00EC6E69">
        <w:t xml:space="preserve">those that require management through any future </w:t>
      </w:r>
      <w:r w:rsidR="00C72B02">
        <w:t>foreign investment review</w:t>
      </w:r>
      <w:r w:rsidR="00EC6E69">
        <w:t xml:space="preserve"> process.</w:t>
      </w:r>
    </w:p>
    <w:p w14:paraId="02074092" w14:textId="08A1E4C4" w:rsidR="00CB54C2" w:rsidRPr="00115641" w:rsidRDefault="00CB54C2" w:rsidP="0015450A">
      <w:pPr>
        <w:pStyle w:val="Heading2"/>
      </w:pPr>
      <w:bookmarkStart w:id="360" w:name="_Toc532207330"/>
      <w:bookmarkStart w:id="361" w:name="_Toc532217718"/>
      <w:bookmarkStart w:id="362" w:name="_Toc532218739"/>
      <w:bookmarkStart w:id="363" w:name="_Toc532219051"/>
      <w:bookmarkStart w:id="364" w:name="_Toc532223735"/>
      <w:bookmarkStart w:id="365" w:name="_Toc532224194"/>
      <w:bookmarkStart w:id="366" w:name="_Toc532226673"/>
      <w:bookmarkStart w:id="367" w:name="_Toc536029375"/>
      <w:bookmarkStart w:id="368" w:name="_Toc1120397"/>
      <w:bookmarkStart w:id="369" w:name="_Toc1121968"/>
      <w:r w:rsidRPr="00115641">
        <w:t xml:space="preserve">The </w:t>
      </w:r>
      <w:r w:rsidR="00C72B02">
        <w:t>FIRB</w:t>
      </w:r>
      <w:r w:rsidRPr="00115641">
        <w:t xml:space="preserve"> </w:t>
      </w:r>
      <w:r w:rsidR="003A57EC">
        <w:t>A</w:t>
      </w:r>
      <w:r w:rsidR="003A57EC" w:rsidRPr="00115641">
        <w:t xml:space="preserve">pplication </w:t>
      </w:r>
      <w:bookmarkEnd w:id="341"/>
      <w:bookmarkEnd w:id="360"/>
      <w:bookmarkEnd w:id="361"/>
      <w:bookmarkEnd w:id="362"/>
      <w:bookmarkEnd w:id="363"/>
      <w:bookmarkEnd w:id="364"/>
      <w:bookmarkEnd w:id="365"/>
      <w:bookmarkEnd w:id="366"/>
      <w:bookmarkEnd w:id="367"/>
      <w:r w:rsidR="003A57EC">
        <w:t>P</w:t>
      </w:r>
      <w:r w:rsidR="003A57EC" w:rsidRPr="00115641">
        <w:t>ortal</w:t>
      </w:r>
      <w:bookmarkEnd w:id="368"/>
      <w:bookmarkEnd w:id="369"/>
    </w:p>
    <w:p w14:paraId="4B0C9874" w14:textId="46FC731F" w:rsidR="00CB54C2" w:rsidRDefault="00CB54C2" w:rsidP="00115641">
      <w:r w:rsidRPr="00CB54C2">
        <w:t xml:space="preserve">The </w:t>
      </w:r>
      <w:r w:rsidR="00DE27FA">
        <w:t xml:space="preserve">FIRB </w:t>
      </w:r>
      <w:r w:rsidR="003A57EC">
        <w:t>Application P</w:t>
      </w:r>
      <w:r w:rsidR="003A57EC" w:rsidRPr="00CB54C2">
        <w:t xml:space="preserve">ortal </w:t>
      </w:r>
      <w:r w:rsidRPr="00CB54C2">
        <w:t xml:space="preserve">is the </w:t>
      </w:r>
      <w:r w:rsidR="00DC77B8">
        <w:t xml:space="preserve">main </w:t>
      </w:r>
      <w:r w:rsidRPr="00CB54C2">
        <w:t>channel through which forei</w:t>
      </w:r>
      <w:r w:rsidR="005F609E">
        <w:t xml:space="preserve">gn investors apply to invest in </w:t>
      </w:r>
      <w:r w:rsidRPr="00CB54C2">
        <w:t>Australia. In</w:t>
      </w:r>
      <w:r w:rsidR="001C0B06">
        <w:t xml:space="preserve"> </w:t>
      </w:r>
      <w:r w:rsidRPr="00CB54C2">
        <w:t xml:space="preserve">2017–18, in response </w:t>
      </w:r>
      <w:r w:rsidR="00DE27FA">
        <w:t xml:space="preserve">to stakeholders’ feedback, the </w:t>
      </w:r>
      <w:r w:rsidR="003A57EC">
        <w:t>P</w:t>
      </w:r>
      <w:r w:rsidR="003A57EC" w:rsidRPr="00CB54C2">
        <w:t xml:space="preserve">ortal </w:t>
      </w:r>
      <w:r w:rsidRPr="00CB54C2">
        <w:t xml:space="preserve">was redesigned to deliver a more flexible, user-friendly </w:t>
      </w:r>
      <w:r w:rsidR="00C04B3D">
        <w:t>experience</w:t>
      </w:r>
      <w:r w:rsidRPr="00CB54C2">
        <w:t>. The redesign removed a number of barriers to make it easier for foreign investors to submit applications</w:t>
      </w:r>
      <w:r w:rsidR="00DE27FA">
        <w:t>. I</w:t>
      </w:r>
      <w:r w:rsidR="001B185A">
        <w:t>mprove</w:t>
      </w:r>
      <w:r w:rsidR="00DE27FA">
        <w:t>d</w:t>
      </w:r>
      <w:r w:rsidR="001B185A">
        <w:t xml:space="preserve"> functionality </w:t>
      </w:r>
      <w:r w:rsidR="00DE27FA">
        <w:t xml:space="preserve">was delivered </w:t>
      </w:r>
      <w:r w:rsidR="001B185A">
        <w:t>through an</w:t>
      </w:r>
      <w:r w:rsidRPr="00CB54C2">
        <w:t xml:space="preserve"> enhanced fee calculator, the ability to lodge one application for multiple notifiable actions, and the ability to lodge a variation </w:t>
      </w:r>
      <w:r w:rsidR="00D96008">
        <w:t xml:space="preserve">application </w:t>
      </w:r>
      <w:r w:rsidRPr="00CB54C2">
        <w:t xml:space="preserve">for an </w:t>
      </w:r>
      <w:r w:rsidR="00D96008">
        <w:t>earlier approval or exemption certificate</w:t>
      </w:r>
      <w:r w:rsidR="004435B6">
        <w:t>.</w:t>
      </w:r>
    </w:p>
    <w:p w14:paraId="7C09B9C2" w14:textId="73CAA075" w:rsidR="00AE2713" w:rsidRDefault="00A21430" w:rsidP="0015450A">
      <w:r w:rsidRPr="00CB54C2">
        <w:t>To support foreig</w:t>
      </w:r>
      <w:r w:rsidR="00DE27FA">
        <w:t xml:space="preserve">n investors’ transition to the </w:t>
      </w:r>
      <w:r w:rsidR="003A57EC">
        <w:t>P</w:t>
      </w:r>
      <w:r w:rsidR="003A57EC" w:rsidRPr="00CB54C2">
        <w:t>ortal</w:t>
      </w:r>
      <w:r w:rsidRPr="00CB54C2">
        <w:t xml:space="preserve">, a comprehensive communication strategy was </w:t>
      </w:r>
      <w:r>
        <w:t>implemented</w:t>
      </w:r>
      <w:r w:rsidRPr="00CB54C2">
        <w:t xml:space="preserve">. </w:t>
      </w:r>
      <w:r>
        <w:t>This</w:t>
      </w:r>
      <w:r w:rsidRPr="00CB54C2">
        <w:t xml:space="preserve"> ensured that foreign investors were not only aware of the system enhancements, but were given an opportunity to test their understanding of the system before it ‘went live’</w:t>
      </w:r>
      <w:r w:rsidR="009C1D7A">
        <w:t xml:space="preserve"> on 2 July 2018</w:t>
      </w:r>
      <w:r>
        <w:t xml:space="preserve"> and provide input into its development</w:t>
      </w:r>
      <w:r w:rsidR="0015450A">
        <w:t>.</w:t>
      </w:r>
      <w:r w:rsidR="00AE2713">
        <w:br w:type="page"/>
      </w:r>
    </w:p>
    <w:p w14:paraId="6E70E2BD" w14:textId="0EF6CE1B" w:rsidR="00EB536F" w:rsidRPr="00503AF6" w:rsidRDefault="00EB536F" w:rsidP="00503AF6">
      <w:pPr>
        <w:pStyle w:val="SingleParagraph"/>
        <w:spacing w:line="240" w:lineRule="auto"/>
        <w:rPr>
          <w:sz w:val="2"/>
          <w:szCs w:val="2"/>
        </w:rPr>
      </w:pPr>
    </w:p>
    <w:tbl>
      <w:tblPr>
        <w:tblW w:w="0" w:type="auto"/>
        <w:tblLook w:val="04A0" w:firstRow="1" w:lastRow="0" w:firstColumn="1" w:lastColumn="0" w:noHBand="0" w:noVBand="1"/>
      </w:tblPr>
      <w:tblGrid>
        <w:gridCol w:w="7927"/>
      </w:tblGrid>
      <w:tr w:rsidR="003004FA" w14:paraId="3AE68DAF" w14:textId="77777777" w:rsidTr="00E816D0">
        <w:tc>
          <w:tcPr>
            <w:tcW w:w="7927" w:type="dxa"/>
          </w:tcPr>
          <w:bookmarkStart w:id="370" w:name="_Toc532226628"/>
          <w:bookmarkStart w:id="371" w:name="_Toc532241684"/>
          <w:bookmarkStart w:id="372" w:name="_Toc1054870"/>
          <w:p w14:paraId="67587F29" w14:textId="0A01B6E4" w:rsidR="003004FA" w:rsidRPr="00573419" w:rsidRDefault="0038534B" w:rsidP="00573419">
            <w:pPr>
              <w:pStyle w:val="CaseStudyHeading"/>
            </w:pPr>
            <w:r w:rsidRPr="00503AF6">
              <w:rPr>
                <w:noProof/>
                <w:sz w:val="2"/>
                <w:szCs w:val="2"/>
              </w:rPr>
              <mc:AlternateContent>
                <mc:Choice Requires="wps">
                  <w:drawing>
                    <wp:anchor distT="0" distB="0" distL="114300" distR="114300" simplePos="0" relativeHeight="251658240" behindDoc="1" locked="0" layoutInCell="1" allowOverlap="1" wp14:anchorId="01411439" wp14:editId="13D13915">
                      <wp:simplePos x="0" y="0"/>
                      <wp:positionH relativeFrom="column">
                        <wp:posOffset>-61695</wp:posOffset>
                      </wp:positionH>
                      <wp:positionV relativeFrom="paragraph">
                        <wp:posOffset>7017</wp:posOffset>
                      </wp:positionV>
                      <wp:extent cx="5018405" cy="4620127"/>
                      <wp:effectExtent l="0" t="0" r="0" b="9525"/>
                      <wp:wrapNone/>
                      <wp:docPr id="292" name="Rounded Rectangle 292"/>
                      <wp:cNvGraphicFramePr/>
                      <a:graphic xmlns:a="http://schemas.openxmlformats.org/drawingml/2006/main">
                        <a:graphicData uri="http://schemas.microsoft.com/office/word/2010/wordprocessingShape">
                          <wps:wsp>
                            <wps:cNvSpPr/>
                            <wps:spPr>
                              <a:xfrm>
                                <a:off x="0" y="0"/>
                                <a:ext cx="5018405" cy="4620127"/>
                              </a:xfrm>
                              <a:custGeom>
                                <a:avLst/>
                                <a:gdLst>
                                  <a:gd name="connsiteX0" fmla="*/ 0 w 1345565"/>
                                  <a:gd name="connsiteY0" fmla="*/ 250141 h 1492250"/>
                                  <a:gd name="connsiteX1" fmla="*/ 250141 w 1345565"/>
                                  <a:gd name="connsiteY1" fmla="*/ 0 h 1492250"/>
                                  <a:gd name="connsiteX2" fmla="*/ 1095424 w 1345565"/>
                                  <a:gd name="connsiteY2" fmla="*/ 0 h 1492250"/>
                                  <a:gd name="connsiteX3" fmla="*/ 1345565 w 1345565"/>
                                  <a:gd name="connsiteY3" fmla="*/ 250141 h 1492250"/>
                                  <a:gd name="connsiteX4" fmla="*/ 1345565 w 1345565"/>
                                  <a:gd name="connsiteY4" fmla="*/ 1242109 h 1492250"/>
                                  <a:gd name="connsiteX5" fmla="*/ 1095424 w 1345565"/>
                                  <a:gd name="connsiteY5" fmla="*/ 1492250 h 1492250"/>
                                  <a:gd name="connsiteX6" fmla="*/ 250141 w 1345565"/>
                                  <a:gd name="connsiteY6" fmla="*/ 1492250 h 1492250"/>
                                  <a:gd name="connsiteX7" fmla="*/ 0 w 1345565"/>
                                  <a:gd name="connsiteY7" fmla="*/ 1242109 h 1492250"/>
                                  <a:gd name="connsiteX8" fmla="*/ 0 w 1345565"/>
                                  <a:gd name="connsiteY8" fmla="*/ 250141 h 1492250"/>
                                  <a:gd name="connsiteX0" fmla="*/ 0 w 1345565"/>
                                  <a:gd name="connsiteY0" fmla="*/ 250141 h 1553649"/>
                                  <a:gd name="connsiteX1" fmla="*/ 250141 w 1345565"/>
                                  <a:gd name="connsiteY1" fmla="*/ 0 h 1553649"/>
                                  <a:gd name="connsiteX2" fmla="*/ 1095424 w 1345565"/>
                                  <a:gd name="connsiteY2" fmla="*/ 0 h 1553649"/>
                                  <a:gd name="connsiteX3" fmla="*/ 1345565 w 1345565"/>
                                  <a:gd name="connsiteY3" fmla="*/ 250141 h 1553649"/>
                                  <a:gd name="connsiteX4" fmla="*/ 1345565 w 1345565"/>
                                  <a:gd name="connsiteY4" fmla="*/ 1242109 h 1553649"/>
                                  <a:gd name="connsiteX5" fmla="*/ 1095424 w 1345565"/>
                                  <a:gd name="connsiteY5" fmla="*/ 1492250 h 1553649"/>
                                  <a:gd name="connsiteX6" fmla="*/ 250141 w 1345565"/>
                                  <a:gd name="connsiteY6" fmla="*/ 1492250 h 1553649"/>
                                  <a:gd name="connsiteX7" fmla="*/ 0 w 1345565"/>
                                  <a:gd name="connsiteY7" fmla="*/ 1492250 h 1553649"/>
                                  <a:gd name="connsiteX8" fmla="*/ 0 w 1345565"/>
                                  <a:gd name="connsiteY8" fmla="*/ 250141 h 1553649"/>
                                  <a:gd name="connsiteX0" fmla="*/ 61399 w 1406964"/>
                                  <a:gd name="connsiteY0" fmla="*/ 250141 h 1553759"/>
                                  <a:gd name="connsiteX1" fmla="*/ 311540 w 1406964"/>
                                  <a:gd name="connsiteY1" fmla="*/ 0 h 1553759"/>
                                  <a:gd name="connsiteX2" fmla="*/ 1156823 w 1406964"/>
                                  <a:gd name="connsiteY2" fmla="*/ 0 h 1553759"/>
                                  <a:gd name="connsiteX3" fmla="*/ 1406964 w 1406964"/>
                                  <a:gd name="connsiteY3" fmla="*/ 250141 h 1553759"/>
                                  <a:gd name="connsiteX4" fmla="*/ 1406964 w 1406964"/>
                                  <a:gd name="connsiteY4" fmla="*/ 1242109 h 1553759"/>
                                  <a:gd name="connsiteX5" fmla="*/ 1156823 w 1406964"/>
                                  <a:gd name="connsiteY5" fmla="*/ 1492250 h 1553759"/>
                                  <a:gd name="connsiteX6" fmla="*/ 61399 w 1406964"/>
                                  <a:gd name="connsiteY6" fmla="*/ 1492672 h 1553759"/>
                                  <a:gd name="connsiteX7" fmla="*/ 61399 w 1406964"/>
                                  <a:gd name="connsiteY7" fmla="*/ 1492250 h 1553759"/>
                                  <a:gd name="connsiteX8" fmla="*/ 61399 w 1406964"/>
                                  <a:gd name="connsiteY8" fmla="*/ 250141 h 1553759"/>
                                  <a:gd name="connsiteX0" fmla="*/ 498 w 1346063"/>
                                  <a:gd name="connsiteY0" fmla="*/ 250141 h 1553216"/>
                                  <a:gd name="connsiteX1" fmla="*/ 250639 w 1346063"/>
                                  <a:gd name="connsiteY1" fmla="*/ 0 h 1553216"/>
                                  <a:gd name="connsiteX2" fmla="*/ 1095922 w 1346063"/>
                                  <a:gd name="connsiteY2" fmla="*/ 0 h 1553216"/>
                                  <a:gd name="connsiteX3" fmla="*/ 1346063 w 1346063"/>
                                  <a:gd name="connsiteY3" fmla="*/ 250141 h 1553216"/>
                                  <a:gd name="connsiteX4" fmla="*/ 1346063 w 1346063"/>
                                  <a:gd name="connsiteY4" fmla="*/ 1242109 h 1553216"/>
                                  <a:gd name="connsiteX5" fmla="*/ 1095922 w 1346063"/>
                                  <a:gd name="connsiteY5" fmla="*/ 1492250 h 1553216"/>
                                  <a:gd name="connsiteX6" fmla="*/ 498 w 1346063"/>
                                  <a:gd name="connsiteY6" fmla="*/ 1492672 h 1553216"/>
                                  <a:gd name="connsiteX7" fmla="*/ 498 w 1346063"/>
                                  <a:gd name="connsiteY7" fmla="*/ 1492250 h 1553216"/>
                                  <a:gd name="connsiteX8" fmla="*/ 498 w 1346063"/>
                                  <a:gd name="connsiteY8" fmla="*/ 250141 h 1553216"/>
                                  <a:gd name="connsiteX0" fmla="*/ 200 w 1345765"/>
                                  <a:gd name="connsiteY0" fmla="*/ 250141 h 1492672"/>
                                  <a:gd name="connsiteX1" fmla="*/ 250341 w 1345765"/>
                                  <a:gd name="connsiteY1" fmla="*/ 0 h 1492672"/>
                                  <a:gd name="connsiteX2" fmla="*/ 1095624 w 1345765"/>
                                  <a:gd name="connsiteY2" fmla="*/ 0 h 1492672"/>
                                  <a:gd name="connsiteX3" fmla="*/ 1345765 w 1345765"/>
                                  <a:gd name="connsiteY3" fmla="*/ 250141 h 1492672"/>
                                  <a:gd name="connsiteX4" fmla="*/ 1345765 w 1345765"/>
                                  <a:gd name="connsiteY4" fmla="*/ 1242109 h 1492672"/>
                                  <a:gd name="connsiteX5" fmla="*/ 1095624 w 1345765"/>
                                  <a:gd name="connsiteY5" fmla="*/ 1492250 h 1492672"/>
                                  <a:gd name="connsiteX6" fmla="*/ 200 w 1345765"/>
                                  <a:gd name="connsiteY6" fmla="*/ 1492672 h 1492672"/>
                                  <a:gd name="connsiteX7" fmla="*/ 200 w 1345765"/>
                                  <a:gd name="connsiteY7" fmla="*/ 1492250 h 1492672"/>
                                  <a:gd name="connsiteX8" fmla="*/ 200 w 1345765"/>
                                  <a:gd name="connsiteY8" fmla="*/ 250141 h 1492672"/>
                                  <a:gd name="connsiteX0" fmla="*/ 200 w 1407164"/>
                                  <a:gd name="connsiteY0" fmla="*/ 250141 h 1492672"/>
                                  <a:gd name="connsiteX1" fmla="*/ 250341 w 1407164"/>
                                  <a:gd name="connsiteY1" fmla="*/ 0 h 1492672"/>
                                  <a:gd name="connsiteX2" fmla="*/ 1095624 w 1407164"/>
                                  <a:gd name="connsiteY2" fmla="*/ 0 h 1492672"/>
                                  <a:gd name="connsiteX3" fmla="*/ 1345765 w 1407164"/>
                                  <a:gd name="connsiteY3" fmla="*/ 250141 h 1492672"/>
                                  <a:gd name="connsiteX4" fmla="*/ 1345765 w 1407164"/>
                                  <a:gd name="connsiteY4" fmla="*/ 1242109 h 1492672"/>
                                  <a:gd name="connsiteX5" fmla="*/ 1345765 w 1407164"/>
                                  <a:gd name="connsiteY5" fmla="*/ 1492672 h 1492672"/>
                                  <a:gd name="connsiteX6" fmla="*/ 200 w 1407164"/>
                                  <a:gd name="connsiteY6" fmla="*/ 1492672 h 1492672"/>
                                  <a:gd name="connsiteX7" fmla="*/ 200 w 1407164"/>
                                  <a:gd name="connsiteY7" fmla="*/ 1492250 h 1492672"/>
                                  <a:gd name="connsiteX8" fmla="*/ 200 w 1407164"/>
                                  <a:gd name="connsiteY8" fmla="*/ 250141 h 1492672"/>
                                  <a:gd name="connsiteX0" fmla="*/ 200 w 1407947"/>
                                  <a:gd name="connsiteY0" fmla="*/ 250141 h 1554071"/>
                                  <a:gd name="connsiteX1" fmla="*/ 250341 w 1407947"/>
                                  <a:gd name="connsiteY1" fmla="*/ 0 h 1554071"/>
                                  <a:gd name="connsiteX2" fmla="*/ 1095624 w 1407947"/>
                                  <a:gd name="connsiteY2" fmla="*/ 0 h 1554071"/>
                                  <a:gd name="connsiteX3" fmla="*/ 1345765 w 1407947"/>
                                  <a:gd name="connsiteY3" fmla="*/ 250141 h 1554071"/>
                                  <a:gd name="connsiteX4" fmla="*/ 1348747 w 1407947"/>
                                  <a:gd name="connsiteY4" fmla="*/ 1492672 h 1554071"/>
                                  <a:gd name="connsiteX5" fmla="*/ 1345765 w 1407947"/>
                                  <a:gd name="connsiteY5" fmla="*/ 1492672 h 1554071"/>
                                  <a:gd name="connsiteX6" fmla="*/ 200 w 1407947"/>
                                  <a:gd name="connsiteY6" fmla="*/ 1492672 h 1554071"/>
                                  <a:gd name="connsiteX7" fmla="*/ 200 w 1407947"/>
                                  <a:gd name="connsiteY7" fmla="*/ 1492250 h 1554071"/>
                                  <a:gd name="connsiteX8" fmla="*/ 200 w 1407947"/>
                                  <a:gd name="connsiteY8" fmla="*/ 250141 h 1554071"/>
                                  <a:gd name="connsiteX0" fmla="*/ 200 w 1406648"/>
                                  <a:gd name="connsiteY0" fmla="*/ 250141 h 1493274"/>
                                  <a:gd name="connsiteX1" fmla="*/ 250341 w 1406648"/>
                                  <a:gd name="connsiteY1" fmla="*/ 0 h 1493274"/>
                                  <a:gd name="connsiteX2" fmla="*/ 1095624 w 1406648"/>
                                  <a:gd name="connsiteY2" fmla="*/ 0 h 1493274"/>
                                  <a:gd name="connsiteX3" fmla="*/ 1345765 w 1406648"/>
                                  <a:gd name="connsiteY3" fmla="*/ 250141 h 1493274"/>
                                  <a:gd name="connsiteX4" fmla="*/ 1348747 w 1406648"/>
                                  <a:gd name="connsiteY4" fmla="*/ 1492672 h 1493274"/>
                                  <a:gd name="connsiteX5" fmla="*/ 1345765 w 1406648"/>
                                  <a:gd name="connsiteY5" fmla="*/ 1492672 h 1493274"/>
                                  <a:gd name="connsiteX6" fmla="*/ 200 w 1406648"/>
                                  <a:gd name="connsiteY6" fmla="*/ 1492672 h 1493274"/>
                                  <a:gd name="connsiteX7" fmla="*/ 200 w 1406648"/>
                                  <a:gd name="connsiteY7" fmla="*/ 1492250 h 1493274"/>
                                  <a:gd name="connsiteX8" fmla="*/ 200 w 1406648"/>
                                  <a:gd name="connsiteY8" fmla="*/ 250141 h 1493274"/>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0 w 1348747"/>
                                  <a:gd name="connsiteY0" fmla="*/ 165456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65456 h 1493370"/>
                                  <a:gd name="connsiteX0" fmla="*/ 0 w 1348747"/>
                                  <a:gd name="connsiteY0" fmla="*/ 191920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8747" h="1493370">
                                    <a:moveTo>
                                      <a:pt x="0" y="215738"/>
                                    </a:moveTo>
                                    <a:cubicBezTo>
                                      <a:pt x="884" y="74304"/>
                                      <a:pt x="65900" y="0"/>
                                      <a:pt x="156313" y="0"/>
                                    </a:cubicBezTo>
                                    <a:lnTo>
                                      <a:pt x="1235646" y="0"/>
                                    </a:lnTo>
                                    <a:cubicBezTo>
                                      <a:pt x="1348454" y="146475"/>
                                      <a:pt x="1235598" y="-1093"/>
                                      <a:pt x="1348747" y="146597"/>
                                    </a:cubicBezTo>
                                    <a:lnTo>
                                      <a:pt x="1348747" y="1492672"/>
                                    </a:lnTo>
                                    <a:cubicBezTo>
                                      <a:pt x="1342935" y="1494027"/>
                                      <a:pt x="1344042" y="1493061"/>
                                      <a:pt x="1345765" y="1492672"/>
                                    </a:cubicBezTo>
                                    <a:lnTo>
                                      <a:pt x="200" y="1492672"/>
                                    </a:lnTo>
                                    <a:cubicBezTo>
                                      <a:pt x="-919" y="1490220"/>
                                      <a:pt x="3179" y="1493394"/>
                                      <a:pt x="200" y="1492250"/>
                                    </a:cubicBezTo>
                                    <a:cubicBezTo>
                                      <a:pt x="133" y="1049985"/>
                                      <a:pt x="67" y="658003"/>
                                      <a:pt x="0" y="215738"/>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le 292" o:spid="_x0000_s1026" style="position:absolute;margin-left:-4.85pt;margin-top:.55pt;width:395.15pt;height:36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7,14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" path="m,215738c884,74304,65900,,156313,l1235646,v112808,146475,-48,-1093,113101,146597l1348747,1492672v-5812,1355,-4705,389,-2982,l200,1492672v-1119,-2452,2979,722,,-422c133,1049985,67,658003,,215738xe" fillcolor="#a32035 [3204]" stroked="f" strokeweight="2pt">
                      <v:path arrowok="t" o:connecttype="custom" o:connectlocs="0,667441;581608,0;4597580,0;5018405,453536;5018405,4617968;5007310,4617968;744,4617968;744,4616662;0,667441" o:connectangles="0,0,0,0,0,0,0,0,0"/>
                    </v:shape>
                  </w:pict>
                </mc:Fallback>
              </mc:AlternateContent>
            </w:r>
            <w:r w:rsidR="003004FA" w:rsidRPr="00573419">
              <w:t>The Chinese investment in Australia (CHIIA) database</w:t>
            </w:r>
            <w:bookmarkEnd w:id="370"/>
            <w:bookmarkEnd w:id="371"/>
            <w:bookmarkEnd w:id="372"/>
          </w:p>
          <w:p w14:paraId="491329D3" w14:textId="2FEDFC5B" w:rsidR="003004FA" w:rsidRPr="000030F3" w:rsidRDefault="003004FA">
            <w:pPr>
              <w:pStyle w:val="CaseStudyText"/>
            </w:pPr>
            <w:r w:rsidRPr="000030F3">
              <w:t>The CHIIA database</w:t>
            </w:r>
            <w:r w:rsidR="00A35F76">
              <w:t>, a database maintained by the Australian National University,</w:t>
            </w:r>
            <w:r w:rsidRPr="000030F3">
              <w:t xml:space="preserve"> collects information on mainland Chinese direct comme</w:t>
            </w:r>
            <w:r w:rsidR="00373A4C">
              <w:t>rcial investment in Australia and</w:t>
            </w:r>
            <w:r w:rsidRPr="000030F3">
              <w:t xml:space="preserve"> covers foreign direct investment in Australia that is undertaken, controlled or effectively controlled by mainland Chinese investors</w:t>
            </w:r>
            <w:r w:rsidR="00F81765">
              <w:t>.</w:t>
            </w:r>
            <w:r w:rsidR="00373A4C">
              <w:rPr>
                <w:rStyle w:val="FootnoteReference"/>
              </w:rPr>
              <w:footnoteReference w:id="9"/>
            </w:r>
            <w:r w:rsidRPr="000030F3">
              <w:t xml:space="preserve"> It includes individual commercial transactions of all sizes by the date the investment is completed rather than when it is proposed or an agreement is entered into.</w:t>
            </w:r>
          </w:p>
          <w:p w14:paraId="7F386CFF" w14:textId="77777777" w:rsidR="003004FA" w:rsidRPr="000030F3" w:rsidRDefault="003004FA">
            <w:pPr>
              <w:pStyle w:val="CaseStudyText"/>
            </w:pPr>
            <w:r w:rsidRPr="000030F3">
              <w:t>CHIIA contains data based on ultimate control or beneficial ownership rather than data on the country the money came from before entering Australia. This is important as the immediate source of the investment does not necessarily reflect ultimate control or ownership of the investment.</w:t>
            </w:r>
          </w:p>
          <w:p w14:paraId="32BA81AD" w14:textId="77777777" w:rsidR="003004FA" w:rsidRPr="000030F3" w:rsidRDefault="003004FA">
            <w:pPr>
              <w:pStyle w:val="CaseStudyText"/>
            </w:pPr>
            <w:r w:rsidRPr="000030F3">
              <w:t>Some key findings from the CHIIA database include the following:</w:t>
            </w:r>
          </w:p>
          <w:p w14:paraId="380D9A3F" w14:textId="089A176C" w:rsidR="003004FA" w:rsidRPr="00ED0050" w:rsidRDefault="003004FA">
            <w:pPr>
              <w:pStyle w:val="CaseStudyBullet"/>
            </w:pPr>
            <w:r>
              <w:t>Mainland C</w:t>
            </w:r>
            <w:r w:rsidRPr="00ED0050">
              <w:t xml:space="preserve">hinese investment is concentrated in particular sectors. For instance, mining accounted for a quarter of the total Chinese investment </w:t>
            </w:r>
            <w:r>
              <w:t>in the</w:t>
            </w:r>
            <w:r w:rsidR="0038534B">
              <w:br/>
            </w:r>
            <w:r>
              <w:t>four year period 2014 to 2017</w:t>
            </w:r>
            <w:r w:rsidRPr="00ED0050">
              <w:t>.</w:t>
            </w:r>
          </w:p>
          <w:p w14:paraId="7CE338E7" w14:textId="58CC2914" w:rsidR="003004FA" w:rsidRDefault="003004FA">
            <w:pPr>
              <w:pStyle w:val="CaseStudyBullet"/>
            </w:pPr>
            <w:r>
              <w:t>M</w:t>
            </w:r>
            <w:r w:rsidRPr="00ED0050">
              <w:t>ining</w:t>
            </w:r>
            <w:r w:rsidR="002A733A">
              <w:t>,</w:t>
            </w:r>
            <w:r>
              <w:t xml:space="preserve"> and</w:t>
            </w:r>
            <w:r w:rsidRPr="00ED0050">
              <w:t xml:space="preserve"> </w:t>
            </w:r>
            <w:r>
              <w:t xml:space="preserve">rental, hiring and </w:t>
            </w:r>
            <w:r w:rsidRPr="00ED0050">
              <w:t>real estate</w:t>
            </w:r>
            <w:r>
              <w:t xml:space="preserve"> services, and transport, postal and warehousing are the three sectors which received the largest share of</w:t>
            </w:r>
            <w:r w:rsidR="0015450A">
              <w:t xml:space="preserve"> Chinese investment during 2014</w:t>
            </w:r>
            <w:r w:rsidR="00EB7CF5">
              <w:t xml:space="preserve"> to </w:t>
            </w:r>
            <w:r>
              <w:t>2017.</w:t>
            </w:r>
          </w:p>
          <w:p w14:paraId="340AE3D7" w14:textId="5C142A1F" w:rsidR="003004FA" w:rsidRPr="00ED0050" w:rsidRDefault="003004FA">
            <w:pPr>
              <w:pStyle w:val="CaseStudyBullet"/>
            </w:pPr>
            <w:r>
              <w:t>There is considerable variability of investment by sector</w:t>
            </w:r>
            <w:r w:rsidR="003E44CC">
              <w:t>. F</w:t>
            </w:r>
            <w:r>
              <w:t xml:space="preserve">or example, the transport, postal and warehousing sector was in the top </w:t>
            </w:r>
            <w:r w:rsidR="00F44749">
              <w:t>three</w:t>
            </w:r>
            <w:r>
              <w:t xml:space="preserve"> </w:t>
            </w:r>
            <w:r w:rsidR="00EB7CF5">
              <w:t xml:space="preserve">sectors </w:t>
            </w:r>
            <w:r>
              <w:t>for each year, except for 2017 when there was no investment in that sector.</w:t>
            </w:r>
          </w:p>
          <w:p w14:paraId="0CABEE6D" w14:textId="4786A87D" w:rsidR="003004FA" w:rsidRDefault="003004FA" w:rsidP="00E816D0">
            <w:pPr>
              <w:pStyle w:val="CaseStudyBullet"/>
            </w:pPr>
            <w:r>
              <w:t xml:space="preserve">Over the </w:t>
            </w:r>
            <w:r w:rsidR="00EB7CF5">
              <w:t xml:space="preserve">four year </w:t>
            </w:r>
            <w:r>
              <w:t>period l</w:t>
            </w:r>
            <w:r w:rsidRPr="00ED0050">
              <w:t xml:space="preserve">ess than </w:t>
            </w:r>
            <w:r>
              <w:t>20 per cent</w:t>
            </w:r>
            <w:r w:rsidRPr="00ED0050">
              <w:t xml:space="preserve"> of transactions involved state-owned investors.</w:t>
            </w:r>
            <w:r>
              <w:t xml:space="preserve"> However, by value of investment they accounted for around</w:t>
            </w:r>
            <w:r w:rsidR="00F44749">
              <w:t xml:space="preserve"> </w:t>
            </w:r>
            <w:r w:rsidR="002A733A">
              <w:t>47 per </w:t>
            </w:r>
            <w:r>
              <w:t>cent</w:t>
            </w:r>
            <w:r w:rsidR="00EB7CF5">
              <w:t xml:space="preserve"> of all investment over the period</w:t>
            </w:r>
            <w:r>
              <w:t>.</w:t>
            </w:r>
          </w:p>
        </w:tc>
      </w:tr>
    </w:tbl>
    <w:p w14:paraId="0A78DA2C" w14:textId="77777777" w:rsidR="00503AF6" w:rsidRDefault="00503AF6">
      <w:pPr>
        <w:spacing w:after="200" w:line="276" w:lineRule="auto"/>
        <w:jc w:val="left"/>
      </w:pPr>
      <w:r>
        <w:br w:type="page"/>
      </w:r>
    </w:p>
    <w:tbl>
      <w:tblPr>
        <w:tblW w:w="0" w:type="auto"/>
        <w:tblLook w:val="04A0" w:firstRow="1" w:lastRow="0" w:firstColumn="1" w:lastColumn="0" w:noHBand="0" w:noVBand="1"/>
      </w:tblPr>
      <w:tblGrid>
        <w:gridCol w:w="7927"/>
      </w:tblGrid>
      <w:tr w:rsidR="00503AF6" w14:paraId="2CEB403C" w14:textId="77777777" w:rsidTr="00503AF6">
        <w:tc>
          <w:tcPr>
            <w:tcW w:w="7927" w:type="dxa"/>
          </w:tcPr>
          <w:bookmarkStart w:id="373" w:name="_Toc1054871"/>
          <w:p w14:paraId="30EFA25E" w14:textId="4AD3582A" w:rsidR="00503AF6" w:rsidRPr="00F654D7" w:rsidRDefault="00503AF6" w:rsidP="00503AF6">
            <w:pPr>
              <w:pStyle w:val="CaseStudyHeading"/>
            </w:pPr>
            <w:r w:rsidRPr="00503AF6">
              <w:rPr>
                <w:noProof/>
                <w:sz w:val="2"/>
                <w:szCs w:val="2"/>
              </w:rPr>
              <mc:AlternateContent>
                <mc:Choice Requires="wps">
                  <w:drawing>
                    <wp:anchor distT="0" distB="0" distL="114300" distR="114300" simplePos="0" relativeHeight="251658249" behindDoc="1" locked="0" layoutInCell="1" allowOverlap="1" wp14:anchorId="60BF7413" wp14:editId="237B1D3B">
                      <wp:simplePos x="0" y="0"/>
                      <wp:positionH relativeFrom="column">
                        <wp:posOffset>-72773</wp:posOffset>
                      </wp:positionH>
                      <wp:positionV relativeFrom="paragraph">
                        <wp:posOffset>-4529</wp:posOffset>
                      </wp:positionV>
                      <wp:extent cx="5018438" cy="5046453"/>
                      <wp:effectExtent l="0" t="0" r="0" b="1905"/>
                      <wp:wrapNone/>
                      <wp:docPr id="7" name="Rounded Rectangle 292"/>
                      <wp:cNvGraphicFramePr/>
                      <a:graphic xmlns:a="http://schemas.openxmlformats.org/drawingml/2006/main">
                        <a:graphicData uri="http://schemas.microsoft.com/office/word/2010/wordprocessingShape">
                          <wps:wsp>
                            <wps:cNvSpPr/>
                            <wps:spPr>
                              <a:xfrm>
                                <a:off x="0" y="0"/>
                                <a:ext cx="5018438" cy="5046453"/>
                              </a:xfrm>
                              <a:custGeom>
                                <a:avLst/>
                                <a:gdLst>
                                  <a:gd name="connsiteX0" fmla="*/ 0 w 1345565"/>
                                  <a:gd name="connsiteY0" fmla="*/ 250141 h 1492250"/>
                                  <a:gd name="connsiteX1" fmla="*/ 250141 w 1345565"/>
                                  <a:gd name="connsiteY1" fmla="*/ 0 h 1492250"/>
                                  <a:gd name="connsiteX2" fmla="*/ 1095424 w 1345565"/>
                                  <a:gd name="connsiteY2" fmla="*/ 0 h 1492250"/>
                                  <a:gd name="connsiteX3" fmla="*/ 1345565 w 1345565"/>
                                  <a:gd name="connsiteY3" fmla="*/ 250141 h 1492250"/>
                                  <a:gd name="connsiteX4" fmla="*/ 1345565 w 1345565"/>
                                  <a:gd name="connsiteY4" fmla="*/ 1242109 h 1492250"/>
                                  <a:gd name="connsiteX5" fmla="*/ 1095424 w 1345565"/>
                                  <a:gd name="connsiteY5" fmla="*/ 1492250 h 1492250"/>
                                  <a:gd name="connsiteX6" fmla="*/ 250141 w 1345565"/>
                                  <a:gd name="connsiteY6" fmla="*/ 1492250 h 1492250"/>
                                  <a:gd name="connsiteX7" fmla="*/ 0 w 1345565"/>
                                  <a:gd name="connsiteY7" fmla="*/ 1242109 h 1492250"/>
                                  <a:gd name="connsiteX8" fmla="*/ 0 w 1345565"/>
                                  <a:gd name="connsiteY8" fmla="*/ 250141 h 1492250"/>
                                  <a:gd name="connsiteX0" fmla="*/ 0 w 1345565"/>
                                  <a:gd name="connsiteY0" fmla="*/ 250141 h 1553649"/>
                                  <a:gd name="connsiteX1" fmla="*/ 250141 w 1345565"/>
                                  <a:gd name="connsiteY1" fmla="*/ 0 h 1553649"/>
                                  <a:gd name="connsiteX2" fmla="*/ 1095424 w 1345565"/>
                                  <a:gd name="connsiteY2" fmla="*/ 0 h 1553649"/>
                                  <a:gd name="connsiteX3" fmla="*/ 1345565 w 1345565"/>
                                  <a:gd name="connsiteY3" fmla="*/ 250141 h 1553649"/>
                                  <a:gd name="connsiteX4" fmla="*/ 1345565 w 1345565"/>
                                  <a:gd name="connsiteY4" fmla="*/ 1242109 h 1553649"/>
                                  <a:gd name="connsiteX5" fmla="*/ 1095424 w 1345565"/>
                                  <a:gd name="connsiteY5" fmla="*/ 1492250 h 1553649"/>
                                  <a:gd name="connsiteX6" fmla="*/ 250141 w 1345565"/>
                                  <a:gd name="connsiteY6" fmla="*/ 1492250 h 1553649"/>
                                  <a:gd name="connsiteX7" fmla="*/ 0 w 1345565"/>
                                  <a:gd name="connsiteY7" fmla="*/ 1492250 h 1553649"/>
                                  <a:gd name="connsiteX8" fmla="*/ 0 w 1345565"/>
                                  <a:gd name="connsiteY8" fmla="*/ 250141 h 1553649"/>
                                  <a:gd name="connsiteX0" fmla="*/ 61399 w 1406964"/>
                                  <a:gd name="connsiteY0" fmla="*/ 250141 h 1553759"/>
                                  <a:gd name="connsiteX1" fmla="*/ 311540 w 1406964"/>
                                  <a:gd name="connsiteY1" fmla="*/ 0 h 1553759"/>
                                  <a:gd name="connsiteX2" fmla="*/ 1156823 w 1406964"/>
                                  <a:gd name="connsiteY2" fmla="*/ 0 h 1553759"/>
                                  <a:gd name="connsiteX3" fmla="*/ 1406964 w 1406964"/>
                                  <a:gd name="connsiteY3" fmla="*/ 250141 h 1553759"/>
                                  <a:gd name="connsiteX4" fmla="*/ 1406964 w 1406964"/>
                                  <a:gd name="connsiteY4" fmla="*/ 1242109 h 1553759"/>
                                  <a:gd name="connsiteX5" fmla="*/ 1156823 w 1406964"/>
                                  <a:gd name="connsiteY5" fmla="*/ 1492250 h 1553759"/>
                                  <a:gd name="connsiteX6" fmla="*/ 61399 w 1406964"/>
                                  <a:gd name="connsiteY6" fmla="*/ 1492672 h 1553759"/>
                                  <a:gd name="connsiteX7" fmla="*/ 61399 w 1406964"/>
                                  <a:gd name="connsiteY7" fmla="*/ 1492250 h 1553759"/>
                                  <a:gd name="connsiteX8" fmla="*/ 61399 w 1406964"/>
                                  <a:gd name="connsiteY8" fmla="*/ 250141 h 1553759"/>
                                  <a:gd name="connsiteX0" fmla="*/ 498 w 1346063"/>
                                  <a:gd name="connsiteY0" fmla="*/ 250141 h 1553216"/>
                                  <a:gd name="connsiteX1" fmla="*/ 250639 w 1346063"/>
                                  <a:gd name="connsiteY1" fmla="*/ 0 h 1553216"/>
                                  <a:gd name="connsiteX2" fmla="*/ 1095922 w 1346063"/>
                                  <a:gd name="connsiteY2" fmla="*/ 0 h 1553216"/>
                                  <a:gd name="connsiteX3" fmla="*/ 1346063 w 1346063"/>
                                  <a:gd name="connsiteY3" fmla="*/ 250141 h 1553216"/>
                                  <a:gd name="connsiteX4" fmla="*/ 1346063 w 1346063"/>
                                  <a:gd name="connsiteY4" fmla="*/ 1242109 h 1553216"/>
                                  <a:gd name="connsiteX5" fmla="*/ 1095922 w 1346063"/>
                                  <a:gd name="connsiteY5" fmla="*/ 1492250 h 1553216"/>
                                  <a:gd name="connsiteX6" fmla="*/ 498 w 1346063"/>
                                  <a:gd name="connsiteY6" fmla="*/ 1492672 h 1553216"/>
                                  <a:gd name="connsiteX7" fmla="*/ 498 w 1346063"/>
                                  <a:gd name="connsiteY7" fmla="*/ 1492250 h 1553216"/>
                                  <a:gd name="connsiteX8" fmla="*/ 498 w 1346063"/>
                                  <a:gd name="connsiteY8" fmla="*/ 250141 h 1553216"/>
                                  <a:gd name="connsiteX0" fmla="*/ 200 w 1345765"/>
                                  <a:gd name="connsiteY0" fmla="*/ 250141 h 1492672"/>
                                  <a:gd name="connsiteX1" fmla="*/ 250341 w 1345765"/>
                                  <a:gd name="connsiteY1" fmla="*/ 0 h 1492672"/>
                                  <a:gd name="connsiteX2" fmla="*/ 1095624 w 1345765"/>
                                  <a:gd name="connsiteY2" fmla="*/ 0 h 1492672"/>
                                  <a:gd name="connsiteX3" fmla="*/ 1345765 w 1345765"/>
                                  <a:gd name="connsiteY3" fmla="*/ 250141 h 1492672"/>
                                  <a:gd name="connsiteX4" fmla="*/ 1345765 w 1345765"/>
                                  <a:gd name="connsiteY4" fmla="*/ 1242109 h 1492672"/>
                                  <a:gd name="connsiteX5" fmla="*/ 1095624 w 1345765"/>
                                  <a:gd name="connsiteY5" fmla="*/ 1492250 h 1492672"/>
                                  <a:gd name="connsiteX6" fmla="*/ 200 w 1345765"/>
                                  <a:gd name="connsiteY6" fmla="*/ 1492672 h 1492672"/>
                                  <a:gd name="connsiteX7" fmla="*/ 200 w 1345765"/>
                                  <a:gd name="connsiteY7" fmla="*/ 1492250 h 1492672"/>
                                  <a:gd name="connsiteX8" fmla="*/ 200 w 1345765"/>
                                  <a:gd name="connsiteY8" fmla="*/ 250141 h 1492672"/>
                                  <a:gd name="connsiteX0" fmla="*/ 200 w 1407164"/>
                                  <a:gd name="connsiteY0" fmla="*/ 250141 h 1492672"/>
                                  <a:gd name="connsiteX1" fmla="*/ 250341 w 1407164"/>
                                  <a:gd name="connsiteY1" fmla="*/ 0 h 1492672"/>
                                  <a:gd name="connsiteX2" fmla="*/ 1095624 w 1407164"/>
                                  <a:gd name="connsiteY2" fmla="*/ 0 h 1492672"/>
                                  <a:gd name="connsiteX3" fmla="*/ 1345765 w 1407164"/>
                                  <a:gd name="connsiteY3" fmla="*/ 250141 h 1492672"/>
                                  <a:gd name="connsiteX4" fmla="*/ 1345765 w 1407164"/>
                                  <a:gd name="connsiteY4" fmla="*/ 1242109 h 1492672"/>
                                  <a:gd name="connsiteX5" fmla="*/ 1345765 w 1407164"/>
                                  <a:gd name="connsiteY5" fmla="*/ 1492672 h 1492672"/>
                                  <a:gd name="connsiteX6" fmla="*/ 200 w 1407164"/>
                                  <a:gd name="connsiteY6" fmla="*/ 1492672 h 1492672"/>
                                  <a:gd name="connsiteX7" fmla="*/ 200 w 1407164"/>
                                  <a:gd name="connsiteY7" fmla="*/ 1492250 h 1492672"/>
                                  <a:gd name="connsiteX8" fmla="*/ 200 w 1407164"/>
                                  <a:gd name="connsiteY8" fmla="*/ 250141 h 1492672"/>
                                  <a:gd name="connsiteX0" fmla="*/ 200 w 1407947"/>
                                  <a:gd name="connsiteY0" fmla="*/ 250141 h 1554071"/>
                                  <a:gd name="connsiteX1" fmla="*/ 250341 w 1407947"/>
                                  <a:gd name="connsiteY1" fmla="*/ 0 h 1554071"/>
                                  <a:gd name="connsiteX2" fmla="*/ 1095624 w 1407947"/>
                                  <a:gd name="connsiteY2" fmla="*/ 0 h 1554071"/>
                                  <a:gd name="connsiteX3" fmla="*/ 1345765 w 1407947"/>
                                  <a:gd name="connsiteY3" fmla="*/ 250141 h 1554071"/>
                                  <a:gd name="connsiteX4" fmla="*/ 1348747 w 1407947"/>
                                  <a:gd name="connsiteY4" fmla="*/ 1492672 h 1554071"/>
                                  <a:gd name="connsiteX5" fmla="*/ 1345765 w 1407947"/>
                                  <a:gd name="connsiteY5" fmla="*/ 1492672 h 1554071"/>
                                  <a:gd name="connsiteX6" fmla="*/ 200 w 1407947"/>
                                  <a:gd name="connsiteY6" fmla="*/ 1492672 h 1554071"/>
                                  <a:gd name="connsiteX7" fmla="*/ 200 w 1407947"/>
                                  <a:gd name="connsiteY7" fmla="*/ 1492250 h 1554071"/>
                                  <a:gd name="connsiteX8" fmla="*/ 200 w 1407947"/>
                                  <a:gd name="connsiteY8" fmla="*/ 250141 h 1554071"/>
                                  <a:gd name="connsiteX0" fmla="*/ 200 w 1406648"/>
                                  <a:gd name="connsiteY0" fmla="*/ 250141 h 1493274"/>
                                  <a:gd name="connsiteX1" fmla="*/ 250341 w 1406648"/>
                                  <a:gd name="connsiteY1" fmla="*/ 0 h 1493274"/>
                                  <a:gd name="connsiteX2" fmla="*/ 1095624 w 1406648"/>
                                  <a:gd name="connsiteY2" fmla="*/ 0 h 1493274"/>
                                  <a:gd name="connsiteX3" fmla="*/ 1345765 w 1406648"/>
                                  <a:gd name="connsiteY3" fmla="*/ 250141 h 1493274"/>
                                  <a:gd name="connsiteX4" fmla="*/ 1348747 w 1406648"/>
                                  <a:gd name="connsiteY4" fmla="*/ 1492672 h 1493274"/>
                                  <a:gd name="connsiteX5" fmla="*/ 1345765 w 1406648"/>
                                  <a:gd name="connsiteY5" fmla="*/ 1492672 h 1493274"/>
                                  <a:gd name="connsiteX6" fmla="*/ 200 w 1406648"/>
                                  <a:gd name="connsiteY6" fmla="*/ 1492672 h 1493274"/>
                                  <a:gd name="connsiteX7" fmla="*/ 200 w 1406648"/>
                                  <a:gd name="connsiteY7" fmla="*/ 1492250 h 1493274"/>
                                  <a:gd name="connsiteX8" fmla="*/ 200 w 1406648"/>
                                  <a:gd name="connsiteY8" fmla="*/ 250141 h 1493274"/>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0 w 1348747"/>
                                  <a:gd name="connsiteY0" fmla="*/ 165456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65456 h 1493370"/>
                                  <a:gd name="connsiteX0" fmla="*/ 0 w 1348747"/>
                                  <a:gd name="connsiteY0" fmla="*/ 191920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0 w 1348747"/>
                                  <a:gd name="connsiteY8" fmla="*/ 119398 h 1494831"/>
                                  <a:gd name="connsiteX0" fmla="*/ 0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0 w 1348747"/>
                                  <a:gd name="connsiteY8" fmla="*/ 119398 h 1494831"/>
                                  <a:gd name="connsiteX0" fmla="*/ 23507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23507 w 1348747"/>
                                  <a:gd name="connsiteY8" fmla="*/ 119398 h 1494831"/>
                                  <a:gd name="connsiteX0" fmla="*/ 0 w 1348747"/>
                                  <a:gd name="connsiteY0" fmla="*/ 117360 h 1495238"/>
                                  <a:gd name="connsiteX1" fmla="*/ 156313 w 1348747"/>
                                  <a:gd name="connsiteY1" fmla="*/ 1868 h 1495238"/>
                                  <a:gd name="connsiteX2" fmla="*/ 1235646 w 1348747"/>
                                  <a:gd name="connsiteY2" fmla="*/ 1868 h 1495238"/>
                                  <a:gd name="connsiteX3" fmla="*/ 1348747 w 1348747"/>
                                  <a:gd name="connsiteY3" fmla="*/ 119665 h 1495238"/>
                                  <a:gd name="connsiteX4" fmla="*/ 1348747 w 1348747"/>
                                  <a:gd name="connsiteY4" fmla="*/ 1494540 h 1495238"/>
                                  <a:gd name="connsiteX5" fmla="*/ 1345765 w 1348747"/>
                                  <a:gd name="connsiteY5" fmla="*/ 1494540 h 1495238"/>
                                  <a:gd name="connsiteX6" fmla="*/ 200 w 1348747"/>
                                  <a:gd name="connsiteY6" fmla="*/ 1494540 h 1495238"/>
                                  <a:gd name="connsiteX7" fmla="*/ 200 w 1348747"/>
                                  <a:gd name="connsiteY7" fmla="*/ 1494118 h 1495238"/>
                                  <a:gd name="connsiteX8" fmla="*/ 0 w 1348747"/>
                                  <a:gd name="connsiteY8" fmla="*/ 117360 h 1495238"/>
                                  <a:gd name="connsiteX0" fmla="*/ 0 w 1348747"/>
                                  <a:gd name="connsiteY0" fmla="*/ 118912 h 1496790"/>
                                  <a:gd name="connsiteX1" fmla="*/ 105025 w 1348747"/>
                                  <a:gd name="connsiteY1" fmla="*/ 1552 h 1496790"/>
                                  <a:gd name="connsiteX2" fmla="*/ 1235646 w 1348747"/>
                                  <a:gd name="connsiteY2" fmla="*/ 3420 h 1496790"/>
                                  <a:gd name="connsiteX3" fmla="*/ 1348747 w 1348747"/>
                                  <a:gd name="connsiteY3" fmla="*/ 121217 h 1496790"/>
                                  <a:gd name="connsiteX4" fmla="*/ 1348747 w 1348747"/>
                                  <a:gd name="connsiteY4" fmla="*/ 1496092 h 1496790"/>
                                  <a:gd name="connsiteX5" fmla="*/ 1345765 w 1348747"/>
                                  <a:gd name="connsiteY5" fmla="*/ 1496092 h 1496790"/>
                                  <a:gd name="connsiteX6" fmla="*/ 200 w 1348747"/>
                                  <a:gd name="connsiteY6" fmla="*/ 1496092 h 1496790"/>
                                  <a:gd name="connsiteX7" fmla="*/ 200 w 1348747"/>
                                  <a:gd name="connsiteY7" fmla="*/ 1495670 h 1496790"/>
                                  <a:gd name="connsiteX8" fmla="*/ 0 w 1348747"/>
                                  <a:gd name="connsiteY8" fmla="*/ 118912 h 1496790"/>
                                  <a:gd name="connsiteX0" fmla="*/ 0 w 1348747"/>
                                  <a:gd name="connsiteY0" fmla="*/ 121872 h 1499750"/>
                                  <a:gd name="connsiteX1" fmla="*/ 105025 w 1348747"/>
                                  <a:gd name="connsiteY1" fmla="*/ 4512 h 1499750"/>
                                  <a:gd name="connsiteX2" fmla="*/ 1235646 w 1348747"/>
                                  <a:gd name="connsiteY2" fmla="*/ 6380 h 1499750"/>
                                  <a:gd name="connsiteX3" fmla="*/ 1348747 w 1348747"/>
                                  <a:gd name="connsiteY3" fmla="*/ 124177 h 1499750"/>
                                  <a:gd name="connsiteX4" fmla="*/ 1348747 w 1348747"/>
                                  <a:gd name="connsiteY4" fmla="*/ 1499052 h 1499750"/>
                                  <a:gd name="connsiteX5" fmla="*/ 1345765 w 1348747"/>
                                  <a:gd name="connsiteY5" fmla="*/ 1499052 h 1499750"/>
                                  <a:gd name="connsiteX6" fmla="*/ 200 w 1348747"/>
                                  <a:gd name="connsiteY6" fmla="*/ 1499052 h 1499750"/>
                                  <a:gd name="connsiteX7" fmla="*/ 200 w 1348747"/>
                                  <a:gd name="connsiteY7" fmla="*/ 1498630 h 1499750"/>
                                  <a:gd name="connsiteX8" fmla="*/ 0 w 1348747"/>
                                  <a:gd name="connsiteY8" fmla="*/ 121872 h 1499750"/>
                                  <a:gd name="connsiteX0" fmla="*/ 0 w 1348747"/>
                                  <a:gd name="connsiteY0" fmla="*/ 118913 h 1496791"/>
                                  <a:gd name="connsiteX1" fmla="*/ 105025 w 1348747"/>
                                  <a:gd name="connsiteY1" fmla="*/ 1553 h 1496791"/>
                                  <a:gd name="connsiteX2" fmla="*/ 1235646 w 1348747"/>
                                  <a:gd name="connsiteY2" fmla="*/ 3421 h 1496791"/>
                                  <a:gd name="connsiteX3" fmla="*/ 1348747 w 1348747"/>
                                  <a:gd name="connsiteY3" fmla="*/ 121218 h 1496791"/>
                                  <a:gd name="connsiteX4" fmla="*/ 1348747 w 1348747"/>
                                  <a:gd name="connsiteY4" fmla="*/ 1496093 h 1496791"/>
                                  <a:gd name="connsiteX5" fmla="*/ 1345765 w 1348747"/>
                                  <a:gd name="connsiteY5" fmla="*/ 1496093 h 1496791"/>
                                  <a:gd name="connsiteX6" fmla="*/ 200 w 1348747"/>
                                  <a:gd name="connsiteY6" fmla="*/ 1496093 h 1496791"/>
                                  <a:gd name="connsiteX7" fmla="*/ 200 w 1348747"/>
                                  <a:gd name="connsiteY7" fmla="*/ 1495671 h 1496791"/>
                                  <a:gd name="connsiteX8" fmla="*/ 0 w 1348747"/>
                                  <a:gd name="connsiteY8" fmla="*/ 118913 h 1496791"/>
                                  <a:gd name="connsiteX0" fmla="*/ 0 w 1348747"/>
                                  <a:gd name="connsiteY0" fmla="*/ 118913 h 1496791"/>
                                  <a:gd name="connsiteX1" fmla="*/ 105025 w 1348747"/>
                                  <a:gd name="connsiteY1" fmla="*/ 1553 h 1496791"/>
                                  <a:gd name="connsiteX2" fmla="*/ 1235646 w 1348747"/>
                                  <a:gd name="connsiteY2" fmla="*/ 3421 h 1496791"/>
                                  <a:gd name="connsiteX3" fmla="*/ 1348747 w 1348747"/>
                                  <a:gd name="connsiteY3" fmla="*/ 121218 h 1496791"/>
                                  <a:gd name="connsiteX4" fmla="*/ 1348747 w 1348747"/>
                                  <a:gd name="connsiteY4" fmla="*/ 1496093 h 1496791"/>
                                  <a:gd name="connsiteX5" fmla="*/ 1345765 w 1348747"/>
                                  <a:gd name="connsiteY5" fmla="*/ 1496093 h 1496791"/>
                                  <a:gd name="connsiteX6" fmla="*/ 200 w 1348747"/>
                                  <a:gd name="connsiteY6" fmla="*/ 1496093 h 1496791"/>
                                  <a:gd name="connsiteX7" fmla="*/ 200 w 1348747"/>
                                  <a:gd name="connsiteY7" fmla="*/ 1495671 h 1496791"/>
                                  <a:gd name="connsiteX8" fmla="*/ 0 w 1348747"/>
                                  <a:gd name="connsiteY8" fmla="*/ 118913 h 1496791"/>
                                  <a:gd name="connsiteX0" fmla="*/ 0 w 1348747"/>
                                  <a:gd name="connsiteY0" fmla="*/ 117360 h 1495238"/>
                                  <a:gd name="connsiteX1" fmla="*/ 105025 w 1348747"/>
                                  <a:gd name="connsiteY1" fmla="*/ 0 h 1495238"/>
                                  <a:gd name="connsiteX2" fmla="*/ 1235646 w 1348747"/>
                                  <a:gd name="connsiteY2" fmla="*/ 1868 h 1495238"/>
                                  <a:gd name="connsiteX3" fmla="*/ 1348747 w 1348747"/>
                                  <a:gd name="connsiteY3" fmla="*/ 119665 h 1495238"/>
                                  <a:gd name="connsiteX4" fmla="*/ 1348747 w 1348747"/>
                                  <a:gd name="connsiteY4" fmla="*/ 1494540 h 1495238"/>
                                  <a:gd name="connsiteX5" fmla="*/ 1345765 w 1348747"/>
                                  <a:gd name="connsiteY5" fmla="*/ 1494540 h 1495238"/>
                                  <a:gd name="connsiteX6" fmla="*/ 200 w 1348747"/>
                                  <a:gd name="connsiteY6" fmla="*/ 1494540 h 1495238"/>
                                  <a:gd name="connsiteX7" fmla="*/ 200 w 1348747"/>
                                  <a:gd name="connsiteY7" fmla="*/ 1494118 h 1495238"/>
                                  <a:gd name="connsiteX8" fmla="*/ 0 w 1348747"/>
                                  <a:gd name="connsiteY8" fmla="*/ 117360 h 1495238"/>
                                  <a:gd name="connsiteX0" fmla="*/ 7538 w 1348747"/>
                                  <a:gd name="connsiteY0" fmla="*/ 111354 h 1495270"/>
                                  <a:gd name="connsiteX1" fmla="*/ 105025 w 1348747"/>
                                  <a:gd name="connsiteY1" fmla="*/ 32 h 1495270"/>
                                  <a:gd name="connsiteX2" fmla="*/ 1235646 w 1348747"/>
                                  <a:gd name="connsiteY2" fmla="*/ 1900 h 1495270"/>
                                  <a:gd name="connsiteX3" fmla="*/ 1348747 w 1348747"/>
                                  <a:gd name="connsiteY3" fmla="*/ 119697 h 1495270"/>
                                  <a:gd name="connsiteX4" fmla="*/ 1348747 w 1348747"/>
                                  <a:gd name="connsiteY4" fmla="*/ 1494572 h 1495270"/>
                                  <a:gd name="connsiteX5" fmla="*/ 1345765 w 1348747"/>
                                  <a:gd name="connsiteY5" fmla="*/ 1494572 h 1495270"/>
                                  <a:gd name="connsiteX6" fmla="*/ 200 w 1348747"/>
                                  <a:gd name="connsiteY6" fmla="*/ 1494572 h 1495270"/>
                                  <a:gd name="connsiteX7" fmla="*/ 200 w 1348747"/>
                                  <a:gd name="connsiteY7" fmla="*/ 1494150 h 1495270"/>
                                  <a:gd name="connsiteX8" fmla="*/ 7538 w 1348747"/>
                                  <a:gd name="connsiteY8" fmla="*/ 111354 h 1495270"/>
                                  <a:gd name="connsiteX0" fmla="*/ 0 w 1348747"/>
                                  <a:gd name="connsiteY0" fmla="*/ 114774 h 1495240"/>
                                  <a:gd name="connsiteX1" fmla="*/ 105025 w 1348747"/>
                                  <a:gd name="connsiteY1" fmla="*/ 2 h 1495240"/>
                                  <a:gd name="connsiteX2" fmla="*/ 1235646 w 1348747"/>
                                  <a:gd name="connsiteY2" fmla="*/ 1870 h 1495240"/>
                                  <a:gd name="connsiteX3" fmla="*/ 1348747 w 1348747"/>
                                  <a:gd name="connsiteY3" fmla="*/ 119667 h 1495240"/>
                                  <a:gd name="connsiteX4" fmla="*/ 1348747 w 1348747"/>
                                  <a:gd name="connsiteY4" fmla="*/ 1494542 h 1495240"/>
                                  <a:gd name="connsiteX5" fmla="*/ 1345765 w 1348747"/>
                                  <a:gd name="connsiteY5" fmla="*/ 1494542 h 1495240"/>
                                  <a:gd name="connsiteX6" fmla="*/ 200 w 1348747"/>
                                  <a:gd name="connsiteY6" fmla="*/ 1494542 h 1495240"/>
                                  <a:gd name="connsiteX7" fmla="*/ 200 w 1348747"/>
                                  <a:gd name="connsiteY7" fmla="*/ 1494120 h 1495240"/>
                                  <a:gd name="connsiteX8" fmla="*/ 0 w 1348747"/>
                                  <a:gd name="connsiteY8" fmla="*/ 114774 h 1495240"/>
                                  <a:gd name="connsiteX0" fmla="*/ 5146 w 1353893"/>
                                  <a:gd name="connsiteY0" fmla="*/ 114772 h 1495238"/>
                                  <a:gd name="connsiteX1" fmla="*/ 110171 w 1353893"/>
                                  <a:gd name="connsiteY1" fmla="*/ 0 h 1495238"/>
                                  <a:gd name="connsiteX2" fmla="*/ 1240792 w 1353893"/>
                                  <a:gd name="connsiteY2" fmla="*/ 1868 h 1495238"/>
                                  <a:gd name="connsiteX3" fmla="*/ 1353893 w 1353893"/>
                                  <a:gd name="connsiteY3" fmla="*/ 119665 h 1495238"/>
                                  <a:gd name="connsiteX4" fmla="*/ 1353893 w 1353893"/>
                                  <a:gd name="connsiteY4" fmla="*/ 1494540 h 1495238"/>
                                  <a:gd name="connsiteX5" fmla="*/ 1350911 w 1353893"/>
                                  <a:gd name="connsiteY5" fmla="*/ 1494540 h 1495238"/>
                                  <a:gd name="connsiteX6" fmla="*/ 5346 w 1353893"/>
                                  <a:gd name="connsiteY6" fmla="*/ 1494540 h 1495238"/>
                                  <a:gd name="connsiteX7" fmla="*/ 5346 w 1353893"/>
                                  <a:gd name="connsiteY7" fmla="*/ 1494118 h 1495238"/>
                                  <a:gd name="connsiteX8" fmla="*/ 5146 w 1353893"/>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184 w 1348931"/>
                                  <a:gd name="connsiteY0" fmla="*/ 114772 h 1495238"/>
                                  <a:gd name="connsiteX1" fmla="*/ 105209 w 1348931"/>
                                  <a:gd name="connsiteY1" fmla="*/ 0 h 1495238"/>
                                  <a:gd name="connsiteX2" fmla="*/ 1235830 w 1348931"/>
                                  <a:gd name="connsiteY2" fmla="*/ 1868 h 1495238"/>
                                  <a:gd name="connsiteX3" fmla="*/ 1348931 w 1348931"/>
                                  <a:gd name="connsiteY3" fmla="*/ 119665 h 1495238"/>
                                  <a:gd name="connsiteX4" fmla="*/ 1348931 w 1348931"/>
                                  <a:gd name="connsiteY4" fmla="*/ 1494540 h 1495238"/>
                                  <a:gd name="connsiteX5" fmla="*/ 1345949 w 1348931"/>
                                  <a:gd name="connsiteY5" fmla="*/ 1494540 h 1495238"/>
                                  <a:gd name="connsiteX6" fmla="*/ 384 w 1348931"/>
                                  <a:gd name="connsiteY6" fmla="*/ 1494540 h 1495238"/>
                                  <a:gd name="connsiteX7" fmla="*/ 384 w 1348931"/>
                                  <a:gd name="connsiteY7" fmla="*/ 1494118 h 1495238"/>
                                  <a:gd name="connsiteX8" fmla="*/ 184 w 1348931"/>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8756" h="1495238">
                                    <a:moveTo>
                                      <a:pt x="9" y="114772"/>
                                    </a:moveTo>
                                    <a:cubicBezTo>
                                      <a:pt x="-614" y="45795"/>
                                      <a:pt x="34518" y="1675"/>
                                      <a:pt x="105034" y="0"/>
                                    </a:cubicBezTo>
                                    <a:lnTo>
                                      <a:pt x="1235655" y="1868"/>
                                    </a:lnTo>
                                    <a:cubicBezTo>
                                      <a:pt x="1348463" y="118643"/>
                                      <a:pt x="1234723" y="775"/>
                                      <a:pt x="1348756" y="119665"/>
                                    </a:cubicBezTo>
                                    <a:lnTo>
                                      <a:pt x="1348756" y="1494540"/>
                                    </a:lnTo>
                                    <a:cubicBezTo>
                                      <a:pt x="1342944" y="1495895"/>
                                      <a:pt x="1344051" y="1494929"/>
                                      <a:pt x="1345774" y="1494540"/>
                                    </a:cubicBezTo>
                                    <a:lnTo>
                                      <a:pt x="209" y="1494540"/>
                                    </a:lnTo>
                                    <a:cubicBezTo>
                                      <a:pt x="-910" y="1492088"/>
                                      <a:pt x="3188" y="1495262"/>
                                      <a:pt x="209" y="1494118"/>
                                    </a:cubicBezTo>
                                    <a:cubicBezTo>
                                      <a:pt x="142" y="1051853"/>
                                      <a:pt x="76" y="557037"/>
                                      <a:pt x="9" y="114772"/>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le 292" o:spid="_x0000_s1026" style="position:absolute;margin-left:-5.75pt;margin-top:-.35pt;width:395.15pt;height:397.3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56,14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" path="m9,114772c-614,45795,34518,1675,105034,l1235655,1868v112808,116775,-932,-1093,113101,117797l1348756,1494540v-5812,1355,-4705,389,-2982,l209,1494540v-1119,-2452,2979,722,,-422c142,1051853,76,557037,9,114772xe" fillcolor="#a32035 [3204]" stroked="f" strokeweight="2pt">
                      <v:path arrowok="t" o:connecttype="custom" o:connectlocs="33,387357;390809,0;4597613,6305;5018438,403871;5018438,5044097;5007343,5044097;778,5044097;778,5042673;33,387357" o:connectangles="0,0,0,0,0,0,0,0,0"/>
                    </v:shape>
                  </w:pict>
                </mc:Fallback>
              </mc:AlternateContent>
            </w:r>
            <w:r w:rsidR="00B8687A">
              <w:t>F</w:t>
            </w:r>
            <w:r w:rsidRPr="00F654D7">
              <w:t xml:space="preserve">oreign </w:t>
            </w:r>
            <w:r w:rsidRPr="00503AF6">
              <w:t>investment</w:t>
            </w:r>
            <w:r w:rsidRPr="00F654D7">
              <w:t xml:space="preserve"> outlook</w:t>
            </w:r>
            <w:bookmarkEnd w:id="373"/>
          </w:p>
          <w:p w14:paraId="7434C3EA" w14:textId="1DE5A272" w:rsidR="00503AF6" w:rsidRPr="00F654D7" w:rsidRDefault="00503AF6" w:rsidP="00503AF6">
            <w:pPr>
              <w:pStyle w:val="CaseStudyText"/>
              <w:spacing w:after="100"/>
            </w:pPr>
            <w:r w:rsidRPr="00F654D7">
              <w:t xml:space="preserve">In addition to screening foreign investment applications and administering </w:t>
            </w:r>
            <w:r>
              <w:t xml:space="preserve">the </w:t>
            </w:r>
            <w:r w:rsidR="00296847">
              <w:t xml:space="preserve">foreign investment </w:t>
            </w:r>
            <w:r>
              <w:t>framework</w:t>
            </w:r>
            <w:r w:rsidRPr="00F654D7">
              <w:t xml:space="preserve">, </w:t>
            </w:r>
            <w:r>
              <w:t xml:space="preserve">the </w:t>
            </w:r>
            <w:r w:rsidR="00C72B02">
              <w:t>Board and FIRB agencies</w:t>
            </w:r>
            <w:r>
              <w:t xml:space="preserve"> also </w:t>
            </w:r>
            <w:r w:rsidR="00C72B02">
              <w:t>monitor</w:t>
            </w:r>
            <w:r w:rsidRPr="00F654D7">
              <w:t xml:space="preserve"> the foreign investment landscape </w:t>
            </w:r>
            <w:r>
              <w:t xml:space="preserve">including </w:t>
            </w:r>
            <w:r w:rsidRPr="00F654D7">
              <w:t>by engaging with market participants. Engagement with stakeholders suggests that the finance and insurance sector, and the health sector, are expected to experience significant activity over the next 12 to 24 months. Globally, health sector mergers and acquisitions have experienced significa</w:t>
            </w:r>
            <w:r>
              <w:t xml:space="preserve">nt activity with nearly </w:t>
            </w:r>
            <w:r w:rsidR="00455368">
              <w:t>US$</w:t>
            </w:r>
            <w:r>
              <w:t>306 </w:t>
            </w:r>
            <w:r w:rsidRPr="00F654D7">
              <w:t>billion of deals announced through the first half of 2018. Industry contacts suggest that aged care, radiology, and supplements are anticipated areas of interest in the Australian market.</w:t>
            </w:r>
          </w:p>
          <w:p w14:paraId="4627B028" w14:textId="77777777" w:rsidR="00296847" w:rsidRDefault="00296847" w:rsidP="00296847">
            <w:pPr>
              <w:pStyle w:val="CaseStudyText"/>
              <w:spacing w:after="100"/>
            </w:pPr>
            <w:r w:rsidRPr="00F654D7">
              <w:t xml:space="preserve">Australia has experienced a </w:t>
            </w:r>
            <w:r>
              <w:t xml:space="preserve">recent </w:t>
            </w:r>
            <w:r w:rsidRPr="00F654D7">
              <w:t>rebalancing of</w:t>
            </w:r>
            <w:r>
              <w:t xml:space="preserve"> net inflow of</w:t>
            </w:r>
            <w:r w:rsidRPr="00F654D7">
              <w:t xml:space="preserve"> foreign direct investment away from mining and into non-mining sectors such as infrastructure and </w:t>
            </w:r>
            <w:r>
              <w:t>construction. This has been supported by elevated infrastructure spending across the country</w:t>
            </w:r>
            <w:r w:rsidRPr="00F654D7">
              <w:t xml:space="preserve">. Though </w:t>
            </w:r>
            <w:r>
              <w:t>s</w:t>
            </w:r>
            <w:r w:rsidRPr="00F654D7">
              <w:t xml:space="preserve">tate </w:t>
            </w:r>
            <w:r>
              <w:t>g</w:t>
            </w:r>
            <w:r w:rsidRPr="00F654D7">
              <w:t>overnment</w:t>
            </w:r>
            <w:r>
              <w:t xml:space="preserve">s’ privatisation programs </w:t>
            </w:r>
            <w:r w:rsidRPr="00F654D7">
              <w:t xml:space="preserve">have moderated, investor interest in </w:t>
            </w:r>
            <w:r>
              <w:t>state government assets continues.</w:t>
            </w:r>
          </w:p>
          <w:p w14:paraId="274CEB0F" w14:textId="712C9297" w:rsidR="00503AF6" w:rsidRPr="002746B6" w:rsidRDefault="00503AF6" w:rsidP="000E646B">
            <w:pPr>
              <w:pStyle w:val="CaseStudyText"/>
              <w:spacing w:after="100"/>
              <w:rPr>
                <w:spacing w:val="-2"/>
              </w:rPr>
            </w:pPr>
            <w:r w:rsidRPr="002746B6">
              <w:rPr>
                <w:spacing w:val="-2"/>
              </w:rPr>
              <w:t xml:space="preserve">In addition to the sectors noted by market participants, </w:t>
            </w:r>
            <w:r w:rsidR="00C72B02">
              <w:rPr>
                <w:spacing w:val="-2"/>
              </w:rPr>
              <w:t>foreign investment</w:t>
            </w:r>
            <w:r w:rsidRPr="002746B6">
              <w:rPr>
                <w:spacing w:val="-2"/>
              </w:rPr>
              <w:t xml:space="preserve"> applications for the</w:t>
            </w:r>
            <w:r w:rsidR="000E646B">
              <w:rPr>
                <w:spacing w:val="-2"/>
              </w:rPr>
              <w:t xml:space="preserve"> </w:t>
            </w:r>
            <w:r w:rsidRPr="002746B6">
              <w:rPr>
                <w:spacing w:val="-2"/>
              </w:rPr>
              <w:t>second half of 2018 suggest that the mining, transport and infrastructure, utilities, and media sectors are also likely to experience strong activity over 2018–19 and beyond.</w:t>
            </w:r>
          </w:p>
          <w:p w14:paraId="256754FD" w14:textId="5A59017E" w:rsidR="00503AF6" w:rsidRDefault="00503AF6" w:rsidP="00503AF6">
            <w:pPr>
              <w:pStyle w:val="CaseStudyText"/>
              <w:spacing w:after="100"/>
            </w:pPr>
            <w:r>
              <w:t>While the global investment environment is subject to change and uncertainty, there are significant opportunities for Australia from traditional sources of F</w:t>
            </w:r>
            <w:r w:rsidR="00EB7CF5">
              <w:t xml:space="preserve">oreign </w:t>
            </w:r>
            <w:r>
              <w:t>D</w:t>
            </w:r>
            <w:r w:rsidR="00EB7CF5">
              <w:t xml:space="preserve">irect </w:t>
            </w:r>
            <w:r>
              <w:t>I</w:t>
            </w:r>
            <w:r w:rsidR="00EB7CF5">
              <w:t>nvestment (FDI)</w:t>
            </w:r>
            <w:r>
              <w:t xml:space="preserve"> including the United States and the United Kingdom, and from new sources such as China or Malaysia. Global FDI fell sharply in the first half of 2018 following the US tax reforms, although announced greenfield investments – an indicator of future growth – increased relative to the same period last year.</w:t>
            </w:r>
          </w:p>
          <w:p w14:paraId="6DDF5C77" w14:textId="5F786B6F" w:rsidR="00503AF6" w:rsidRDefault="00503AF6" w:rsidP="00503AF6">
            <w:pPr>
              <w:pStyle w:val="CaseStudyText"/>
              <w:spacing w:after="100"/>
            </w:pPr>
            <w:r>
              <w:t>FDI inflows from China to Australia have moderated recently, which partly reflects China’s continuing use of capital controls. We expect continued interest from the United States, the United Kingdom and China in advanced technology, health</w:t>
            </w:r>
            <w:r w:rsidR="00436612">
              <w:t xml:space="preserve"> </w:t>
            </w:r>
            <w:r>
              <w:t>care and agriculture, but a softening of Chinese investment in real estate.</w:t>
            </w:r>
          </w:p>
        </w:tc>
      </w:tr>
    </w:tbl>
    <w:p w14:paraId="7E82056F" w14:textId="089F1677" w:rsidR="00503AF6" w:rsidRPr="00503AF6" w:rsidRDefault="00503AF6" w:rsidP="00503AF6"/>
    <w:p w14:paraId="1886DB7D" w14:textId="77777777" w:rsidR="00503AF6" w:rsidRDefault="00503AF6" w:rsidP="00CB54C2">
      <w:pPr>
        <w:sectPr w:rsidR="00503AF6" w:rsidSect="007E1442">
          <w:headerReference w:type="first" r:id="rId54"/>
          <w:footerReference w:type="first" r:id="rId55"/>
          <w:pgSz w:w="11907" w:h="16840" w:code="9"/>
          <w:pgMar w:top="2466" w:right="2098" w:bottom="2466" w:left="2098" w:header="1899" w:footer="1899" w:gutter="0"/>
          <w:cols w:space="720"/>
          <w:titlePg/>
          <w:docGrid w:linePitch="360"/>
        </w:sectPr>
      </w:pPr>
    </w:p>
    <w:p w14:paraId="05E0BA2E" w14:textId="5B6A4180" w:rsidR="00E83190" w:rsidRDefault="00E83190" w:rsidP="00E30A27">
      <w:pPr>
        <w:pStyle w:val="ChartGraphic"/>
      </w:pPr>
      <w:r>
        <w:rPr>
          <w:noProof/>
        </w:rPr>
        <w:drawing>
          <wp:inline distT="0" distB="0" distL="0" distR="0" wp14:anchorId="05E0BADE" wp14:editId="7E84B1CE">
            <wp:extent cx="4893563" cy="3059239"/>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B part page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3563" cy="3059239"/>
                    </a:xfrm>
                    <a:prstGeom prst="rect">
                      <a:avLst/>
                    </a:prstGeom>
                  </pic:spPr>
                </pic:pic>
              </a:graphicData>
            </a:graphic>
          </wp:inline>
        </w:drawing>
      </w:r>
    </w:p>
    <w:p w14:paraId="00BAC43E" w14:textId="0B629360" w:rsidR="00E30A27" w:rsidRPr="0021179A" w:rsidRDefault="00E30A27" w:rsidP="00183798">
      <w:pPr>
        <w:pStyle w:val="Heading1"/>
      </w:pPr>
      <w:bookmarkStart w:id="374" w:name="_Toc529528678"/>
      <w:bookmarkStart w:id="375" w:name="_Toc529530642"/>
      <w:bookmarkStart w:id="376" w:name="_Toc529545243"/>
      <w:bookmarkStart w:id="377" w:name="_Toc529795007"/>
      <w:bookmarkStart w:id="378" w:name="_Toc529802490"/>
      <w:bookmarkStart w:id="379" w:name="_Toc529878065"/>
      <w:bookmarkStart w:id="380" w:name="_Toc529879289"/>
      <w:bookmarkStart w:id="381" w:name="_Toc529882554"/>
      <w:bookmarkStart w:id="382" w:name="_Toc529885225"/>
      <w:bookmarkStart w:id="383" w:name="_Toc529890697"/>
      <w:bookmarkStart w:id="384" w:name="_Toc529970068"/>
      <w:bookmarkStart w:id="385" w:name="_Toc529979423"/>
      <w:bookmarkStart w:id="386" w:name="_Toc530050469"/>
      <w:bookmarkStart w:id="387" w:name="_Toc530065548"/>
      <w:bookmarkStart w:id="388" w:name="_Toc530066376"/>
      <w:bookmarkStart w:id="389" w:name="_Toc530145096"/>
      <w:bookmarkStart w:id="390" w:name="_Toc530146066"/>
      <w:bookmarkStart w:id="391" w:name="_Toc530146987"/>
      <w:bookmarkStart w:id="392" w:name="_Toc530148345"/>
      <w:bookmarkStart w:id="393" w:name="_Toc530148546"/>
      <w:bookmarkStart w:id="394" w:name="_Toc530149218"/>
      <w:bookmarkStart w:id="395" w:name="_Toc530149789"/>
      <w:bookmarkStart w:id="396" w:name="_Toc532207332"/>
      <w:bookmarkStart w:id="397" w:name="_Toc532217720"/>
      <w:bookmarkStart w:id="398" w:name="_Toc532218741"/>
      <w:bookmarkStart w:id="399" w:name="_Toc532219053"/>
      <w:bookmarkStart w:id="400" w:name="_Toc532223737"/>
      <w:bookmarkStart w:id="401" w:name="_Toc532224196"/>
      <w:bookmarkStart w:id="402" w:name="_Toc532226675"/>
      <w:bookmarkStart w:id="403" w:name="_Toc536029376"/>
      <w:bookmarkStart w:id="404" w:name="_Toc1120398"/>
      <w:bookmarkStart w:id="405" w:name="_Toc1121969"/>
      <w:r w:rsidRPr="0021179A">
        <w:t xml:space="preserve">Chapter </w:t>
      </w:r>
      <w:bookmarkEnd w:id="374"/>
      <w:r w:rsidR="00183798" w:rsidRPr="0021179A">
        <w:t>Three:</w:t>
      </w:r>
      <w:r w:rsidRPr="0021179A">
        <w:t xml:space="preserve"> </w:t>
      </w:r>
      <w:r w:rsidR="0021179A" w:rsidRPr="0021179A">
        <w:t>Applications</w:t>
      </w:r>
      <w:r w:rsidRPr="0021179A">
        <w:t xml:space="preserve"> Data</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05E0BA31" w14:textId="14FB2876" w:rsidR="00E83190" w:rsidRPr="00B579B9" w:rsidRDefault="00E83190" w:rsidP="004855EF">
      <w:pPr>
        <w:rPr>
          <w:color w:val="auto"/>
          <w:szCs w:val="24"/>
        </w:rPr>
      </w:pPr>
      <w:r>
        <w:t>This chapter</w:t>
      </w:r>
      <w:r w:rsidDel="00535D52">
        <w:t xml:space="preserve"> </w:t>
      </w:r>
      <w:r>
        <w:rPr>
          <w:color w:val="auto"/>
          <w:szCs w:val="24"/>
        </w:rPr>
        <w:t>provides an overview of</w:t>
      </w:r>
      <w:r w:rsidRPr="00B579B9">
        <w:rPr>
          <w:color w:val="auto"/>
          <w:szCs w:val="24"/>
        </w:rPr>
        <w:t xml:space="preserve"> all </w:t>
      </w:r>
      <w:r>
        <w:rPr>
          <w:color w:val="auto"/>
          <w:szCs w:val="24"/>
        </w:rPr>
        <w:t>applications</w:t>
      </w:r>
      <w:r w:rsidRPr="00B579B9">
        <w:rPr>
          <w:color w:val="auto"/>
          <w:szCs w:val="24"/>
        </w:rPr>
        <w:t xml:space="preserve"> that were finalised during 20</w:t>
      </w:r>
      <w:r w:rsidR="00A82FE5">
        <w:rPr>
          <w:color w:val="auto"/>
          <w:szCs w:val="24"/>
        </w:rPr>
        <w:t>17</w:t>
      </w:r>
      <w:r>
        <w:rPr>
          <w:color w:val="auto"/>
          <w:szCs w:val="24"/>
        </w:rPr>
        <w:t>–</w:t>
      </w:r>
      <w:r w:rsidR="00A82FE5">
        <w:rPr>
          <w:color w:val="auto"/>
          <w:szCs w:val="24"/>
        </w:rPr>
        <w:t>18</w:t>
      </w:r>
      <w:r w:rsidRPr="00B579B9">
        <w:rPr>
          <w:color w:val="auto"/>
          <w:szCs w:val="24"/>
        </w:rPr>
        <w:t xml:space="preserve">, irrespective of the date </w:t>
      </w:r>
      <w:r>
        <w:rPr>
          <w:color w:val="auto"/>
          <w:szCs w:val="24"/>
        </w:rPr>
        <w:t xml:space="preserve">the application was </w:t>
      </w:r>
      <w:r w:rsidRPr="00B579B9">
        <w:rPr>
          <w:color w:val="auto"/>
          <w:szCs w:val="24"/>
        </w:rPr>
        <w:t xml:space="preserve">submitted. The term </w:t>
      </w:r>
      <w:r>
        <w:rPr>
          <w:color w:val="auto"/>
          <w:szCs w:val="24"/>
        </w:rPr>
        <w:t>‘</w:t>
      </w:r>
      <w:r w:rsidRPr="00B579B9">
        <w:rPr>
          <w:color w:val="auto"/>
          <w:szCs w:val="24"/>
        </w:rPr>
        <w:t>proposed investment</w:t>
      </w:r>
      <w:r>
        <w:rPr>
          <w:color w:val="auto"/>
          <w:szCs w:val="24"/>
        </w:rPr>
        <w:t>’</w:t>
      </w:r>
      <w:r w:rsidRPr="00B579B9">
        <w:rPr>
          <w:color w:val="auto"/>
          <w:szCs w:val="24"/>
        </w:rPr>
        <w:t xml:space="preserve"> is used </w:t>
      </w:r>
      <w:r w:rsidR="00D23277">
        <w:rPr>
          <w:color w:val="auto"/>
          <w:szCs w:val="24"/>
        </w:rPr>
        <w:t>often in</w:t>
      </w:r>
      <w:r w:rsidRPr="00B579B9">
        <w:rPr>
          <w:color w:val="auto"/>
          <w:szCs w:val="24"/>
        </w:rPr>
        <w:t xml:space="preserve"> this report. The value of proposed investment </w:t>
      </w:r>
      <w:r w:rsidR="00253BBD">
        <w:rPr>
          <w:color w:val="auto"/>
          <w:szCs w:val="24"/>
        </w:rPr>
        <w:t xml:space="preserve">for acquisitions </w:t>
      </w:r>
      <w:r w:rsidR="00253BBD" w:rsidRPr="0014043A">
        <w:t xml:space="preserve">(including </w:t>
      </w:r>
      <w:r w:rsidR="00253BBD">
        <w:t>securities</w:t>
      </w:r>
      <w:r w:rsidR="00253BBD" w:rsidRPr="0014043A">
        <w:t>, real estate or other assets)</w:t>
      </w:r>
      <w:r w:rsidR="00253BBD">
        <w:t xml:space="preserve"> </w:t>
      </w:r>
      <w:r w:rsidR="00253BBD">
        <w:rPr>
          <w:color w:val="auto"/>
          <w:szCs w:val="24"/>
        </w:rPr>
        <w:t>is the consideration agreed between the parties or</w:t>
      </w:r>
      <w:r w:rsidR="00724EA1">
        <w:rPr>
          <w:color w:val="auto"/>
          <w:szCs w:val="24"/>
        </w:rPr>
        <w:t>,</w:t>
      </w:r>
      <w:r w:rsidR="00253BBD">
        <w:rPr>
          <w:color w:val="auto"/>
          <w:szCs w:val="24"/>
        </w:rPr>
        <w:t xml:space="preserve"> if not yet agreed, a reasonable </w:t>
      </w:r>
      <w:r w:rsidRPr="00B579B9">
        <w:rPr>
          <w:color w:val="auto"/>
          <w:szCs w:val="24"/>
        </w:rPr>
        <w:t>estimate</w:t>
      </w:r>
      <w:r>
        <w:rPr>
          <w:color w:val="auto"/>
          <w:szCs w:val="24"/>
        </w:rPr>
        <w:t xml:space="preserve"> </w:t>
      </w:r>
      <w:r w:rsidR="00253BBD">
        <w:rPr>
          <w:color w:val="auto"/>
          <w:szCs w:val="24"/>
        </w:rPr>
        <w:t xml:space="preserve">at the time of the application. Expected investment for new businesses is not </w:t>
      </w:r>
      <w:r w:rsidR="00EB7CF5">
        <w:rPr>
          <w:color w:val="auto"/>
          <w:szCs w:val="24"/>
        </w:rPr>
        <w:t>collected</w:t>
      </w:r>
      <w:r w:rsidR="00253BBD">
        <w:rPr>
          <w:color w:val="auto"/>
          <w:szCs w:val="24"/>
        </w:rPr>
        <w:t>.</w:t>
      </w:r>
    </w:p>
    <w:p w14:paraId="05E0BA34" w14:textId="5F343169" w:rsidR="00E83190" w:rsidRPr="00E053E3" w:rsidRDefault="00E83190" w:rsidP="004855EF">
      <w:pPr>
        <w:rPr>
          <w:color w:val="auto"/>
          <w:szCs w:val="24"/>
        </w:rPr>
      </w:pPr>
      <w:r w:rsidRPr="005F07F8">
        <w:rPr>
          <w:color w:val="auto"/>
          <w:szCs w:val="24"/>
        </w:rPr>
        <w:t xml:space="preserve">There are a number of caveats that need to be applied in interpreting </w:t>
      </w:r>
      <w:r w:rsidR="00520E3F">
        <w:rPr>
          <w:color w:val="auto"/>
          <w:szCs w:val="24"/>
        </w:rPr>
        <w:t>FIRB</w:t>
      </w:r>
      <w:r w:rsidRPr="005F07F8">
        <w:rPr>
          <w:color w:val="auto"/>
          <w:szCs w:val="24"/>
        </w:rPr>
        <w:t xml:space="preserve"> data</w:t>
      </w:r>
      <w:r w:rsidR="004B18EE">
        <w:rPr>
          <w:color w:val="auto"/>
          <w:szCs w:val="24"/>
        </w:rPr>
        <w:t xml:space="preserve">. These </w:t>
      </w:r>
      <w:r>
        <w:rPr>
          <w:color w:val="auto"/>
          <w:szCs w:val="24"/>
        </w:rPr>
        <w:t>are</w:t>
      </w:r>
      <w:r w:rsidRPr="005F07F8">
        <w:rPr>
          <w:color w:val="auto"/>
          <w:szCs w:val="24"/>
        </w:rPr>
        <w:t xml:space="preserve"> set out in </w:t>
      </w:r>
      <w:r>
        <w:rPr>
          <w:color w:val="auto"/>
          <w:szCs w:val="24"/>
        </w:rPr>
        <w:t xml:space="preserve">detail </w:t>
      </w:r>
      <w:r w:rsidR="004B18EE">
        <w:rPr>
          <w:color w:val="auto"/>
          <w:szCs w:val="24"/>
        </w:rPr>
        <w:t>in</w:t>
      </w:r>
      <w:r>
        <w:rPr>
          <w:color w:val="auto"/>
          <w:szCs w:val="24"/>
        </w:rPr>
        <w:t xml:space="preserve"> </w:t>
      </w:r>
      <w:r w:rsidR="00A82FE5" w:rsidRPr="005F07F8">
        <w:rPr>
          <w:color w:val="auto"/>
          <w:szCs w:val="24"/>
        </w:rPr>
        <w:t>Appendix</w:t>
      </w:r>
      <w:r w:rsidR="00A82FE5">
        <w:rPr>
          <w:color w:val="auto"/>
          <w:szCs w:val="24"/>
        </w:rPr>
        <w:t> </w:t>
      </w:r>
      <w:r>
        <w:rPr>
          <w:color w:val="auto"/>
          <w:szCs w:val="24"/>
        </w:rPr>
        <w:t>B</w:t>
      </w:r>
      <w:r w:rsidRPr="005F07F8">
        <w:rPr>
          <w:color w:val="auto"/>
          <w:szCs w:val="24"/>
        </w:rPr>
        <w:t>.</w:t>
      </w:r>
      <w:r>
        <w:rPr>
          <w:color w:val="auto"/>
          <w:szCs w:val="24"/>
        </w:rPr>
        <w:t xml:space="preserve"> Importantly,</w:t>
      </w:r>
      <w:r w:rsidRPr="00B579B9">
        <w:rPr>
          <w:color w:val="auto"/>
          <w:szCs w:val="24"/>
        </w:rPr>
        <w:t xml:space="preserve"> approvals data do</w:t>
      </w:r>
      <w:r w:rsidR="00FD1D78">
        <w:rPr>
          <w:color w:val="auto"/>
          <w:szCs w:val="24"/>
        </w:rPr>
        <w:t>es</w:t>
      </w:r>
      <w:r w:rsidRPr="00B579B9">
        <w:rPr>
          <w:color w:val="auto"/>
          <w:szCs w:val="24"/>
        </w:rPr>
        <w:t xml:space="preserve"> not measure </w:t>
      </w:r>
      <w:r w:rsidR="00B408BD">
        <w:rPr>
          <w:color w:val="auto"/>
          <w:szCs w:val="24"/>
        </w:rPr>
        <w:t xml:space="preserve">actual </w:t>
      </w:r>
      <w:r w:rsidRPr="00B579B9">
        <w:rPr>
          <w:color w:val="auto"/>
          <w:szCs w:val="24"/>
        </w:rPr>
        <w:t xml:space="preserve">total foreign investment made in any year or changes in net foreign ownership levels in Australia. </w:t>
      </w:r>
      <w:r>
        <w:rPr>
          <w:color w:val="auto"/>
          <w:szCs w:val="24"/>
        </w:rPr>
        <w:t xml:space="preserve">This is because, while a foreign </w:t>
      </w:r>
      <w:r w:rsidR="0075502D">
        <w:rPr>
          <w:color w:val="auto"/>
          <w:szCs w:val="24"/>
        </w:rPr>
        <w:t>person</w:t>
      </w:r>
      <w:r>
        <w:rPr>
          <w:color w:val="auto"/>
          <w:szCs w:val="24"/>
        </w:rPr>
        <w:t xml:space="preserve"> may be approved to make </w:t>
      </w:r>
      <w:r w:rsidR="00FD1D78">
        <w:rPr>
          <w:color w:val="auto"/>
          <w:szCs w:val="24"/>
        </w:rPr>
        <w:t>an</w:t>
      </w:r>
      <w:r>
        <w:rPr>
          <w:color w:val="auto"/>
          <w:szCs w:val="24"/>
        </w:rPr>
        <w:t xml:space="preserve"> acquisition, the</w:t>
      </w:r>
      <w:r w:rsidR="002A733A">
        <w:rPr>
          <w:color w:val="auto"/>
          <w:szCs w:val="24"/>
        </w:rPr>
        <w:t xml:space="preserve"> acquisition may not proceed</w:t>
      </w:r>
      <w:r>
        <w:rPr>
          <w:color w:val="auto"/>
          <w:szCs w:val="24"/>
        </w:rPr>
        <w:t>.</w:t>
      </w:r>
      <w:r w:rsidRPr="005F07F8">
        <w:rPr>
          <w:color w:val="auto"/>
          <w:szCs w:val="24"/>
        </w:rPr>
        <w:t xml:space="preserve"> </w:t>
      </w:r>
      <w:r w:rsidR="00FD1D78">
        <w:rPr>
          <w:color w:val="auto"/>
          <w:szCs w:val="24"/>
        </w:rPr>
        <w:t xml:space="preserve">Further, </w:t>
      </w:r>
      <w:r w:rsidR="0045751B">
        <w:rPr>
          <w:color w:val="auto"/>
          <w:szCs w:val="24"/>
        </w:rPr>
        <w:t>notification</w:t>
      </w:r>
      <w:r w:rsidR="00FD1D78">
        <w:rPr>
          <w:color w:val="auto"/>
          <w:szCs w:val="24"/>
        </w:rPr>
        <w:t xml:space="preserve"> is subject to screening thresholds</w:t>
      </w:r>
      <w:r w:rsidR="002A733A">
        <w:rPr>
          <w:color w:val="auto"/>
          <w:szCs w:val="24"/>
        </w:rPr>
        <w:t>, and therefore not all acquisitions are captured</w:t>
      </w:r>
      <w:r w:rsidR="00FD1D78">
        <w:rPr>
          <w:color w:val="auto"/>
          <w:szCs w:val="24"/>
        </w:rPr>
        <w:t xml:space="preserve">. </w:t>
      </w:r>
      <w:r w:rsidR="00E053E3" w:rsidRPr="00E053E3">
        <w:rPr>
          <w:color w:val="auto"/>
          <w:szCs w:val="24"/>
        </w:rPr>
        <w:t>Approvals data does not measure actual total foreign investment made in any year or changes in net foreign</w:t>
      </w:r>
      <w:r w:rsidR="00E053E3">
        <w:rPr>
          <w:color w:val="auto"/>
          <w:szCs w:val="24"/>
        </w:rPr>
        <w:t xml:space="preserve"> ownership levels in Australia. </w:t>
      </w:r>
      <w:r w:rsidRPr="00B579B9">
        <w:rPr>
          <w:color w:val="auto"/>
          <w:szCs w:val="24"/>
        </w:rPr>
        <w:t>Trends in actual investment are measured by the Australian Bureau of Statistics (ABS)</w:t>
      </w:r>
      <w:r w:rsidRPr="005F07F8">
        <w:rPr>
          <w:color w:val="auto"/>
          <w:szCs w:val="24"/>
        </w:rPr>
        <w:t>.</w:t>
      </w:r>
      <w:r w:rsidR="00BA1F52">
        <w:rPr>
          <w:rStyle w:val="FootnoteReference"/>
          <w:color w:val="auto"/>
          <w:szCs w:val="24"/>
        </w:rPr>
        <w:footnoteReference w:id="10"/>
      </w:r>
    </w:p>
    <w:p w14:paraId="093D07B1" w14:textId="366BF7BB" w:rsidR="00CA681E" w:rsidRDefault="002A733A" w:rsidP="007706F6">
      <w:pPr>
        <w:spacing w:after="180"/>
        <w:rPr>
          <w:color w:val="auto"/>
          <w:szCs w:val="24"/>
        </w:rPr>
      </w:pPr>
      <w:r>
        <w:rPr>
          <w:color w:val="auto"/>
        </w:rPr>
        <w:t>P</w:t>
      </w:r>
      <w:r w:rsidR="00E83190">
        <w:rPr>
          <w:color w:val="auto"/>
        </w:rPr>
        <w:t>olicy or legislative changes</w:t>
      </w:r>
      <w:r w:rsidR="00EC0D2B">
        <w:rPr>
          <w:color w:val="auto"/>
        </w:rPr>
        <w:t>,</w:t>
      </w:r>
      <w:r w:rsidR="00E83190">
        <w:rPr>
          <w:color w:val="auto"/>
        </w:rPr>
        <w:t xml:space="preserve"> and changes to reporting methodologies over time</w:t>
      </w:r>
      <w:r w:rsidR="00EC0D2B">
        <w:rPr>
          <w:color w:val="auto"/>
        </w:rPr>
        <w:t>,</w:t>
      </w:r>
      <w:r w:rsidR="00E83190">
        <w:rPr>
          <w:color w:val="auto"/>
        </w:rPr>
        <w:t xml:space="preserve"> can limit the comparability of data</w:t>
      </w:r>
      <w:r w:rsidR="00FD1D78">
        <w:rPr>
          <w:color w:val="auto"/>
        </w:rPr>
        <w:t xml:space="preserve"> year</w:t>
      </w:r>
      <w:r w:rsidR="00EB7CF5" w:rsidRPr="00264BB4">
        <w:noBreakHyphen/>
        <w:t>to</w:t>
      </w:r>
      <w:r w:rsidR="00EB7CF5" w:rsidRPr="00264BB4">
        <w:noBreakHyphen/>
      </w:r>
      <w:r w:rsidR="00FD1D78">
        <w:rPr>
          <w:color w:val="auto"/>
        </w:rPr>
        <w:t>year.</w:t>
      </w:r>
      <w:r w:rsidR="00E053E3" w:rsidRPr="00E053E3">
        <w:rPr>
          <w:color w:val="auto"/>
          <w:szCs w:val="24"/>
        </w:rPr>
        <w:t xml:space="preserve"> Approvals data can </w:t>
      </w:r>
      <w:r w:rsidR="00E053E3">
        <w:rPr>
          <w:color w:val="auto"/>
          <w:szCs w:val="24"/>
        </w:rPr>
        <w:t xml:space="preserve">also </w:t>
      </w:r>
      <w:r w:rsidR="00E053E3" w:rsidRPr="00E053E3">
        <w:rPr>
          <w:color w:val="auto"/>
          <w:szCs w:val="24"/>
        </w:rPr>
        <w:t>be impacted by one or more large one</w:t>
      </w:r>
      <w:r w:rsidR="00E053E3" w:rsidRPr="00E053E3">
        <w:rPr>
          <w:color w:val="auto"/>
          <w:szCs w:val="24"/>
        </w:rPr>
        <w:noBreakHyphen/>
        <w:t>off proposed transactions, affecting the comparability of industry data across years.</w:t>
      </w:r>
    </w:p>
    <w:p w14:paraId="2F0E3566" w14:textId="2E9C43D6" w:rsidR="00CB1CF6" w:rsidRDefault="00CA681E" w:rsidP="0038534B">
      <w:pPr>
        <w:spacing w:after="180"/>
        <w:rPr>
          <w:color w:val="auto"/>
        </w:rPr>
      </w:pPr>
      <w:r>
        <w:rPr>
          <w:color w:val="auto"/>
        </w:rPr>
        <w:t xml:space="preserve">This </w:t>
      </w:r>
      <w:r w:rsidR="00E0065B">
        <w:rPr>
          <w:color w:val="auto"/>
        </w:rPr>
        <w:t>c</w:t>
      </w:r>
      <w:r>
        <w:rPr>
          <w:color w:val="auto"/>
        </w:rPr>
        <w:t xml:space="preserve">hapter deals with </w:t>
      </w:r>
      <w:r w:rsidR="00EB7CF5">
        <w:rPr>
          <w:color w:val="auto"/>
        </w:rPr>
        <w:t>applications considered</w:t>
      </w:r>
      <w:r>
        <w:rPr>
          <w:color w:val="auto"/>
        </w:rPr>
        <w:t xml:space="preserve"> and the related approvals during</w:t>
      </w:r>
      <w:r w:rsidR="00663356">
        <w:rPr>
          <w:color w:val="auto"/>
        </w:rPr>
        <w:t xml:space="preserve"> </w:t>
      </w:r>
      <w:r>
        <w:rPr>
          <w:color w:val="auto"/>
        </w:rPr>
        <w:t>2017</w:t>
      </w:r>
      <w:r w:rsidR="0080522B">
        <w:rPr>
          <w:color w:val="auto"/>
        </w:rPr>
        <w:t>–</w:t>
      </w:r>
      <w:r>
        <w:rPr>
          <w:color w:val="auto"/>
        </w:rPr>
        <w:t>18, followed by information on variations during the same period</w:t>
      </w:r>
      <w:r w:rsidR="00E0065B">
        <w:rPr>
          <w:color w:val="auto"/>
        </w:rPr>
        <w:t>. The variations</w:t>
      </w:r>
      <w:r>
        <w:rPr>
          <w:color w:val="auto"/>
        </w:rPr>
        <w:t xml:space="preserve"> considered </w:t>
      </w:r>
      <w:r w:rsidR="00FD1D78">
        <w:rPr>
          <w:color w:val="auto"/>
        </w:rPr>
        <w:t xml:space="preserve">are </w:t>
      </w:r>
      <w:r w:rsidR="00E0065B">
        <w:rPr>
          <w:color w:val="auto"/>
        </w:rPr>
        <w:t>for</w:t>
      </w:r>
      <w:r>
        <w:rPr>
          <w:color w:val="auto"/>
        </w:rPr>
        <w:t xml:space="preserve"> existing approvals</w:t>
      </w:r>
      <w:r w:rsidDel="008C3B6D">
        <w:rPr>
          <w:color w:val="auto"/>
        </w:rPr>
        <w:t>,</w:t>
      </w:r>
      <w:r>
        <w:rPr>
          <w:color w:val="auto"/>
        </w:rPr>
        <w:t xml:space="preserve"> certificates</w:t>
      </w:r>
      <w:r w:rsidDel="008C3B6D">
        <w:rPr>
          <w:color w:val="auto"/>
        </w:rPr>
        <w:t xml:space="preserve"> and orders</w:t>
      </w:r>
      <w:r>
        <w:rPr>
          <w:color w:val="auto"/>
        </w:rPr>
        <w:t xml:space="preserve"> given during</w:t>
      </w:r>
      <w:r w:rsidR="00663356">
        <w:rPr>
          <w:color w:val="auto"/>
        </w:rPr>
        <w:t xml:space="preserve"> </w:t>
      </w:r>
      <w:r w:rsidR="00E0065B">
        <w:rPr>
          <w:color w:val="auto"/>
        </w:rPr>
        <w:t>2017</w:t>
      </w:r>
      <w:r w:rsidR="0080522B">
        <w:rPr>
          <w:color w:val="auto"/>
        </w:rPr>
        <w:t>–</w:t>
      </w:r>
      <w:r w:rsidR="00E0065B">
        <w:rPr>
          <w:color w:val="auto"/>
        </w:rPr>
        <w:t>18</w:t>
      </w:r>
      <w:r w:rsidR="00CB1CF6">
        <w:rPr>
          <w:color w:val="auto"/>
        </w:rPr>
        <w:t xml:space="preserve"> or earlier.</w:t>
      </w:r>
      <w:r w:rsidR="008052D8">
        <w:rPr>
          <w:color w:val="auto"/>
        </w:rPr>
        <w:t xml:space="preserve"> </w:t>
      </w:r>
      <w:r w:rsidR="00EB7CF5">
        <w:rPr>
          <w:color w:val="auto"/>
        </w:rPr>
        <w:t xml:space="preserve">Application fee </w:t>
      </w:r>
      <w:r w:rsidR="008052D8">
        <w:rPr>
          <w:color w:val="auto"/>
        </w:rPr>
        <w:t xml:space="preserve">collection amounts reported by the ATO are listed at the end of </w:t>
      </w:r>
      <w:r w:rsidR="003E1146">
        <w:rPr>
          <w:color w:val="auto"/>
        </w:rPr>
        <w:t>th</w:t>
      </w:r>
      <w:r w:rsidR="00E2169C">
        <w:rPr>
          <w:color w:val="auto"/>
        </w:rPr>
        <w:t>e</w:t>
      </w:r>
      <w:r w:rsidR="008052D8">
        <w:rPr>
          <w:color w:val="auto"/>
        </w:rPr>
        <w:t xml:space="preserve"> </w:t>
      </w:r>
      <w:r w:rsidR="003E1146">
        <w:rPr>
          <w:color w:val="auto"/>
        </w:rPr>
        <w:t>c</w:t>
      </w:r>
      <w:r w:rsidR="008052D8">
        <w:rPr>
          <w:color w:val="auto"/>
        </w:rPr>
        <w:t>hapter.</w:t>
      </w:r>
    </w:p>
    <w:p w14:paraId="05E0BA36" w14:textId="77777777" w:rsidR="00E83190" w:rsidRPr="004F599C" w:rsidRDefault="00E83190" w:rsidP="00AF5EA5">
      <w:pPr>
        <w:pStyle w:val="Heading2"/>
      </w:pPr>
      <w:bookmarkStart w:id="406" w:name="_Toc512259064"/>
      <w:bookmarkStart w:id="407" w:name="_Toc512523486"/>
      <w:bookmarkStart w:id="408" w:name="_Toc512524855"/>
      <w:bookmarkStart w:id="409" w:name="_Toc513021744"/>
      <w:bookmarkStart w:id="410" w:name="_Toc513122761"/>
      <w:bookmarkStart w:id="411" w:name="_Toc513131331"/>
      <w:bookmarkStart w:id="412" w:name="_Toc513456064"/>
      <w:bookmarkStart w:id="413" w:name="_Toc513457310"/>
      <w:bookmarkStart w:id="414" w:name="_Toc513557388"/>
      <w:bookmarkStart w:id="415" w:name="_Toc513559404"/>
      <w:bookmarkStart w:id="416" w:name="_Toc529530643"/>
      <w:bookmarkStart w:id="417" w:name="_Toc529545244"/>
      <w:bookmarkStart w:id="418" w:name="_Toc529795008"/>
      <w:bookmarkStart w:id="419" w:name="_Toc529802491"/>
      <w:bookmarkStart w:id="420" w:name="_Toc529878066"/>
      <w:bookmarkStart w:id="421" w:name="_Toc529879290"/>
      <w:bookmarkStart w:id="422" w:name="_Toc529882555"/>
      <w:bookmarkStart w:id="423" w:name="_Toc529885226"/>
      <w:bookmarkStart w:id="424" w:name="_Toc529890698"/>
      <w:bookmarkStart w:id="425" w:name="_Toc529970069"/>
      <w:bookmarkStart w:id="426" w:name="_Toc529979424"/>
      <w:bookmarkStart w:id="427" w:name="_Toc530050470"/>
      <w:bookmarkStart w:id="428" w:name="_Toc530065549"/>
      <w:bookmarkStart w:id="429" w:name="_Toc530066377"/>
      <w:bookmarkStart w:id="430" w:name="_Toc530145097"/>
      <w:bookmarkStart w:id="431" w:name="_Toc530146067"/>
      <w:bookmarkStart w:id="432" w:name="_Toc530146988"/>
      <w:bookmarkStart w:id="433" w:name="_Toc530148346"/>
      <w:bookmarkStart w:id="434" w:name="_Toc530148547"/>
      <w:bookmarkStart w:id="435" w:name="_Toc530149219"/>
      <w:bookmarkStart w:id="436" w:name="_Toc530149790"/>
      <w:bookmarkStart w:id="437" w:name="_Toc532207333"/>
      <w:bookmarkStart w:id="438" w:name="_Toc532217721"/>
      <w:bookmarkStart w:id="439" w:name="_Toc532218742"/>
      <w:bookmarkStart w:id="440" w:name="_Toc532219054"/>
      <w:bookmarkStart w:id="441" w:name="_Toc532223738"/>
      <w:bookmarkStart w:id="442" w:name="_Toc532224197"/>
      <w:bookmarkStart w:id="443" w:name="_Toc532226676"/>
      <w:bookmarkStart w:id="444" w:name="_Toc536029377"/>
      <w:bookmarkStart w:id="445" w:name="_Toc1120399"/>
      <w:bookmarkStart w:id="446" w:name="_Toc1121970"/>
      <w:r w:rsidRPr="004F599C">
        <w:t>Overall applications considered</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1010DD4F" w14:textId="4A90C02C" w:rsidR="00685195" w:rsidRDefault="00D32D46" w:rsidP="0038534B">
      <w:pPr>
        <w:spacing w:after="180"/>
        <w:rPr>
          <w:color w:val="auto"/>
          <w:szCs w:val="24"/>
        </w:rPr>
      </w:pPr>
      <w:r w:rsidRPr="00843C9A">
        <w:rPr>
          <w:color w:val="auto"/>
          <w:szCs w:val="24"/>
        </w:rPr>
        <w:t>In 20</w:t>
      </w:r>
      <w:r>
        <w:rPr>
          <w:color w:val="auto"/>
          <w:szCs w:val="24"/>
        </w:rPr>
        <w:t>17–18,</w:t>
      </w:r>
      <w:r w:rsidRPr="00843C9A">
        <w:rPr>
          <w:color w:val="auto"/>
          <w:szCs w:val="24"/>
        </w:rPr>
        <w:t xml:space="preserve"> the </w:t>
      </w:r>
      <w:r>
        <w:rPr>
          <w:color w:val="auto"/>
          <w:szCs w:val="24"/>
        </w:rPr>
        <w:t xml:space="preserve">total </w:t>
      </w:r>
      <w:r w:rsidRPr="00843C9A">
        <w:rPr>
          <w:color w:val="auto"/>
          <w:szCs w:val="24"/>
        </w:rPr>
        <w:t xml:space="preserve">number of </w:t>
      </w:r>
      <w:r>
        <w:rPr>
          <w:color w:val="auto"/>
          <w:szCs w:val="24"/>
        </w:rPr>
        <w:t>applications considered, excluding variations,</w:t>
      </w:r>
      <w:r w:rsidRPr="00843C9A">
        <w:rPr>
          <w:color w:val="auto"/>
          <w:szCs w:val="24"/>
        </w:rPr>
        <w:t xml:space="preserve"> </w:t>
      </w:r>
      <w:r>
        <w:rPr>
          <w:color w:val="auto"/>
          <w:szCs w:val="24"/>
        </w:rPr>
        <w:t>was</w:t>
      </w:r>
      <w:r w:rsidRPr="00843C9A">
        <w:rPr>
          <w:color w:val="auto"/>
          <w:szCs w:val="24"/>
        </w:rPr>
        <w:t xml:space="preserve"> </w:t>
      </w:r>
      <w:r>
        <w:rPr>
          <w:color w:val="auto"/>
          <w:szCs w:val="24"/>
        </w:rPr>
        <w:t>11,855.</w:t>
      </w:r>
      <w:r w:rsidRPr="00843C9A">
        <w:rPr>
          <w:color w:val="auto"/>
          <w:szCs w:val="24"/>
        </w:rPr>
        <w:t xml:space="preserve"> </w:t>
      </w:r>
      <w:r>
        <w:rPr>
          <w:color w:val="auto"/>
          <w:szCs w:val="24"/>
        </w:rPr>
        <w:t xml:space="preserve">Of </w:t>
      </w:r>
      <w:r w:rsidR="00B408BD">
        <w:rPr>
          <w:color w:val="auto"/>
          <w:szCs w:val="24"/>
        </w:rPr>
        <w:t>th</w:t>
      </w:r>
      <w:r w:rsidR="00736728">
        <w:rPr>
          <w:color w:val="auto"/>
          <w:szCs w:val="24"/>
        </w:rPr>
        <w:t>e 11,150</w:t>
      </w:r>
      <w:r w:rsidR="00B408BD">
        <w:rPr>
          <w:color w:val="auto"/>
          <w:szCs w:val="24"/>
        </w:rPr>
        <w:t xml:space="preserve"> </w:t>
      </w:r>
      <w:r w:rsidR="00736728">
        <w:rPr>
          <w:color w:val="auto"/>
          <w:szCs w:val="24"/>
        </w:rPr>
        <w:t>on which a decision was made</w:t>
      </w:r>
      <w:r w:rsidR="00B408BD">
        <w:rPr>
          <w:color w:val="auto"/>
          <w:szCs w:val="24"/>
        </w:rPr>
        <w:t xml:space="preserve"> (that is, not </w:t>
      </w:r>
      <w:r w:rsidR="00736728">
        <w:rPr>
          <w:color w:val="auto"/>
          <w:szCs w:val="24"/>
        </w:rPr>
        <w:t xml:space="preserve">otherwise </w:t>
      </w:r>
      <w:r w:rsidR="00B408BD">
        <w:rPr>
          <w:color w:val="auto"/>
          <w:szCs w:val="24"/>
        </w:rPr>
        <w:t>withdrawn or exempt)</w:t>
      </w:r>
      <w:r>
        <w:rPr>
          <w:color w:val="auto"/>
          <w:szCs w:val="24"/>
        </w:rPr>
        <w:t xml:space="preserve">, </w:t>
      </w:r>
      <w:r w:rsidR="00B70C31" w:rsidDel="00D32D46">
        <w:rPr>
          <w:color w:val="auto"/>
          <w:szCs w:val="24"/>
        </w:rPr>
        <w:t>11</w:t>
      </w:r>
      <w:r w:rsidR="001B6C29" w:rsidDel="00D32D46">
        <w:rPr>
          <w:color w:val="auto"/>
          <w:szCs w:val="24"/>
        </w:rPr>
        <w:t>,</w:t>
      </w:r>
      <w:r w:rsidR="00110A3C">
        <w:rPr>
          <w:color w:val="auto"/>
          <w:szCs w:val="24"/>
        </w:rPr>
        <w:t>145</w:t>
      </w:r>
      <w:r w:rsidR="00E83190" w:rsidRPr="00843C9A" w:rsidDel="00D32D46">
        <w:rPr>
          <w:color w:val="auto"/>
          <w:szCs w:val="24"/>
        </w:rPr>
        <w:t xml:space="preserve"> </w:t>
      </w:r>
      <w:r>
        <w:rPr>
          <w:color w:val="auto"/>
          <w:szCs w:val="24"/>
        </w:rPr>
        <w:t>were approved</w:t>
      </w:r>
      <w:r w:rsidRPr="00843C9A">
        <w:rPr>
          <w:color w:val="auto"/>
          <w:szCs w:val="24"/>
        </w:rPr>
        <w:t xml:space="preserve"> </w:t>
      </w:r>
      <w:r w:rsidR="00E83190">
        <w:rPr>
          <w:color w:val="auto"/>
          <w:szCs w:val="24"/>
        </w:rPr>
        <w:t>for</w:t>
      </w:r>
      <w:r w:rsidR="00E83190" w:rsidDel="00D32D46">
        <w:rPr>
          <w:color w:val="auto"/>
          <w:szCs w:val="24"/>
        </w:rPr>
        <w:t xml:space="preserve"> $</w:t>
      </w:r>
      <w:r w:rsidR="000633BA" w:rsidDel="00D32D46">
        <w:rPr>
          <w:color w:val="auto"/>
          <w:szCs w:val="24"/>
        </w:rPr>
        <w:t>1</w:t>
      </w:r>
      <w:r w:rsidR="000633BA">
        <w:rPr>
          <w:color w:val="auto"/>
          <w:szCs w:val="24"/>
        </w:rPr>
        <w:t>63</w:t>
      </w:r>
      <w:r w:rsidR="00110A3C">
        <w:rPr>
          <w:color w:val="auto"/>
          <w:szCs w:val="24"/>
        </w:rPr>
        <w:t>.</w:t>
      </w:r>
      <w:r w:rsidR="000633BA">
        <w:rPr>
          <w:color w:val="auto"/>
          <w:szCs w:val="24"/>
        </w:rPr>
        <w:t>1</w:t>
      </w:r>
      <w:r w:rsidR="007736E6" w:rsidDel="00D32D46">
        <w:rPr>
          <w:color w:val="auto"/>
          <w:szCs w:val="24"/>
        </w:rPr>
        <w:t> </w:t>
      </w:r>
      <w:r w:rsidR="00E83190" w:rsidDel="00D32D46">
        <w:rPr>
          <w:color w:val="auto"/>
          <w:szCs w:val="24"/>
        </w:rPr>
        <w:t xml:space="preserve">billion of proposed investment. This represents a </w:t>
      </w:r>
      <w:r w:rsidR="00F40E9A">
        <w:rPr>
          <w:color w:val="auto"/>
        </w:rPr>
        <w:t>decline</w:t>
      </w:r>
      <w:r w:rsidR="00F40E9A" w:rsidDel="00D32D46">
        <w:rPr>
          <w:color w:val="auto"/>
          <w:szCs w:val="24"/>
        </w:rPr>
        <w:t xml:space="preserve"> </w:t>
      </w:r>
      <w:r w:rsidR="00E83190" w:rsidDel="00D32D46">
        <w:rPr>
          <w:color w:val="auto"/>
          <w:szCs w:val="24"/>
        </w:rPr>
        <w:t xml:space="preserve">from the </w:t>
      </w:r>
      <w:r w:rsidR="00A82FE5" w:rsidDel="00D32D46">
        <w:rPr>
          <w:color w:val="auto"/>
          <w:szCs w:val="24"/>
        </w:rPr>
        <w:t>14,</w:t>
      </w:r>
      <w:r w:rsidR="00110A3C">
        <w:rPr>
          <w:color w:val="auto"/>
          <w:szCs w:val="24"/>
        </w:rPr>
        <w:t>357</w:t>
      </w:r>
      <w:r w:rsidR="00E83190" w:rsidDel="00D32D46">
        <w:rPr>
          <w:color w:val="auto"/>
          <w:szCs w:val="24"/>
        </w:rPr>
        <w:t xml:space="preserve"> approvals for proposed investment of </w:t>
      </w:r>
      <w:r w:rsidR="00A82FE5" w:rsidDel="00D32D46">
        <w:rPr>
          <w:color w:val="auto"/>
          <w:szCs w:val="24"/>
        </w:rPr>
        <w:t>$19</w:t>
      </w:r>
      <w:r w:rsidR="007B3B65">
        <w:rPr>
          <w:color w:val="auto"/>
          <w:szCs w:val="24"/>
        </w:rPr>
        <w:t>7</w:t>
      </w:r>
      <w:r w:rsidR="00A82FE5" w:rsidDel="00D32D46">
        <w:rPr>
          <w:color w:val="auto"/>
          <w:szCs w:val="24"/>
        </w:rPr>
        <w:t>.</w:t>
      </w:r>
      <w:r w:rsidR="007B3B65">
        <w:rPr>
          <w:color w:val="auto"/>
          <w:szCs w:val="24"/>
        </w:rPr>
        <w:t>7</w:t>
      </w:r>
      <w:r w:rsidR="00A82FE5" w:rsidDel="00D32D46">
        <w:rPr>
          <w:color w:val="auto"/>
          <w:szCs w:val="24"/>
        </w:rPr>
        <w:t> billion</w:t>
      </w:r>
      <w:r w:rsidR="00E83190" w:rsidDel="00D32D46">
        <w:rPr>
          <w:color w:val="auto"/>
          <w:szCs w:val="24"/>
        </w:rPr>
        <w:t xml:space="preserve"> in </w:t>
      </w:r>
      <w:r w:rsidR="00A82FE5" w:rsidDel="00D32D46">
        <w:rPr>
          <w:color w:val="auto"/>
          <w:szCs w:val="24"/>
        </w:rPr>
        <w:t>2016</w:t>
      </w:r>
      <w:r w:rsidR="00E83190" w:rsidDel="00D32D46">
        <w:rPr>
          <w:color w:val="auto"/>
          <w:szCs w:val="24"/>
        </w:rPr>
        <w:t>–</w:t>
      </w:r>
      <w:r w:rsidR="00A82FE5" w:rsidDel="00D32D46">
        <w:rPr>
          <w:color w:val="auto"/>
          <w:szCs w:val="24"/>
        </w:rPr>
        <w:t>17</w:t>
      </w:r>
      <w:r w:rsidR="001B6C29" w:rsidDel="00D32D46">
        <w:rPr>
          <w:color w:val="auto"/>
          <w:szCs w:val="24"/>
        </w:rPr>
        <w:t xml:space="preserve"> (s</w:t>
      </w:r>
      <w:r w:rsidR="00E83190" w:rsidDel="00D32D46">
        <w:rPr>
          <w:color w:val="auto"/>
          <w:szCs w:val="24"/>
        </w:rPr>
        <w:t>ee</w:t>
      </w:r>
      <w:r w:rsidR="00115641">
        <w:rPr>
          <w:color w:val="auto"/>
          <w:szCs w:val="24"/>
        </w:rPr>
        <w:t> </w:t>
      </w:r>
      <w:r w:rsidR="00A82FE5" w:rsidDel="00D32D46">
        <w:rPr>
          <w:color w:val="auto"/>
          <w:szCs w:val="24"/>
        </w:rPr>
        <w:t>Tables </w:t>
      </w:r>
      <w:r w:rsidR="005E13F9" w:rsidDel="00D32D46">
        <w:rPr>
          <w:color w:val="auto"/>
          <w:szCs w:val="24"/>
        </w:rPr>
        <w:t>3</w:t>
      </w:r>
      <w:r w:rsidR="00E83190" w:rsidDel="00D32D46">
        <w:rPr>
          <w:color w:val="auto"/>
          <w:szCs w:val="24"/>
        </w:rPr>
        <w:t xml:space="preserve">.1 and </w:t>
      </w:r>
      <w:r w:rsidR="005E13F9" w:rsidDel="00D32D46">
        <w:rPr>
          <w:color w:val="auto"/>
          <w:szCs w:val="24"/>
        </w:rPr>
        <w:t>3</w:t>
      </w:r>
      <w:r w:rsidR="00E83190" w:rsidDel="00D32D46">
        <w:rPr>
          <w:color w:val="auto"/>
          <w:szCs w:val="24"/>
        </w:rPr>
        <w:t>.2</w:t>
      </w:r>
      <w:r w:rsidR="001B6C29" w:rsidDel="00D32D46">
        <w:rPr>
          <w:color w:val="auto"/>
          <w:szCs w:val="24"/>
        </w:rPr>
        <w:t>)</w:t>
      </w:r>
      <w:r w:rsidR="00E83190" w:rsidDel="00D32D46">
        <w:rPr>
          <w:color w:val="auto"/>
          <w:szCs w:val="24"/>
        </w:rPr>
        <w:t>.</w:t>
      </w:r>
    </w:p>
    <w:p w14:paraId="05E0BA38" w14:textId="5E8B2AA0" w:rsidR="00E83190" w:rsidRDefault="000301AA" w:rsidP="0038534B">
      <w:pPr>
        <w:spacing w:after="180"/>
        <w:rPr>
          <w:color w:val="auto"/>
        </w:rPr>
      </w:pPr>
      <w:r>
        <w:t xml:space="preserve">The decline in </w:t>
      </w:r>
      <w:r w:rsidR="003D700F">
        <w:t>foreign investment application</w:t>
      </w:r>
      <w:r>
        <w:t xml:space="preserve"> numbers since t</w:t>
      </w:r>
      <w:r w:rsidRPr="007736E6">
        <w:t xml:space="preserve">he introduction of </w:t>
      </w:r>
      <w:r>
        <w:t xml:space="preserve">application fees </w:t>
      </w:r>
      <w:r w:rsidRPr="007736E6">
        <w:t>in December 2015</w:t>
      </w:r>
      <w:r>
        <w:t xml:space="preserve">, particularly for residential real estate, reflects in part </w:t>
      </w:r>
      <w:r w:rsidR="00D669A4">
        <w:t xml:space="preserve">that </w:t>
      </w:r>
      <w:r w:rsidR="007F5A67">
        <w:t xml:space="preserve">foreign persons </w:t>
      </w:r>
      <w:r w:rsidR="00DB49AA">
        <w:t xml:space="preserve">now apply when they are </w:t>
      </w:r>
      <w:r w:rsidR="002A733A">
        <w:t>confident</w:t>
      </w:r>
      <w:r w:rsidR="00DB49AA">
        <w:t xml:space="preserve"> about investing.</w:t>
      </w:r>
      <w:r>
        <w:rPr>
          <w:color w:val="auto"/>
        </w:rPr>
        <w:t xml:space="preserve"> </w:t>
      </w:r>
      <w:r w:rsidR="00BC00A4">
        <w:rPr>
          <w:color w:val="auto"/>
        </w:rPr>
        <w:t>Specific f</w:t>
      </w:r>
      <w:r w:rsidR="00C9341A">
        <w:rPr>
          <w:color w:val="auto"/>
        </w:rPr>
        <w:t xml:space="preserve">actors that may have contributed to </w:t>
      </w:r>
      <w:r w:rsidR="00BC00A4">
        <w:rPr>
          <w:color w:val="auto"/>
        </w:rPr>
        <w:t>declines or increases in particular sectors are noted at the discussion of the relevant sectors.</w:t>
      </w:r>
    </w:p>
    <w:p w14:paraId="05E0BA39" w14:textId="77777777" w:rsidR="00E83190" w:rsidRPr="004F599C" w:rsidRDefault="00E83190" w:rsidP="00AF5EA5">
      <w:pPr>
        <w:pStyle w:val="Heading3"/>
      </w:pPr>
      <w:r w:rsidRPr="004F599C">
        <w:t xml:space="preserve">Conditional </w:t>
      </w:r>
      <w:r w:rsidRPr="00AF5EA5">
        <w:t>approvals</w:t>
      </w:r>
    </w:p>
    <w:p w14:paraId="05E0BA3A" w14:textId="67C4D837" w:rsidR="00E83190" w:rsidRPr="00843C9A" w:rsidRDefault="00E83190" w:rsidP="0038534B">
      <w:pPr>
        <w:spacing w:after="180"/>
        <w:rPr>
          <w:color w:val="auto"/>
          <w:szCs w:val="24"/>
        </w:rPr>
      </w:pPr>
      <w:r>
        <w:rPr>
          <w:color w:val="auto"/>
          <w:szCs w:val="24"/>
        </w:rPr>
        <w:t xml:space="preserve">Where </w:t>
      </w:r>
      <w:r w:rsidR="0011650B">
        <w:rPr>
          <w:color w:val="auto"/>
          <w:szCs w:val="24"/>
        </w:rPr>
        <w:t>an application</w:t>
      </w:r>
      <w:r>
        <w:rPr>
          <w:color w:val="auto"/>
          <w:szCs w:val="24"/>
        </w:rPr>
        <w:t xml:space="preserve"> raises national interest </w:t>
      </w:r>
      <w:r w:rsidR="003D700F">
        <w:rPr>
          <w:color w:val="auto"/>
          <w:szCs w:val="24"/>
        </w:rPr>
        <w:t>concerns</w:t>
      </w:r>
      <w:r>
        <w:rPr>
          <w:color w:val="auto"/>
          <w:szCs w:val="24"/>
        </w:rPr>
        <w:t xml:space="preserve">, such as </w:t>
      </w:r>
      <w:r w:rsidR="003D700F">
        <w:rPr>
          <w:color w:val="auto"/>
          <w:szCs w:val="24"/>
        </w:rPr>
        <w:t xml:space="preserve">potential </w:t>
      </w:r>
      <w:r>
        <w:rPr>
          <w:color w:val="auto"/>
          <w:szCs w:val="24"/>
        </w:rPr>
        <w:t xml:space="preserve">tax risks, conditions can be imposed </w:t>
      </w:r>
      <w:r w:rsidR="003D700F">
        <w:rPr>
          <w:color w:val="auto"/>
          <w:szCs w:val="24"/>
        </w:rPr>
        <w:t>on</w:t>
      </w:r>
      <w:r>
        <w:rPr>
          <w:color w:val="auto"/>
          <w:szCs w:val="24"/>
        </w:rPr>
        <w:t xml:space="preserve"> the approval to mitigate the </w:t>
      </w:r>
      <w:r w:rsidR="003D700F">
        <w:rPr>
          <w:color w:val="auto"/>
          <w:szCs w:val="24"/>
        </w:rPr>
        <w:t xml:space="preserve">potential </w:t>
      </w:r>
      <w:r>
        <w:rPr>
          <w:color w:val="auto"/>
          <w:szCs w:val="24"/>
        </w:rPr>
        <w:t xml:space="preserve">risks and ensure the </w:t>
      </w:r>
      <w:r w:rsidR="0011650B">
        <w:rPr>
          <w:color w:val="auto"/>
          <w:szCs w:val="24"/>
        </w:rPr>
        <w:t xml:space="preserve">proposed investment </w:t>
      </w:r>
      <w:r>
        <w:rPr>
          <w:color w:val="auto"/>
          <w:szCs w:val="24"/>
        </w:rPr>
        <w:t>is not contrary to the national interest. In 20</w:t>
      </w:r>
      <w:r w:rsidR="00A82FE5">
        <w:rPr>
          <w:color w:val="auto"/>
          <w:szCs w:val="24"/>
        </w:rPr>
        <w:t>17</w:t>
      </w:r>
      <w:r>
        <w:rPr>
          <w:color w:val="auto"/>
          <w:szCs w:val="24"/>
        </w:rPr>
        <w:t>–</w:t>
      </w:r>
      <w:r w:rsidR="00A82FE5">
        <w:rPr>
          <w:color w:val="auto"/>
          <w:szCs w:val="24"/>
        </w:rPr>
        <w:t>18</w:t>
      </w:r>
      <w:r w:rsidR="00F60B92">
        <w:rPr>
          <w:color w:val="auto"/>
          <w:szCs w:val="24"/>
        </w:rPr>
        <w:t>,</w:t>
      </w:r>
      <w:r w:rsidR="00A82FE5">
        <w:rPr>
          <w:color w:val="auto"/>
          <w:szCs w:val="24"/>
        </w:rPr>
        <w:t xml:space="preserve"> </w:t>
      </w:r>
      <w:r>
        <w:rPr>
          <w:color w:val="auto"/>
          <w:szCs w:val="24"/>
        </w:rPr>
        <w:t xml:space="preserve">the number of approvals made subject to conditions increased </w:t>
      </w:r>
      <w:r w:rsidR="003D700F">
        <w:rPr>
          <w:color w:val="auto"/>
          <w:szCs w:val="24"/>
        </w:rPr>
        <w:t xml:space="preserve">by </w:t>
      </w:r>
      <w:r w:rsidR="004B0EE8">
        <w:rPr>
          <w:color w:val="auto"/>
          <w:szCs w:val="24"/>
        </w:rPr>
        <w:t xml:space="preserve">around </w:t>
      </w:r>
      <w:r w:rsidR="00896355">
        <w:rPr>
          <w:color w:val="auto"/>
          <w:szCs w:val="24"/>
        </w:rPr>
        <w:t>three</w:t>
      </w:r>
      <w:r w:rsidR="00A82FE5">
        <w:rPr>
          <w:color w:val="auto"/>
          <w:szCs w:val="24"/>
        </w:rPr>
        <w:t> </w:t>
      </w:r>
      <w:r>
        <w:rPr>
          <w:color w:val="auto"/>
          <w:szCs w:val="24"/>
        </w:rPr>
        <w:t>percent</w:t>
      </w:r>
      <w:r w:rsidR="00896355">
        <w:rPr>
          <w:color w:val="auto"/>
          <w:szCs w:val="24"/>
        </w:rPr>
        <w:t>age points</w:t>
      </w:r>
      <w:r>
        <w:rPr>
          <w:color w:val="auto"/>
          <w:szCs w:val="24"/>
        </w:rPr>
        <w:t xml:space="preserve"> to around </w:t>
      </w:r>
      <w:r w:rsidR="00EC7E21">
        <w:rPr>
          <w:color w:val="auto"/>
          <w:szCs w:val="24"/>
        </w:rPr>
        <w:t>43</w:t>
      </w:r>
      <w:r w:rsidR="00A82FE5">
        <w:rPr>
          <w:color w:val="auto"/>
          <w:szCs w:val="24"/>
        </w:rPr>
        <w:t> </w:t>
      </w:r>
      <w:r>
        <w:rPr>
          <w:color w:val="auto"/>
          <w:szCs w:val="24"/>
        </w:rPr>
        <w:t>per cent of the total number</w:t>
      </w:r>
      <w:r w:rsidR="004B0EE8">
        <w:rPr>
          <w:color w:val="auto"/>
          <w:szCs w:val="24"/>
        </w:rPr>
        <w:t xml:space="preserve"> and</w:t>
      </w:r>
      <w:r w:rsidR="00EC7E21">
        <w:rPr>
          <w:color w:val="auto"/>
          <w:szCs w:val="24"/>
        </w:rPr>
        <w:t xml:space="preserve"> </w:t>
      </w:r>
      <w:r w:rsidR="00D669A4">
        <w:rPr>
          <w:color w:val="auto"/>
          <w:szCs w:val="24"/>
        </w:rPr>
        <w:t xml:space="preserve">over </w:t>
      </w:r>
      <w:r w:rsidR="00EC7E21">
        <w:rPr>
          <w:color w:val="auto"/>
        </w:rPr>
        <w:t>7</w:t>
      </w:r>
      <w:r w:rsidR="00203E58">
        <w:rPr>
          <w:color w:val="auto"/>
        </w:rPr>
        <w:t>5</w:t>
      </w:r>
      <w:r w:rsidR="00A82FE5">
        <w:rPr>
          <w:color w:val="auto"/>
          <w:szCs w:val="24"/>
        </w:rPr>
        <w:t> </w:t>
      </w:r>
      <w:r>
        <w:rPr>
          <w:color w:val="auto"/>
          <w:szCs w:val="24"/>
        </w:rPr>
        <w:t>per cent of the total value of approvals.</w:t>
      </w:r>
      <w:r w:rsidR="00BD4C2E">
        <w:rPr>
          <w:color w:val="auto"/>
          <w:szCs w:val="24"/>
        </w:rPr>
        <w:t xml:space="preserve"> For </w:t>
      </w:r>
      <w:r w:rsidR="00C9341A">
        <w:rPr>
          <w:color w:val="auto"/>
          <w:szCs w:val="24"/>
        </w:rPr>
        <w:t>non-real estate approvals, the majority of conditions related to tax.</w:t>
      </w:r>
    </w:p>
    <w:p w14:paraId="05E0BA3E" w14:textId="7A70A862" w:rsidR="00E83190" w:rsidRPr="004F599C" w:rsidRDefault="00CD1E0E" w:rsidP="00AF5EA5">
      <w:pPr>
        <w:pStyle w:val="Heading3"/>
      </w:pPr>
      <w:r>
        <w:t xml:space="preserve">Rejections and </w:t>
      </w:r>
      <w:r w:rsidRPr="00AF5EA5">
        <w:t>other</w:t>
      </w:r>
      <w:r>
        <w:t xml:space="preserve"> outcomes</w:t>
      </w:r>
    </w:p>
    <w:p w14:paraId="05E0BA3F" w14:textId="15E5608A" w:rsidR="00E83190" w:rsidRPr="007B2323" w:rsidRDefault="00EE7ADA" w:rsidP="0038534B">
      <w:pPr>
        <w:spacing w:after="180"/>
        <w:rPr>
          <w:spacing w:val="-2"/>
        </w:rPr>
      </w:pPr>
      <w:r w:rsidRPr="007B2323">
        <w:rPr>
          <w:spacing w:val="-2"/>
        </w:rPr>
        <w:t xml:space="preserve">In 2017–18, </w:t>
      </w:r>
      <w:r w:rsidR="008E79DE" w:rsidRPr="007B2323">
        <w:rPr>
          <w:spacing w:val="-2"/>
        </w:rPr>
        <w:t>two</w:t>
      </w:r>
      <w:r w:rsidR="00374261" w:rsidRPr="007B2323">
        <w:rPr>
          <w:spacing w:val="-2"/>
        </w:rPr>
        <w:t xml:space="preserve"> </w:t>
      </w:r>
      <w:r w:rsidR="00E83190" w:rsidRPr="007B2323">
        <w:rPr>
          <w:spacing w:val="-2"/>
        </w:rPr>
        <w:t xml:space="preserve">applications </w:t>
      </w:r>
      <w:r w:rsidR="00F40E9A" w:rsidRPr="007B2323">
        <w:rPr>
          <w:spacing w:val="-2"/>
        </w:rPr>
        <w:t>were</w:t>
      </w:r>
      <w:r w:rsidR="00E83190" w:rsidRPr="007B2323">
        <w:rPr>
          <w:spacing w:val="-2"/>
        </w:rPr>
        <w:t xml:space="preserve"> </w:t>
      </w:r>
      <w:r w:rsidRPr="007B2323">
        <w:rPr>
          <w:b/>
          <w:spacing w:val="-2"/>
        </w:rPr>
        <w:t>rejected</w:t>
      </w:r>
      <w:r w:rsidR="00073375">
        <w:rPr>
          <w:spacing w:val="-2"/>
        </w:rPr>
        <w:t>,</w:t>
      </w:r>
      <w:r w:rsidRPr="007B2323">
        <w:rPr>
          <w:spacing w:val="-2"/>
        </w:rPr>
        <w:t xml:space="preserve"> </w:t>
      </w:r>
      <w:r w:rsidR="00073375">
        <w:rPr>
          <w:spacing w:val="-2"/>
        </w:rPr>
        <w:t>meaning</w:t>
      </w:r>
      <w:r w:rsidRPr="007B2323">
        <w:rPr>
          <w:spacing w:val="-2"/>
        </w:rPr>
        <w:t xml:space="preserve"> the proposed investments were </w:t>
      </w:r>
      <w:r w:rsidR="00E83190" w:rsidRPr="007B2323">
        <w:rPr>
          <w:spacing w:val="-2"/>
        </w:rPr>
        <w:t xml:space="preserve">prohibited from proceeding. </w:t>
      </w:r>
      <w:r w:rsidR="008E79DE" w:rsidRPr="007B2323">
        <w:rPr>
          <w:spacing w:val="-2"/>
        </w:rPr>
        <w:t>One</w:t>
      </w:r>
      <w:r w:rsidR="004D2B20" w:rsidRPr="007B2323">
        <w:rPr>
          <w:spacing w:val="-2"/>
        </w:rPr>
        <w:t xml:space="preserve"> </w:t>
      </w:r>
      <w:r w:rsidR="003D700F" w:rsidRPr="007B2323">
        <w:rPr>
          <w:spacing w:val="-2"/>
        </w:rPr>
        <w:t xml:space="preserve">of these was in </w:t>
      </w:r>
      <w:r w:rsidR="00E83190" w:rsidRPr="007B2323">
        <w:rPr>
          <w:spacing w:val="-2"/>
        </w:rPr>
        <w:t xml:space="preserve">residential real estate and the other </w:t>
      </w:r>
      <w:r w:rsidR="002A733A">
        <w:rPr>
          <w:spacing w:val="-2"/>
        </w:rPr>
        <w:t>related to a</w:t>
      </w:r>
      <w:r w:rsidR="00E83190" w:rsidRPr="007B2323" w:rsidDel="004D2B20">
        <w:rPr>
          <w:spacing w:val="-2"/>
        </w:rPr>
        <w:t xml:space="preserve"> </w:t>
      </w:r>
      <w:r w:rsidR="008E79DE" w:rsidRPr="007B2323">
        <w:rPr>
          <w:spacing w:val="-2"/>
        </w:rPr>
        <w:t>proposed purchase</w:t>
      </w:r>
      <w:r w:rsidR="00E83190" w:rsidRPr="007B2323" w:rsidDel="004D2B20">
        <w:rPr>
          <w:spacing w:val="-2"/>
        </w:rPr>
        <w:t xml:space="preserve"> of </w:t>
      </w:r>
      <w:r w:rsidR="003D700F" w:rsidRPr="007B2323">
        <w:rPr>
          <w:spacing w:val="-2"/>
        </w:rPr>
        <w:t>agricultural land</w:t>
      </w:r>
      <w:r w:rsidR="004E1667">
        <w:rPr>
          <w:spacing w:val="-2"/>
        </w:rPr>
        <w:t xml:space="preserve"> for residential development purposes</w:t>
      </w:r>
      <w:r w:rsidR="00E83190" w:rsidRPr="007B2323">
        <w:rPr>
          <w:spacing w:val="-2"/>
        </w:rPr>
        <w:t>.</w:t>
      </w:r>
      <w:r w:rsidR="00D604DB" w:rsidRPr="007B2323">
        <w:rPr>
          <w:spacing w:val="-2"/>
        </w:rPr>
        <w:t xml:space="preserve"> For information on investments that were required to be divested due to being in breach of the framework, see Chapter Four: Compliance.</w:t>
      </w:r>
    </w:p>
    <w:p w14:paraId="4600707D" w14:textId="53C5D351" w:rsidR="00EE7ADA" w:rsidRDefault="00F40E9A" w:rsidP="008632A4">
      <w:pPr>
        <w:spacing w:after="180"/>
      </w:pPr>
      <w:r>
        <w:t>T</w:t>
      </w:r>
      <w:r w:rsidR="00EE7ADA">
        <w:t xml:space="preserve">here were three exemption certificate applications </w:t>
      </w:r>
      <w:r w:rsidR="00465A72">
        <w:t xml:space="preserve">which </w:t>
      </w:r>
      <w:r w:rsidR="00EE7ADA">
        <w:t xml:space="preserve">the Treasurer </w:t>
      </w:r>
      <w:r w:rsidR="00EE7ADA" w:rsidRPr="0045751B">
        <w:rPr>
          <w:b/>
        </w:rPr>
        <w:t>declined</w:t>
      </w:r>
      <w:r w:rsidR="00EE7ADA">
        <w:t xml:space="preserve">. In such cases, the decision is </w:t>
      </w:r>
      <w:r w:rsidR="00EE7ADA" w:rsidRPr="00EE7ADA">
        <w:rPr>
          <w:i/>
        </w:rPr>
        <w:t>without prejudice</w:t>
      </w:r>
      <w:r w:rsidR="00EE7ADA">
        <w:t xml:space="preserve"> to the foreign person separately applying for approval for each of the acquisitions that would otherwise have been covered by the exemption certificate if it </w:t>
      </w:r>
      <w:r w:rsidR="00465A72">
        <w:t xml:space="preserve">had been </w:t>
      </w:r>
      <w:r w:rsidR="00EE7ADA">
        <w:t>granted. This reflects that there are situations where</w:t>
      </w:r>
      <w:r w:rsidR="000A477A">
        <w:t>,</w:t>
      </w:r>
      <w:r w:rsidR="00EE7ADA">
        <w:t xml:space="preserve"> for the Treasurer to be satisfied that a proposed investment is not contrary to the national interest, it is necessary for the Treasurer to know the specific assets, land or securities interest that is proposed to be acquired</w:t>
      </w:r>
      <w:r>
        <w:t xml:space="preserve"> and their character</w:t>
      </w:r>
      <w:r w:rsidR="00EE7ADA">
        <w:t>. Where an application is declined, a fee remission would normally be considered.</w:t>
      </w:r>
      <w:r w:rsidR="00507753">
        <w:t xml:space="preserve"> There were no exemption certificates </w:t>
      </w:r>
      <w:r w:rsidR="00507753" w:rsidRPr="00CE538B">
        <w:rPr>
          <w:b/>
        </w:rPr>
        <w:t>revoked</w:t>
      </w:r>
      <w:r w:rsidR="00507753" w:rsidRPr="00AB18BA">
        <w:t xml:space="preserve"> during</w:t>
      </w:r>
      <w:r w:rsidR="00507753">
        <w:t xml:space="preserve"> the period.</w:t>
      </w:r>
    </w:p>
    <w:p w14:paraId="63FABF0F" w14:textId="05A7955E" w:rsidR="00EE7ADA" w:rsidRPr="00AB18BA" w:rsidRDefault="00EE7ADA" w:rsidP="00E83190">
      <w:r>
        <w:t>In 2017–18,</w:t>
      </w:r>
      <w:r w:rsidDel="00E044AF">
        <w:t xml:space="preserve"> </w:t>
      </w:r>
      <w:r>
        <w:t xml:space="preserve">644 </w:t>
      </w:r>
      <w:r w:rsidRPr="00AB18BA">
        <w:t>applications</w:t>
      </w:r>
      <w:r w:rsidR="00E044AF">
        <w:t xml:space="preserve"> were</w:t>
      </w:r>
      <w:r w:rsidRPr="00AB18BA">
        <w:t xml:space="preserve"> </w:t>
      </w:r>
      <w:r w:rsidRPr="00CE538B">
        <w:rPr>
          <w:b/>
        </w:rPr>
        <w:t>withdrawn</w:t>
      </w:r>
      <w:r w:rsidRPr="00AB18BA">
        <w:t xml:space="preserve"> prior to a decision be</w:t>
      </w:r>
      <w:r w:rsidR="00D5593C" w:rsidRPr="00AB18BA">
        <w:t>ing</w:t>
      </w:r>
      <w:r w:rsidRPr="00AB18BA">
        <w:t xml:space="preserve"> made. </w:t>
      </w:r>
      <w:r w:rsidR="00CF1D2D" w:rsidRPr="00AB18BA">
        <w:t>Around</w:t>
      </w:r>
      <w:r w:rsidR="0038534B">
        <w:br/>
      </w:r>
      <w:r w:rsidR="00CF1D2D" w:rsidRPr="00AB18BA">
        <w:t>80 per cent of these related to residential real estate</w:t>
      </w:r>
      <w:r w:rsidR="00CF1D2D">
        <w:t xml:space="preserve"> </w:t>
      </w:r>
      <w:r w:rsidR="00CF2EAC">
        <w:t>applications</w:t>
      </w:r>
      <w:r w:rsidR="00CF1D2D">
        <w:t xml:space="preserve">. </w:t>
      </w:r>
      <w:r w:rsidR="003A6126">
        <w:t xml:space="preserve">In </w:t>
      </w:r>
      <w:r w:rsidR="00E044AF">
        <w:t xml:space="preserve">the </w:t>
      </w:r>
      <w:r w:rsidR="003A6126">
        <w:t xml:space="preserve">residential real estate </w:t>
      </w:r>
      <w:r w:rsidR="00E044AF">
        <w:t xml:space="preserve">sector </w:t>
      </w:r>
      <w:r w:rsidR="003A6126">
        <w:t xml:space="preserve">withdrawals may result from applicants submitting a series of applications and subsequently withdrawing their remaining applications once they purchase a property or </w:t>
      </w:r>
      <w:r w:rsidR="001B7F9E">
        <w:t>if</w:t>
      </w:r>
      <w:r w:rsidR="003A6126">
        <w:t xml:space="preserve"> the property subject to the application </w:t>
      </w:r>
      <w:r w:rsidR="001B7F9E">
        <w:t xml:space="preserve">has </w:t>
      </w:r>
      <w:r w:rsidR="003A6126">
        <w:t>been sold to other parties. In general, applications may be withdrawn because a</w:t>
      </w:r>
      <w:r w:rsidR="007F5A67">
        <w:t xml:space="preserve"> foreign person</w:t>
      </w:r>
      <w:r w:rsidR="003A6126">
        <w:t xml:space="preserve"> decides not to proceed with a purchase or to defer a purchase for commercial reasons. Also, in competitive bid or tender processes a</w:t>
      </w:r>
      <w:r w:rsidR="007F5A67">
        <w:t xml:space="preserve"> foreign person</w:t>
      </w:r>
      <w:r w:rsidR="003A6126">
        <w:t xml:space="preserve"> may not be shortlisted or be unsuccessful prior to a decision on their application. A small number of withdrawals may relate to assets, land or securities being withdrawn from sale by a vendor</w:t>
      </w:r>
      <w:r w:rsidR="0002007E">
        <w:t xml:space="preserve">, or to </w:t>
      </w:r>
      <w:r w:rsidR="001B7F9E">
        <w:t xml:space="preserve">the </w:t>
      </w:r>
      <w:r w:rsidR="0002007E">
        <w:t xml:space="preserve">investor consortium composition changing </w:t>
      </w:r>
      <w:r w:rsidR="0097032D">
        <w:t>following the</w:t>
      </w:r>
      <w:r w:rsidR="0002007E">
        <w:t xml:space="preserve"> submission of an application</w:t>
      </w:r>
      <w:r w:rsidR="003A6126">
        <w:t>.</w:t>
      </w:r>
    </w:p>
    <w:p w14:paraId="61E739C7" w14:textId="67438902" w:rsidR="00BF1DE7" w:rsidRDefault="00BF1DE7" w:rsidP="00E83190">
      <w:r w:rsidRPr="00AB18BA">
        <w:t>In 2017</w:t>
      </w:r>
      <w:r w:rsidRPr="00AB18BA">
        <w:noBreakHyphen/>
        <w:t xml:space="preserve">18, 61 applications were determined to be </w:t>
      </w:r>
      <w:r w:rsidRPr="00CE538B">
        <w:rPr>
          <w:b/>
        </w:rPr>
        <w:t>exempt</w:t>
      </w:r>
      <w:r w:rsidRPr="00AB18BA">
        <w:t>. Exempt refers</w:t>
      </w:r>
      <w:r>
        <w:t xml:space="preserve"> to where applications have been lodged for a proposed investment that is subsequently determined to </w:t>
      </w:r>
      <w:r w:rsidR="002C347E">
        <w:t xml:space="preserve">be </w:t>
      </w:r>
      <w:r>
        <w:t xml:space="preserve">exempt due to the proposed investment meeting the criteria for an exemption in the </w:t>
      </w:r>
      <w:r w:rsidR="00CC2C1A" w:rsidRPr="00CB54C2">
        <w:rPr>
          <w:i/>
        </w:rPr>
        <w:t>Foreign Acquisitions and Takeovers Act 1975</w:t>
      </w:r>
      <w:r w:rsidR="00CC2C1A" w:rsidRPr="00CB54C2">
        <w:t xml:space="preserve"> </w:t>
      </w:r>
      <w:r w:rsidR="00CC2C1A">
        <w:t xml:space="preserve">(the </w:t>
      </w:r>
      <w:r>
        <w:t>Act</w:t>
      </w:r>
      <w:r w:rsidR="00CC2C1A">
        <w:t>)</w:t>
      </w:r>
      <w:r>
        <w:t xml:space="preserve"> or factors such as the proposed investment not meeting a threshold to be subject to the Act.</w:t>
      </w:r>
    </w:p>
    <w:p w14:paraId="4D89E345" w14:textId="30F449B5" w:rsidR="0074148D" w:rsidRPr="004435B6" w:rsidRDefault="009D4B84" w:rsidP="00AF5EA5">
      <w:pPr>
        <w:pStyle w:val="TableHeading"/>
      </w:pPr>
      <w:bookmarkStart w:id="447" w:name="_1548074916"/>
      <w:bookmarkStart w:id="448" w:name="_Toc530065516"/>
      <w:bookmarkStart w:id="449" w:name="_Toc530066344"/>
      <w:bookmarkStart w:id="450" w:name="_Toc530145063"/>
      <w:bookmarkStart w:id="451" w:name="_Toc530146033"/>
      <w:bookmarkStart w:id="452" w:name="_Toc530146954"/>
      <w:bookmarkStart w:id="453" w:name="_Toc530148312"/>
      <w:bookmarkStart w:id="454" w:name="_Toc530148513"/>
      <w:bookmarkStart w:id="455" w:name="_Toc530149185"/>
      <w:bookmarkStart w:id="456" w:name="_Toc530149809"/>
      <w:bookmarkStart w:id="457" w:name="_Toc530401661"/>
      <w:bookmarkStart w:id="458" w:name="_Toc530491414"/>
      <w:bookmarkStart w:id="459" w:name="_Toc530495832"/>
      <w:bookmarkStart w:id="460" w:name="_Toc530497735"/>
      <w:bookmarkStart w:id="461" w:name="_Toc530663555"/>
      <w:bookmarkStart w:id="462" w:name="_Toc530753848"/>
      <w:bookmarkStart w:id="463" w:name="_Toc530756417"/>
      <w:bookmarkStart w:id="464" w:name="_Toc530759854"/>
      <w:bookmarkStart w:id="465" w:name="_Toc532223700"/>
      <w:bookmarkStart w:id="466" w:name="_Toc532224159"/>
      <w:bookmarkStart w:id="467" w:name="_Toc532226638"/>
      <w:bookmarkStart w:id="468" w:name="_Toc536029340"/>
      <w:bookmarkStart w:id="469" w:name="_Toc1054880"/>
      <w:bookmarkStart w:id="470" w:name="_Toc529545207"/>
      <w:bookmarkEnd w:id="447"/>
      <w:r w:rsidRPr="004435B6">
        <w:t>Table</w:t>
      </w:r>
      <w:r w:rsidR="00FE0B08" w:rsidRPr="004435B6">
        <w:t xml:space="preserve"> </w:t>
      </w:r>
      <w:r w:rsidR="005A174F" w:rsidRPr="004435B6">
        <w:t>3</w:t>
      </w:r>
      <w:r w:rsidR="00E83190" w:rsidRPr="004435B6">
        <w:t>.1:</w:t>
      </w:r>
      <w:r w:rsidR="00665F25">
        <w:t xml:space="preserve"> </w:t>
      </w:r>
      <w:r w:rsidR="00E83190" w:rsidRPr="004435B6">
        <w:t xml:space="preserve">Applications considered: </w:t>
      </w:r>
      <w:r w:rsidR="00E83190" w:rsidRPr="00AF5EA5">
        <w:t>20</w:t>
      </w:r>
      <w:r w:rsidRPr="00AF5EA5">
        <w:t>14</w:t>
      </w:r>
      <w:r w:rsidR="00E83190" w:rsidRPr="004435B6">
        <w:t>–</w:t>
      </w:r>
      <w:r w:rsidRPr="004435B6">
        <w:t xml:space="preserve">15 </w:t>
      </w:r>
      <w:r w:rsidR="00E83190" w:rsidRPr="004435B6">
        <w:t>to 20</w:t>
      </w:r>
      <w:r w:rsidR="00A82FE5" w:rsidRPr="004435B6">
        <w:t>17</w:t>
      </w:r>
      <w:r w:rsidR="00E83190" w:rsidRPr="004435B6">
        <w:t>–</w:t>
      </w:r>
      <w:r w:rsidRPr="004435B6">
        <w:t xml:space="preserve">18 </w:t>
      </w:r>
      <w:r w:rsidR="00E83190" w:rsidRPr="004435B6">
        <w:t>(number of </w:t>
      </w:r>
      <w:r w:rsidR="008378D3">
        <w:t>applications</w:t>
      </w:r>
      <w:r w:rsidR="00E83190" w:rsidRPr="004435B6">
        <w:t>)</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bookmarkEnd w:id="470"/>
    <w:p w14:paraId="05E0BA41" w14:textId="37DDDDCD" w:rsidR="00127535" w:rsidRPr="00127535" w:rsidRDefault="00C56453" w:rsidP="00127535">
      <w:pPr>
        <w:pStyle w:val="TableGraphic"/>
      </w:pPr>
      <w:r>
        <w:object w:dxaOrig="7736" w:dyaOrig="2717" w14:anchorId="72630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shows applications considered during a financial year for the four financial years ending 2017-18 and categorises these by application outcome. Outcomes are approved with or without conditions, rejected or declined, or withdrawn or exempt. &#10;The number of applications considered peaked in 2015-16 and declined to 11,855 in 2017-18.&#10;&#10;" style="width:387.55pt;height:135.7pt" o:ole="">
            <v:imagedata r:id="rId57" o:title=""/>
          </v:shape>
          <o:OLEObject Type="Link" ProgID="Excel.Sheet.12" ShapeID="_x0000_i1025" DrawAspect="Content" r:id="rId58" UpdateMode="Always">
            <o:LinkType>EnhancedMetaFile</o:LinkType>
            <o:LockedField>false</o:LockedField>
          </o:OLEObject>
        </w:object>
      </w:r>
    </w:p>
    <w:p w14:paraId="00124528" w14:textId="35388447" w:rsidR="00623409" w:rsidRDefault="002A3CAB" w:rsidP="009C0A05">
      <w:pPr>
        <w:pStyle w:val="ChartandTableFootnoteAlpha"/>
      </w:pPr>
      <w:bookmarkStart w:id="471" w:name="_Ref536015938"/>
      <w:r>
        <w:t>A</w:t>
      </w:r>
      <w:r w:rsidR="00633756">
        <w:t>s of 2017</w:t>
      </w:r>
      <w:r w:rsidR="00633756">
        <w:noBreakHyphen/>
        <w:t>18</w:t>
      </w:r>
      <w:r w:rsidR="00623409">
        <w:t xml:space="preserve">, </w:t>
      </w:r>
      <w:r w:rsidR="00633756">
        <w:t>residential land approvals have included a condition to register on the Residential Land Register. Where this is the only condition of the approval, for reporting purposes the approval has been classified as Approved without conditions.</w:t>
      </w:r>
      <w:bookmarkEnd w:id="471"/>
    </w:p>
    <w:p w14:paraId="7B018C0C" w14:textId="524FCC62" w:rsidR="001268E1" w:rsidRDefault="00E83190" w:rsidP="00ED6DC7">
      <w:pPr>
        <w:pStyle w:val="ChartorTableNote"/>
        <w:tabs>
          <w:tab w:val="left" w:pos="567"/>
        </w:tabs>
        <w:ind w:left="567" w:hanging="567"/>
      </w:pPr>
      <w:r w:rsidRPr="004A3335">
        <w:t xml:space="preserve">Notes: </w:t>
      </w:r>
      <w:r w:rsidRPr="004A3335">
        <w:tab/>
      </w:r>
      <w:r w:rsidR="001268E1">
        <w:t xml:space="preserve">Excluding exempt applications, to be counted as an application considered, any required foreign investment application </w:t>
      </w:r>
      <w:r w:rsidR="00DE3491">
        <w:t xml:space="preserve">fee </w:t>
      </w:r>
      <w:r w:rsidR="001268E1">
        <w:t>must have been paid or waived.</w:t>
      </w:r>
    </w:p>
    <w:p w14:paraId="00A76424" w14:textId="312DDFE0" w:rsidR="009A4E92" w:rsidRDefault="001268E1" w:rsidP="00ED6DC7">
      <w:pPr>
        <w:pStyle w:val="ChartorTableNote"/>
        <w:tabs>
          <w:tab w:val="left" w:pos="567"/>
        </w:tabs>
        <w:ind w:left="567" w:hanging="567"/>
      </w:pPr>
      <w:r>
        <w:tab/>
      </w:r>
      <w:r w:rsidR="009A4E92">
        <w:t>Variations considered are not included here. These are separately reported at Tables 3.</w:t>
      </w:r>
      <w:r w:rsidR="00E202B1">
        <w:t xml:space="preserve">15 </w:t>
      </w:r>
      <w:r w:rsidR="009A4E92">
        <w:t>and 3.</w:t>
      </w:r>
      <w:r w:rsidR="00E202B1">
        <w:t>16</w:t>
      </w:r>
      <w:r w:rsidR="009A4E92">
        <w:t>.</w:t>
      </w:r>
    </w:p>
    <w:p w14:paraId="05E0BA42" w14:textId="1A03E627" w:rsidR="00E83190" w:rsidRPr="004A3335" w:rsidRDefault="009A4E92" w:rsidP="00ED6DC7">
      <w:pPr>
        <w:pStyle w:val="ChartorTableNote"/>
        <w:tabs>
          <w:tab w:val="left" w:pos="567"/>
        </w:tabs>
        <w:ind w:left="567" w:hanging="567"/>
      </w:pPr>
      <w:r>
        <w:tab/>
      </w:r>
      <w:r w:rsidR="00E83190" w:rsidRPr="004A3335">
        <w:t xml:space="preserve">Numbers include corporate reorganisations </w:t>
      </w:r>
      <w:bookmarkStart w:id="472" w:name="OLE_LINK19"/>
      <w:bookmarkStart w:id="473" w:name="OLE_LINK20"/>
      <w:r w:rsidR="002A4560">
        <w:t>and new businesses</w:t>
      </w:r>
      <w:bookmarkEnd w:id="472"/>
      <w:bookmarkEnd w:id="473"/>
      <w:r w:rsidR="00E83190" w:rsidRPr="004A3335">
        <w:t>. This data is excluded from ot</w:t>
      </w:r>
      <w:r w:rsidR="003E1146">
        <w:t>her approvals analysis in this c</w:t>
      </w:r>
      <w:r w:rsidR="00E83190" w:rsidRPr="004A3335">
        <w:t>hapter, unless otherwise noted.</w:t>
      </w:r>
      <w:r>
        <w:t xml:space="preserve"> </w:t>
      </w:r>
      <w:r w:rsidR="00746E04">
        <w:t>The numbers also include one approval to enter into an agreement in relation to an Australian business.</w:t>
      </w:r>
      <w:r w:rsidR="005C3377">
        <w:t xml:space="preserve"> This is included in later analysis.</w:t>
      </w:r>
    </w:p>
    <w:p w14:paraId="6202E46A" w14:textId="5CA195D3" w:rsidR="00662BB9" w:rsidRDefault="00E83190" w:rsidP="00ED6DC7">
      <w:pPr>
        <w:pStyle w:val="ChartorTableNote"/>
        <w:tabs>
          <w:tab w:val="left" w:pos="567"/>
        </w:tabs>
        <w:ind w:left="567" w:hanging="567"/>
      </w:pPr>
      <w:r w:rsidRPr="004A3335">
        <w:tab/>
      </w:r>
      <w:r w:rsidR="00662BB9">
        <w:t>Data on declined applications is not separately available for years before 2017</w:t>
      </w:r>
      <w:r w:rsidR="00662BB9">
        <w:noBreakHyphen/>
        <w:t>18.</w:t>
      </w:r>
    </w:p>
    <w:p w14:paraId="05E0BA43" w14:textId="07FEBF71" w:rsidR="00E83190" w:rsidRDefault="00662BB9" w:rsidP="00ED6DC7">
      <w:pPr>
        <w:pStyle w:val="ChartorTableNote"/>
        <w:tabs>
          <w:tab w:val="left" w:pos="567"/>
        </w:tabs>
        <w:ind w:left="567" w:hanging="567"/>
      </w:pPr>
      <w:r>
        <w:tab/>
      </w:r>
      <w:r w:rsidR="00407BAC">
        <w:t>Data</w:t>
      </w:r>
      <w:r w:rsidR="00407BAC" w:rsidDel="00D669A4">
        <w:t xml:space="preserve"> </w:t>
      </w:r>
      <w:r w:rsidR="00D669A4">
        <w:t xml:space="preserve">from </w:t>
      </w:r>
      <w:r w:rsidR="00E83190" w:rsidRPr="004A3335">
        <w:t>2015</w:t>
      </w:r>
      <w:r w:rsidR="00E83190">
        <w:t>–</w:t>
      </w:r>
      <w:r w:rsidR="00E83190" w:rsidRPr="004A3335">
        <w:t xml:space="preserve">16 </w:t>
      </w:r>
      <w:r w:rsidR="00407BAC">
        <w:t xml:space="preserve">onwards was </w:t>
      </w:r>
      <w:r w:rsidR="00E83190" w:rsidRPr="004A3335">
        <w:t xml:space="preserve">impacted by the </w:t>
      </w:r>
      <w:r w:rsidR="009D4B84" w:rsidRPr="004A3335">
        <w:t>1</w:t>
      </w:r>
      <w:r w:rsidR="009D4B84">
        <w:t> </w:t>
      </w:r>
      <w:r w:rsidR="00E83190" w:rsidRPr="004A3335">
        <w:t>December 2015 reforms</w:t>
      </w:r>
      <w:r w:rsidR="00407BAC">
        <w:t xml:space="preserve">. </w:t>
      </w:r>
      <w:r w:rsidR="00D669A4">
        <w:t>Data from 2016-17 onwards was impacted by the limiting foreign ownership in new developments reform announced in the 2017</w:t>
      </w:r>
      <w:r w:rsidR="00D669A4">
        <w:noBreakHyphen/>
        <w:t xml:space="preserve">18 Budget that had immediate effect from Budget night, </w:t>
      </w:r>
      <w:r w:rsidR="00D669A4">
        <w:rPr>
          <w:rFonts w:cs="Helvetica"/>
        </w:rPr>
        <w:t>7.30pm on Tuesday 9 May 2017.</w:t>
      </w:r>
      <w:r w:rsidR="00D669A4">
        <w:t xml:space="preserve"> </w:t>
      </w:r>
      <w:r w:rsidR="00953030">
        <w:t>The</w:t>
      </w:r>
      <w:r w:rsidR="00407BAC">
        <w:t xml:space="preserve"> 2017</w:t>
      </w:r>
      <w:r w:rsidR="00407BAC">
        <w:noBreakHyphen/>
        <w:t xml:space="preserve">18 </w:t>
      </w:r>
      <w:r w:rsidR="00953030">
        <w:t xml:space="preserve">data </w:t>
      </w:r>
      <w:r w:rsidR="00407BAC">
        <w:t xml:space="preserve">was impacted by the </w:t>
      </w:r>
      <w:r w:rsidR="00D669A4">
        <w:t xml:space="preserve">other </w:t>
      </w:r>
      <w:r w:rsidR="00407BAC">
        <w:t>reforms announced in the 2017</w:t>
      </w:r>
      <w:r w:rsidR="00407BAC">
        <w:noBreakHyphen/>
        <w:t>18 Budget, which were given effect on 1 July 2017. The</w:t>
      </w:r>
      <w:r w:rsidR="00FE723D">
        <w:t>s</w:t>
      </w:r>
      <w:r w:rsidR="00407BAC">
        <w:t xml:space="preserve">e reforms </w:t>
      </w:r>
      <w:r w:rsidR="00E83190" w:rsidRPr="004A3335">
        <w:t>may affect data comparability.</w:t>
      </w:r>
    </w:p>
    <w:p w14:paraId="6EDB78E7" w14:textId="1BF8AFAB" w:rsidR="002D39B4" w:rsidRPr="002D39B4" w:rsidRDefault="0053163F" w:rsidP="0053163F">
      <w:pPr>
        <w:pStyle w:val="ChartorTableNote"/>
        <w:tabs>
          <w:tab w:val="left" w:pos="567"/>
        </w:tabs>
        <w:ind w:left="567"/>
      </w:pPr>
      <w:r>
        <w:t xml:space="preserve">Residential </w:t>
      </w:r>
      <w:r w:rsidRPr="0053163F">
        <w:t>r</w:t>
      </w:r>
      <w:r w:rsidR="002D39B4" w:rsidRPr="0053163F">
        <w:t>etrospective approval numbers</w:t>
      </w:r>
      <w:r w:rsidRPr="0053163F">
        <w:t xml:space="preserve"> </w:t>
      </w:r>
      <w:r>
        <w:t>are</w:t>
      </w:r>
      <w:r w:rsidRPr="006412BC">
        <w:t xml:space="preserve"> </w:t>
      </w:r>
      <w:r>
        <w:t>included here</w:t>
      </w:r>
      <w:r w:rsidR="00661167">
        <w:t>, in o</w:t>
      </w:r>
      <w:r w:rsidR="003E1146">
        <w:t>ther applicable tables in this c</w:t>
      </w:r>
      <w:r w:rsidR="00661167">
        <w:t>hapter</w:t>
      </w:r>
      <w:r>
        <w:t xml:space="preserve"> and </w:t>
      </w:r>
      <w:r w:rsidR="001B7F9E">
        <w:t>in</w:t>
      </w:r>
      <w:r w:rsidR="001B7F9E" w:rsidRPr="006412BC">
        <w:t xml:space="preserve"> </w:t>
      </w:r>
      <w:r w:rsidR="00EB7777">
        <w:t>Table 4.2,</w:t>
      </w:r>
      <w:r w:rsidRPr="006412BC">
        <w:t xml:space="preserve"> Chapter</w:t>
      </w:r>
      <w:r>
        <w:t xml:space="preserve"> Four: Compliance</w:t>
      </w:r>
      <w:r w:rsidRPr="006412BC">
        <w:t>.</w:t>
      </w:r>
    </w:p>
    <w:p w14:paraId="74A0B5DC" w14:textId="2E77FB47" w:rsidR="0074148D" w:rsidRPr="004435B6" w:rsidRDefault="009D4B84" w:rsidP="004435B6">
      <w:pPr>
        <w:pStyle w:val="TableHeading"/>
        <w:rPr>
          <w:spacing w:val="-2"/>
        </w:rPr>
      </w:pPr>
      <w:bookmarkStart w:id="474" w:name="_Toc530050438"/>
      <w:bookmarkStart w:id="475" w:name="_Toc530065517"/>
      <w:bookmarkStart w:id="476" w:name="_Toc530066345"/>
      <w:bookmarkStart w:id="477" w:name="_Toc530145064"/>
      <w:bookmarkStart w:id="478" w:name="_Toc530146034"/>
      <w:bookmarkStart w:id="479" w:name="_Toc530146955"/>
      <w:bookmarkStart w:id="480" w:name="_Toc530148313"/>
      <w:bookmarkStart w:id="481" w:name="_Toc530148514"/>
      <w:bookmarkStart w:id="482" w:name="_Toc530149186"/>
      <w:bookmarkStart w:id="483" w:name="_Toc530149810"/>
      <w:bookmarkStart w:id="484" w:name="_Toc530401662"/>
      <w:bookmarkStart w:id="485" w:name="_Toc530491415"/>
      <w:bookmarkStart w:id="486" w:name="_Toc530495833"/>
      <w:bookmarkStart w:id="487" w:name="_Toc530497736"/>
      <w:bookmarkStart w:id="488" w:name="_Toc530663556"/>
      <w:bookmarkStart w:id="489" w:name="_Toc530753849"/>
      <w:bookmarkStart w:id="490" w:name="_Toc530756418"/>
      <w:bookmarkStart w:id="491" w:name="_Toc530759855"/>
      <w:bookmarkStart w:id="492" w:name="_Toc532223701"/>
      <w:bookmarkStart w:id="493" w:name="_Toc532224160"/>
      <w:bookmarkStart w:id="494" w:name="_Toc532226639"/>
      <w:bookmarkStart w:id="495" w:name="_Toc536029341"/>
      <w:bookmarkStart w:id="496" w:name="_Toc1054881"/>
      <w:bookmarkStart w:id="497" w:name="_Toc529545208"/>
      <w:bookmarkStart w:id="498" w:name="_Toc529802462"/>
      <w:bookmarkStart w:id="499" w:name="_Toc529878035"/>
      <w:bookmarkStart w:id="500" w:name="_Toc529879259"/>
      <w:bookmarkStart w:id="501" w:name="_Toc529882524"/>
      <w:bookmarkStart w:id="502" w:name="_Toc529885195"/>
      <w:bookmarkStart w:id="503" w:name="_Toc529890667"/>
      <w:bookmarkStart w:id="504" w:name="_Toc529970038"/>
      <w:bookmarkStart w:id="505" w:name="_Toc529979393"/>
      <w:r w:rsidRPr="004435B6">
        <w:rPr>
          <w:spacing w:val="-2"/>
        </w:rPr>
        <w:t>Table</w:t>
      </w:r>
      <w:r w:rsidR="00FE0B08" w:rsidRPr="004435B6">
        <w:rPr>
          <w:spacing w:val="-2"/>
        </w:rPr>
        <w:t xml:space="preserve"> </w:t>
      </w:r>
      <w:r w:rsidR="005A174F" w:rsidRPr="004435B6">
        <w:rPr>
          <w:spacing w:val="-2"/>
        </w:rPr>
        <w:t>3</w:t>
      </w:r>
      <w:r w:rsidR="00E83190" w:rsidRPr="004435B6">
        <w:rPr>
          <w:spacing w:val="-2"/>
        </w:rPr>
        <w:t>.2:</w:t>
      </w:r>
      <w:r w:rsidR="00665F25">
        <w:rPr>
          <w:spacing w:val="-2"/>
        </w:rPr>
        <w:t xml:space="preserve"> </w:t>
      </w:r>
      <w:r w:rsidR="00E83190" w:rsidRPr="004435B6">
        <w:rPr>
          <w:spacing w:val="-2"/>
        </w:rPr>
        <w:t xml:space="preserve">Applications decided: </w:t>
      </w:r>
      <w:r w:rsidRPr="004435B6">
        <w:rPr>
          <w:spacing w:val="-2"/>
        </w:rPr>
        <w:t>2014</w:t>
      </w:r>
      <w:r w:rsidR="00E83190" w:rsidRPr="004435B6">
        <w:rPr>
          <w:spacing w:val="-2"/>
        </w:rPr>
        <w:t>–</w:t>
      </w:r>
      <w:r w:rsidRPr="004435B6">
        <w:rPr>
          <w:spacing w:val="-2"/>
        </w:rPr>
        <w:t xml:space="preserve">15 </w:t>
      </w:r>
      <w:r w:rsidR="00E83190" w:rsidRPr="004435B6">
        <w:rPr>
          <w:spacing w:val="-2"/>
        </w:rPr>
        <w:t>to 20</w:t>
      </w:r>
      <w:r w:rsidR="00A82FE5" w:rsidRPr="004435B6">
        <w:rPr>
          <w:spacing w:val="-2"/>
        </w:rPr>
        <w:t>17</w:t>
      </w:r>
      <w:r w:rsidR="00E83190" w:rsidRPr="004435B6">
        <w:rPr>
          <w:spacing w:val="-2"/>
        </w:rPr>
        <w:t>–</w:t>
      </w:r>
      <w:r w:rsidRPr="004435B6">
        <w:rPr>
          <w:spacing w:val="-2"/>
        </w:rPr>
        <w:t xml:space="preserve">18 </w:t>
      </w:r>
      <w:r w:rsidR="00E83190" w:rsidRPr="004435B6">
        <w:rPr>
          <w:spacing w:val="-2"/>
        </w:rPr>
        <w:t>(value of proposed investment)</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bookmarkEnd w:id="497"/>
    <w:bookmarkEnd w:id="498"/>
    <w:bookmarkEnd w:id="499"/>
    <w:bookmarkEnd w:id="500"/>
    <w:bookmarkEnd w:id="501"/>
    <w:bookmarkEnd w:id="502"/>
    <w:bookmarkEnd w:id="503"/>
    <w:bookmarkEnd w:id="504"/>
    <w:bookmarkEnd w:id="505"/>
    <w:p w14:paraId="04AEC310" w14:textId="2BAFAC93" w:rsidR="00ED6DC7" w:rsidRDefault="00C56453" w:rsidP="00092D86">
      <w:pPr>
        <w:pStyle w:val="TableGraphic"/>
      </w:pPr>
      <w:r>
        <w:object w:dxaOrig="7710" w:dyaOrig="1827" w14:anchorId="0D7C535B">
          <v:shape id="_x0000_i1026" type="#_x0000_t75" alt="Table shows the total value of applications decided during a financial year for the four financial years ending 2017-18 and categorises these by application outcome. Outcomes are approved with or without conditions, rejected or declined. &#10;The value of applications decided peaked in 2015-16 at $247.9 billion and declined to $166.1 billion in 2017-18." style="width:385.9pt;height:91.15pt" o:ole="">
            <v:imagedata r:id="rId59" o:title=""/>
          </v:shape>
          <o:OLEObject Type="Link" ProgID="Excel.Sheet.12" ShapeID="_x0000_i1026" DrawAspect="Content" r:id="rId60" UpdateMode="Always">
            <o:LinkType>EnhancedMetaFile</o:LinkType>
            <o:LockedField>false</o:LockedField>
          </o:OLEObject>
        </w:object>
      </w:r>
    </w:p>
    <w:p w14:paraId="1624E2E7" w14:textId="4BEFA98F" w:rsidR="0076677A" w:rsidRDefault="000E7D54" w:rsidP="00397941">
      <w:pPr>
        <w:pStyle w:val="ChartandTableFootnoteAlpha"/>
        <w:numPr>
          <w:ilvl w:val="0"/>
          <w:numId w:val="30"/>
        </w:numPr>
      </w:pPr>
      <w:r>
        <w:t>A</w:t>
      </w:r>
      <w:r w:rsidR="0076677A">
        <w:t>s of 2017</w:t>
      </w:r>
      <w:r w:rsidR="0076677A">
        <w:noBreakHyphen/>
        <w:t xml:space="preserve">18, residential land approvals have included a condition to register on the Residential Land Register. Where this is the only condition of the approval, for reporting purposes the approval has been classified as </w:t>
      </w:r>
      <w:r w:rsidR="00C93EBC">
        <w:t>a</w:t>
      </w:r>
      <w:r w:rsidR="0076677A">
        <w:t>pproved without conditions.</w:t>
      </w:r>
    </w:p>
    <w:p w14:paraId="05E0BA46" w14:textId="60622C14" w:rsidR="00E83190" w:rsidRPr="004A3335" w:rsidRDefault="00E83190" w:rsidP="00ED6DC7">
      <w:pPr>
        <w:pStyle w:val="ChartorTableNote"/>
        <w:tabs>
          <w:tab w:val="left" w:pos="567"/>
        </w:tabs>
        <w:ind w:left="567" w:hanging="567"/>
      </w:pPr>
      <w:r w:rsidRPr="004A3335">
        <w:t>Notes:</w:t>
      </w:r>
      <w:r w:rsidRPr="004A3335">
        <w:tab/>
        <w:t>Totals may not add due to rounding.</w:t>
      </w:r>
    </w:p>
    <w:p w14:paraId="05E0BA47" w14:textId="77777777" w:rsidR="00E83190" w:rsidRPr="004A3335" w:rsidRDefault="00E83190" w:rsidP="00ED6DC7">
      <w:pPr>
        <w:pStyle w:val="ChartorTableNote"/>
        <w:tabs>
          <w:tab w:val="left" w:pos="567"/>
        </w:tabs>
        <w:ind w:left="567" w:hanging="567"/>
      </w:pPr>
      <w:r w:rsidRPr="004A3335">
        <w:tab/>
        <w:t>‘0.0’ indicates a figure of less than $50 million.</w:t>
      </w:r>
    </w:p>
    <w:p w14:paraId="05E0BA48" w14:textId="5B91CA55" w:rsidR="00E83190" w:rsidRPr="004A3335" w:rsidRDefault="00E83190" w:rsidP="00ED6DC7">
      <w:pPr>
        <w:pStyle w:val="ChartorTableNote"/>
        <w:tabs>
          <w:tab w:val="left" w:pos="567"/>
        </w:tabs>
        <w:ind w:left="567" w:hanging="567"/>
      </w:pPr>
      <w:r w:rsidRPr="004A3335">
        <w:tab/>
        <w:t>Figures exclude corporate reorganisations (</w:t>
      </w:r>
      <w:r w:rsidR="00B67C34">
        <w:t>119 approved</w:t>
      </w:r>
      <w:r w:rsidR="00B67C34" w:rsidRPr="004A3335">
        <w:t xml:space="preserve"> </w:t>
      </w:r>
      <w:r w:rsidRPr="004A3335">
        <w:t>in 20</w:t>
      </w:r>
      <w:r w:rsidR="00A82FE5">
        <w:t>17</w:t>
      </w:r>
      <w:r>
        <w:t>–</w:t>
      </w:r>
      <w:r w:rsidR="009D4B84" w:rsidRPr="004A3335">
        <w:t>1</w:t>
      </w:r>
      <w:r w:rsidR="009D4B84">
        <w:t>8</w:t>
      </w:r>
      <w:r w:rsidRPr="004A3335">
        <w:t>)</w:t>
      </w:r>
      <w:r w:rsidR="002A4560">
        <w:t xml:space="preserve"> and new businesses (</w:t>
      </w:r>
      <w:r w:rsidR="00774BB8">
        <w:t>20</w:t>
      </w:r>
      <w:r w:rsidR="00953030">
        <w:t> </w:t>
      </w:r>
      <w:r w:rsidR="00B67C34">
        <w:t>approved</w:t>
      </w:r>
      <w:r w:rsidR="002A4560">
        <w:t xml:space="preserve"> in 2017</w:t>
      </w:r>
      <w:r w:rsidR="002A4560">
        <w:noBreakHyphen/>
        <w:t>18)</w:t>
      </w:r>
      <w:r w:rsidRPr="004A3335">
        <w:t>, since they are attributed $</w:t>
      </w:r>
      <w:r w:rsidR="009D4B84" w:rsidRPr="004A3335">
        <w:t>0</w:t>
      </w:r>
      <w:r w:rsidR="009D4B84">
        <w:t> </w:t>
      </w:r>
      <w:r w:rsidRPr="004A3335">
        <w:t>value.</w:t>
      </w:r>
      <w:r w:rsidR="008E64A7">
        <w:t xml:space="preserve"> Corporate reorganisations and new businesses are also excluded from earlier year data.</w:t>
      </w:r>
    </w:p>
    <w:p w14:paraId="496B751A" w14:textId="4BF162DF" w:rsidR="00662BB9" w:rsidRDefault="00E83190" w:rsidP="00ED6DC7">
      <w:pPr>
        <w:pStyle w:val="ChartorTableNote"/>
        <w:tabs>
          <w:tab w:val="left" w:pos="567"/>
        </w:tabs>
        <w:ind w:left="567" w:hanging="567"/>
      </w:pPr>
      <w:r w:rsidRPr="004A3335">
        <w:tab/>
      </w:r>
      <w:r w:rsidR="00662BB9">
        <w:t>Data on declined applications is not separately available for years before 2017</w:t>
      </w:r>
      <w:r w:rsidR="00662BB9">
        <w:noBreakHyphen/>
        <w:t>18.</w:t>
      </w:r>
    </w:p>
    <w:p w14:paraId="4A3BA116" w14:textId="2A38E6EB" w:rsidR="007B3B65" w:rsidRPr="007B3B65" w:rsidRDefault="00662BB9" w:rsidP="00AF5EA5">
      <w:pPr>
        <w:pStyle w:val="ChartorTableNote"/>
        <w:tabs>
          <w:tab w:val="left" w:pos="567"/>
        </w:tabs>
        <w:ind w:left="567" w:hanging="567"/>
      </w:pPr>
      <w:r>
        <w:tab/>
      </w:r>
      <w:r w:rsidR="008E64A7">
        <w:t>Data for 2016-17 has been amended from earlier published data to reflect an upward revision of residential real estate values. These revisions have also been applied to Tables 3.3, 3.4, and 3.10.</w:t>
      </w:r>
      <w:r w:rsidR="008E64A7">
        <w:br/>
      </w:r>
      <w:r w:rsidR="00407BAC">
        <w:t xml:space="preserve">Data for </w:t>
      </w:r>
      <w:r w:rsidR="00407BAC" w:rsidRPr="004A3335">
        <w:t>2015</w:t>
      </w:r>
      <w:r w:rsidR="00407BAC">
        <w:t>–</w:t>
      </w:r>
      <w:r w:rsidR="00407BAC" w:rsidRPr="004A3335">
        <w:t xml:space="preserve">16 </w:t>
      </w:r>
      <w:r w:rsidR="00407BAC">
        <w:t xml:space="preserve">onwards was </w:t>
      </w:r>
      <w:r w:rsidR="00407BAC" w:rsidRPr="004A3335">
        <w:t>impacted by the 1</w:t>
      </w:r>
      <w:r w:rsidR="00407BAC">
        <w:t> </w:t>
      </w:r>
      <w:r w:rsidR="00407BAC" w:rsidRPr="004A3335">
        <w:t>December 2015 reforms</w:t>
      </w:r>
      <w:r w:rsidR="00407BAC">
        <w:t xml:space="preserve">. </w:t>
      </w:r>
      <w:r w:rsidR="008E64A7">
        <w:t>Data from 2016-17 onwards was impacted by the limiting foreign ownership in new developments reform announced in the 2017</w:t>
      </w:r>
      <w:r w:rsidR="008E64A7">
        <w:noBreakHyphen/>
        <w:t xml:space="preserve">18 Budget that had immediate effect from Budget night, </w:t>
      </w:r>
      <w:r w:rsidR="008E64A7">
        <w:rPr>
          <w:rFonts w:cs="Helvetica"/>
        </w:rPr>
        <w:t>7.30pm on Tuesday 9 May 2017.</w:t>
      </w:r>
      <w:r w:rsidR="008E64A7">
        <w:t xml:space="preserve"> </w:t>
      </w:r>
      <w:r w:rsidR="00953030" w:rsidRPr="00953030">
        <w:t>The 2017</w:t>
      </w:r>
      <w:r w:rsidR="00953030" w:rsidRPr="00953030">
        <w:noBreakHyphen/>
        <w:t>18 data</w:t>
      </w:r>
      <w:r w:rsidR="00407BAC" w:rsidDel="00953030">
        <w:t xml:space="preserve"> </w:t>
      </w:r>
      <w:r w:rsidR="00407BAC">
        <w:t xml:space="preserve">was impacted by the </w:t>
      </w:r>
      <w:r w:rsidR="008632A4">
        <w:t xml:space="preserve">other </w:t>
      </w:r>
      <w:r w:rsidR="00407BAC">
        <w:t>reforms announced in the 2017</w:t>
      </w:r>
      <w:r w:rsidR="00407BAC">
        <w:noBreakHyphen/>
        <w:t>18 Budget, which were given effect on 1 July 2017. The</w:t>
      </w:r>
      <w:r w:rsidR="00361BFB">
        <w:t>s</w:t>
      </w:r>
      <w:r w:rsidR="00407BAC">
        <w:t xml:space="preserve">e reforms </w:t>
      </w:r>
      <w:r w:rsidR="00407BAC" w:rsidRPr="004A3335">
        <w:t>may affect data comparability.</w:t>
      </w:r>
    </w:p>
    <w:p w14:paraId="4F63F9D2" w14:textId="44C0B63F" w:rsidR="00073DE2" w:rsidRDefault="00E83190" w:rsidP="00AF5EA5">
      <w:pPr>
        <w:pStyle w:val="Heading2"/>
      </w:pPr>
      <w:bookmarkStart w:id="506" w:name="_Toc536029378"/>
      <w:bookmarkStart w:id="507" w:name="_Toc1120400"/>
      <w:bookmarkStart w:id="508" w:name="_Toc1121971"/>
      <w:r w:rsidRPr="004F599C">
        <w:t>Approval</w:t>
      </w:r>
      <w:r w:rsidR="00073DE2">
        <w:t>s</w:t>
      </w:r>
      <w:r w:rsidR="0093021F">
        <w:t xml:space="preserve"> </w:t>
      </w:r>
      <w:r w:rsidR="0093021F" w:rsidRPr="00AF5EA5">
        <w:t>overview</w:t>
      </w:r>
      <w:bookmarkEnd w:id="506"/>
      <w:bookmarkEnd w:id="507"/>
      <w:bookmarkEnd w:id="508"/>
    </w:p>
    <w:p w14:paraId="05E0BA4B" w14:textId="61F91B6B" w:rsidR="00E83190" w:rsidRDefault="00C318AB" w:rsidP="004C723B">
      <w:pPr>
        <w:spacing w:after="200"/>
        <w:rPr>
          <w:color w:val="auto"/>
          <w:szCs w:val="24"/>
        </w:rPr>
      </w:pPr>
      <w:r>
        <w:rPr>
          <w:color w:val="auto"/>
          <w:szCs w:val="24"/>
        </w:rPr>
        <w:t>As noted earlier, t</w:t>
      </w:r>
      <w:r w:rsidR="00E83190">
        <w:rPr>
          <w:color w:val="auto"/>
          <w:szCs w:val="24"/>
        </w:rPr>
        <w:t xml:space="preserve">he value of approvals in </w:t>
      </w:r>
      <w:r w:rsidR="009D4B84">
        <w:rPr>
          <w:color w:val="auto"/>
          <w:szCs w:val="24"/>
        </w:rPr>
        <w:t>2017</w:t>
      </w:r>
      <w:r w:rsidR="00E83190">
        <w:rPr>
          <w:color w:val="auto"/>
          <w:szCs w:val="24"/>
        </w:rPr>
        <w:t>–</w:t>
      </w:r>
      <w:r w:rsidR="009D4B84">
        <w:rPr>
          <w:color w:val="auto"/>
          <w:szCs w:val="24"/>
        </w:rPr>
        <w:t xml:space="preserve">18 </w:t>
      </w:r>
      <w:r>
        <w:rPr>
          <w:color w:val="auto"/>
          <w:szCs w:val="24"/>
        </w:rPr>
        <w:t xml:space="preserve">was less than the </w:t>
      </w:r>
      <w:r w:rsidR="000D64B8">
        <w:rPr>
          <w:color w:val="auto"/>
          <w:szCs w:val="24"/>
        </w:rPr>
        <w:t>level</w:t>
      </w:r>
      <w:r>
        <w:rPr>
          <w:color w:val="auto"/>
          <w:szCs w:val="24"/>
        </w:rPr>
        <w:t xml:space="preserve"> recorded in</w:t>
      </w:r>
      <w:r w:rsidR="004046AA">
        <w:rPr>
          <w:color w:val="auto"/>
          <w:szCs w:val="24"/>
        </w:rPr>
        <w:br/>
      </w:r>
      <w:r>
        <w:rPr>
          <w:color w:val="auto"/>
          <w:szCs w:val="24"/>
        </w:rPr>
        <w:t>2</w:t>
      </w:r>
      <w:r w:rsidR="009D4B84">
        <w:rPr>
          <w:color w:val="auto"/>
          <w:szCs w:val="24"/>
        </w:rPr>
        <w:t>016</w:t>
      </w:r>
      <w:r w:rsidR="00E83190">
        <w:rPr>
          <w:color w:val="auto"/>
          <w:szCs w:val="24"/>
        </w:rPr>
        <w:t>–</w:t>
      </w:r>
      <w:r w:rsidR="009D4B84">
        <w:rPr>
          <w:color w:val="auto"/>
          <w:szCs w:val="24"/>
        </w:rPr>
        <w:t>17</w:t>
      </w:r>
      <w:r w:rsidR="00E83190">
        <w:rPr>
          <w:color w:val="auto"/>
          <w:szCs w:val="24"/>
        </w:rPr>
        <w:t xml:space="preserve">, </w:t>
      </w:r>
      <w:r>
        <w:rPr>
          <w:color w:val="auto"/>
          <w:szCs w:val="24"/>
        </w:rPr>
        <w:t>and substantially less than the value of approvals in 2015</w:t>
      </w:r>
      <w:r w:rsidR="004D2569">
        <w:rPr>
          <w:color w:val="auto"/>
          <w:szCs w:val="24"/>
        </w:rPr>
        <w:t>–</w:t>
      </w:r>
      <w:r>
        <w:rPr>
          <w:color w:val="auto"/>
          <w:szCs w:val="24"/>
        </w:rPr>
        <w:t>16.</w:t>
      </w:r>
      <w:r w:rsidR="00250900" w:rsidRPr="00250900">
        <w:t xml:space="preserve"> </w:t>
      </w:r>
      <w:r w:rsidR="00250900">
        <w:t xml:space="preserve">However, </w:t>
      </w:r>
      <w:r w:rsidR="00FB1719">
        <w:t xml:space="preserve">the </w:t>
      </w:r>
      <w:r w:rsidR="00FB1719">
        <w:rPr>
          <w:color w:val="auto"/>
          <w:szCs w:val="24"/>
        </w:rPr>
        <w:t>values</w:t>
      </w:r>
      <w:r w:rsidR="00250900" w:rsidRPr="00250900">
        <w:rPr>
          <w:color w:val="auto"/>
          <w:szCs w:val="24"/>
        </w:rPr>
        <w:t xml:space="preserve"> in the three years prior to 2017</w:t>
      </w:r>
      <w:r w:rsidR="00250900" w:rsidRPr="00250900">
        <w:rPr>
          <w:color w:val="auto"/>
          <w:szCs w:val="24"/>
        </w:rPr>
        <w:noBreakHyphen/>
        <w:t>18 were elevated in comparison to earlier years</w:t>
      </w:r>
      <w:r w:rsidR="00FF5490">
        <w:rPr>
          <w:color w:val="auto"/>
          <w:szCs w:val="24"/>
        </w:rPr>
        <w:t>, partly due to</w:t>
      </w:r>
      <w:r w:rsidR="00CF3D2F">
        <w:rPr>
          <w:color w:val="auto"/>
          <w:szCs w:val="24"/>
        </w:rPr>
        <w:t xml:space="preserve"> multiple competing approvals for high value targets</w:t>
      </w:r>
      <w:r w:rsidR="00250900" w:rsidRPr="00250900">
        <w:rPr>
          <w:color w:val="auto"/>
          <w:szCs w:val="24"/>
        </w:rPr>
        <w:t>.</w:t>
      </w:r>
    </w:p>
    <w:p w14:paraId="05E0BA4C" w14:textId="428D38F4" w:rsidR="00E83190" w:rsidRDefault="00936278" w:rsidP="004C723B">
      <w:pPr>
        <w:spacing w:after="200"/>
        <w:rPr>
          <w:color w:val="auto"/>
          <w:szCs w:val="24"/>
        </w:rPr>
      </w:pPr>
      <w:r>
        <w:rPr>
          <w:color w:val="auto"/>
          <w:szCs w:val="24"/>
        </w:rPr>
        <w:t xml:space="preserve">The number and value of approvals worth less than $500 million fell between 2016-17 and 2017-18. Approvals valued between $500 million and $2 billion grew by number and value over the same period. </w:t>
      </w:r>
      <w:r w:rsidR="000D64B8">
        <w:rPr>
          <w:color w:val="auto"/>
          <w:szCs w:val="24"/>
        </w:rPr>
        <w:t xml:space="preserve">There were only two </w:t>
      </w:r>
      <w:r w:rsidR="0011650B">
        <w:rPr>
          <w:color w:val="auto"/>
          <w:szCs w:val="24"/>
        </w:rPr>
        <w:t>approvals</w:t>
      </w:r>
      <w:r w:rsidR="000D64B8">
        <w:rPr>
          <w:color w:val="auto"/>
          <w:szCs w:val="24"/>
        </w:rPr>
        <w:t xml:space="preserve"> valued at more than $2</w:t>
      </w:r>
      <w:r w:rsidR="00E51F77">
        <w:rPr>
          <w:color w:val="auto"/>
          <w:szCs w:val="24"/>
        </w:rPr>
        <w:t> </w:t>
      </w:r>
      <w:r w:rsidR="000D64B8">
        <w:rPr>
          <w:color w:val="auto"/>
          <w:szCs w:val="24"/>
        </w:rPr>
        <w:t>billi</w:t>
      </w:r>
      <w:r w:rsidR="00931CD1">
        <w:rPr>
          <w:color w:val="auto"/>
          <w:szCs w:val="24"/>
        </w:rPr>
        <w:t>on in 2017</w:t>
      </w:r>
      <w:r w:rsidR="0011650B">
        <w:rPr>
          <w:color w:val="auto"/>
          <w:szCs w:val="24"/>
        </w:rPr>
        <w:noBreakHyphen/>
      </w:r>
      <w:r w:rsidR="00931CD1">
        <w:rPr>
          <w:color w:val="auto"/>
          <w:szCs w:val="24"/>
        </w:rPr>
        <w:t>18, compared with 13</w:t>
      </w:r>
      <w:r w:rsidR="000D64B8">
        <w:rPr>
          <w:color w:val="auto"/>
          <w:szCs w:val="24"/>
        </w:rPr>
        <w:t xml:space="preserve"> in this category in 2016–17</w:t>
      </w:r>
      <w:r w:rsidR="00F418A7">
        <w:rPr>
          <w:color w:val="auto"/>
          <w:szCs w:val="24"/>
        </w:rPr>
        <w:t xml:space="preserve"> and 18 in this category in 2015–16</w:t>
      </w:r>
      <w:r w:rsidR="000D64B8">
        <w:rPr>
          <w:color w:val="auto"/>
          <w:szCs w:val="24"/>
        </w:rPr>
        <w:t>.</w:t>
      </w:r>
      <w:r w:rsidR="00E51F77">
        <w:rPr>
          <w:color w:val="auto"/>
          <w:szCs w:val="24"/>
        </w:rPr>
        <w:t xml:space="preserve"> </w:t>
      </w:r>
    </w:p>
    <w:p w14:paraId="05E0BA4D" w14:textId="2EC68E6C" w:rsidR="00E83190" w:rsidRDefault="00B84F59" w:rsidP="00C574F2">
      <w:pPr>
        <w:pStyle w:val="TableHeading"/>
      </w:pPr>
      <w:bookmarkStart w:id="509" w:name="_Toc529545209"/>
      <w:bookmarkStart w:id="510" w:name="_Toc529802463"/>
      <w:bookmarkStart w:id="511" w:name="_Toc529878036"/>
      <w:bookmarkStart w:id="512" w:name="_Toc529879260"/>
      <w:bookmarkStart w:id="513" w:name="_Toc529882525"/>
      <w:bookmarkStart w:id="514" w:name="_Toc529885196"/>
      <w:bookmarkStart w:id="515" w:name="_Toc529890668"/>
      <w:bookmarkStart w:id="516" w:name="_Toc529970039"/>
      <w:bookmarkStart w:id="517" w:name="_Toc529979394"/>
      <w:bookmarkStart w:id="518" w:name="_Toc530050439"/>
      <w:bookmarkStart w:id="519" w:name="_Toc530065518"/>
      <w:bookmarkStart w:id="520" w:name="_Toc530066346"/>
      <w:bookmarkStart w:id="521" w:name="_Toc530145065"/>
      <w:bookmarkStart w:id="522" w:name="_Toc530146035"/>
      <w:bookmarkStart w:id="523" w:name="_Toc530146956"/>
      <w:bookmarkStart w:id="524" w:name="_Toc530148314"/>
      <w:bookmarkStart w:id="525" w:name="_Toc530148515"/>
      <w:bookmarkStart w:id="526" w:name="_Toc530149187"/>
      <w:bookmarkStart w:id="527" w:name="_Toc530149811"/>
      <w:bookmarkStart w:id="528" w:name="_Toc530401663"/>
      <w:bookmarkStart w:id="529" w:name="_Toc530491416"/>
      <w:bookmarkStart w:id="530" w:name="_Toc530495834"/>
      <w:bookmarkStart w:id="531" w:name="_Toc530497737"/>
      <w:bookmarkStart w:id="532" w:name="_Toc530663557"/>
      <w:bookmarkStart w:id="533" w:name="_Toc530753850"/>
      <w:bookmarkStart w:id="534" w:name="_Toc530756419"/>
      <w:bookmarkStart w:id="535" w:name="_Toc530759856"/>
      <w:bookmarkStart w:id="536" w:name="_Toc532223702"/>
      <w:bookmarkStart w:id="537" w:name="_Toc532224161"/>
      <w:bookmarkStart w:id="538" w:name="_Toc532226640"/>
      <w:bookmarkStart w:id="539" w:name="_Toc536029342"/>
      <w:bookmarkStart w:id="540" w:name="_Toc1054882"/>
      <w:r w:rsidRPr="00F418A2">
        <w:t>Table</w:t>
      </w:r>
      <w:r w:rsidR="00FE0B08">
        <w:t xml:space="preserve"> </w:t>
      </w:r>
      <w:r w:rsidR="005A174F">
        <w:t>3</w:t>
      </w:r>
      <w:r w:rsidR="00E83190" w:rsidRPr="00F418A2">
        <w:t>.3:</w:t>
      </w:r>
      <w:r w:rsidR="00665F25">
        <w:t xml:space="preserve"> </w:t>
      </w:r>
      <w:r w:rsidR="00E83190" w:rsidRPr="00F418A2">
        <w:t>Total approvals by value</w:t>
      </w:r>
      <w:r w:rsidR="00E83190">
        <w:t xml:space="preserve"> </w:t>
      </w:r>
      <w:r w:rsidR="0011650B">
        <w:t xml:space="preserve">of proposed investment </w:t>
      </w:r>
      <w:r w:rsidR="00E83190">
        <w:t>range</w:t>
      </w:r>
      <w:r w:rsidR="00E83190" w:rsidRPr="00F418A2">
        <w:t xml:space="preserve">: </w:t>
      </w:r>
      <w:r w:rsidRPr="00F418A2">
        <w:t>201</w:t>
      </w:r>
      <w:r>
        <w:t>4</w:t>
      </w:r>
      <w:r w:rsidR="00E83190">
        <w:t>–</w:t>
      </w:r>
      <w:r w:rsidRPr="00F418A2">
        <w:t>1</w:t>
      </w:r>
      <w:r>
        <w:t>5</w:t>
      </w:r>
      <w:r w:rsidRPr="00F418A2">
        <w:t xml:space="preserve"> </w:t>
      </w:r>
      <w:r w:rsidR="00E83190" w:rsidRPr="00F418A2">
        <w:t xml:space="preserve">to </w:t>
      </w:r>
      <w:r w:rsidRPr="00F418A2">
        <w:t>20</w:t>
      </w:r>
      <w:r>
        <w:t>17</w:t>
      </w:r>
      <w:r w:rsidR="00E83190">
        <w:t>–</w:t>
      </w:r>
      <w:r w:rsidRPr="00F418A2">
        <w:t>1</w:t>
      </w:r>
      <w:r>
        <w:t xml:space="preserve">8 </w:t>
      </w:r>
      <w:r w:rsidR="00E83190">
        <w:t xml:space="preserve">(number and value of </w:t>
      </w:r>
      <w:r w:rsidR="008378D3">
        <w:t>approvals</w:t>
      </w:r>
      <w:r w:rsidR="00E83190">
        <w:t>)</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05E0BA4E" w14:textId="4EAC25D0" w:rsidR="00E83190" w:rsidRPr="005B7ED2" w:rsidRDefault="00C56453" w:rsidP="00C574F2">
      <w:pPr>
        <w:pStyle w:val="TableGraphic"/>
        <w:keepNext/>
      </w:pPr>
      <w:r>
        <w:object w:dxaOrig="7760" w:dyaOrig="2305" w14:anchorId="22D39545">
          <v:shape id="_x0000_i1027" type="#_x0000_t75" alt="Table shows the number and total value of approvals during a financial year for the four financial years ending in 2017-18 and categorises these by approval value into 7 value ranges.&#10;The value and number of approvals valued at $100 million or more and less than $500 million fell. Approvals valued at less than $1 million fell from a peak of 33,028 approvals worth $18.4 billion in 2015-16 to 7,638 approvals worth $4.1 billion in 2017-18. Approvals between $500 million and $1 billion peaked in 2017-18. There were two approvals for over $2 billion in 2017-18." style="width:388.8pt;height:115.25pt;mso-position-vertical:absolute" o:ole="">
            <v:imagedata r:id="rId61" o:title=""/>
          </v:shape>
          <o:OLEObject Type="Link" ProgID="Excel.Sheet.12" ShapeID="_x0000_i1027" DrawAspect="Content" r:id="rId62" UpdateMode="Always">
            <o:LinkType>EnhancedMetaFile</o:LinkType>
            <o:LockedField>false</o:LockedField>
          </o:OLEObject>
        </w:object>
      </w:r>
    </w:p>
    <w:p w14:paraId="05E0BA4F" w14:textId="77777777" w:rsidR="00E83190" w:rsidRPr="00AE1C89" w:rsidRDefault="00E83190" w:rsidP="00C574F2">
      <w:pPr>
        <w:pStyle w:val="ChartorTableNote"/>
        <w:keepNext/>
        <w:tabs>
          <w:tab w:val="left" w:pos="567"/>
        </w:tabs>
        <w:ind w:left="567" w:hanging="567"/>
      </w:pPr>
      <w:bookmarkStart w:id="541" w:name="_1548074920"/>
      <w:bookmarkEnd w:id="541"/>
      <w:r>
        <w:t>Notes:</w:t>
      </w:r>
      <w:r>
        <w:tab/>
      </w:r>
      <w:r w:rsidRPr="00AE1C89">
        <w:t>Totals may not add due to rounding.</w:t>
      </w:r>
    </w:p>
    <w:p w14:paraId="05E0BA50" w14:textId="245C6500" w:rsidR="00E83190" w:rsidRPr="00AE1C89" w:rsidRDefault="00E83190" w:rsidP="00C574F2">
      <w:pPr>
        <w:pStyle w:val="ChartorTableNote"/>
        <w:keepNext/>
        <w:tabs>
          <w:tab w:val="left" w:pos="567"/>
        </w:tabs>
        <w:ind w:left="567" w:hanging="567"/>
      </w:pPr>
      <w:r w:rsidRPr="00AE1C89">
        <w:tab/>
      </w:r>
      <w:r w:rsidR="00365BF2" w:rsidRPr="004A3335">
        <w:t>Figures exclude corporate reorganisations (</w:t>
      </w:r>
      <w:r w:rsidR="00B67C34">
        <w:t>119</w:t>
      </w:r>
      <w:r w:rsidR="00B67C34" w:rsidRPr="004A3335">
        <w:t xml:space="preserve"> </w:t>
      </w:r>
      <w:r w:rsidR="00B67C34">
        <w:t xml:space="preserve">approved </w:t>
      </w:r>
      <w:r w:rsidR="00365BF2" w:rsidRPr="004A3335">
        <w:t>in 20</w:t>
      </w:r>
      <w:r w:rsidR="00365BF2">
        <w:t>17–</w:t>
      </w:r>
      <w:r w:rsidR="00365BF2" w:rsidRPr="004A3335">
        <w:t>1</w:t>
      </w:r>
      <w:r w:rsidR="00365BF2">
        <w:t>8</w:t>
      </w:r>
      <w:r w:rsidR="00365BF2" w:rsidRPr="004A3335">
        <w:t>)</w:t>
      </w:r>
      <w:r w:rsidR="00365BF2">
        <w:t xml:space="preserve"> and new businesses (20</w:t>
      </w:r>
      <w:r w:rsidR="00C85E15">
        <w:t> </w:t>
      </w:r>
      <w:r w:rsidR="00B67C34">
        <w:t>approved</w:t>
      </w:r>
      <w:r w:rsidR="00365BF2">
        <w:t xml:space="preserve"> in 2017</w:t>
      </w:r>
      <w:r w:rsidR="00365BF2">
        <w:noBreakHyphen/>
        <w:t>18)</w:t>
      </w:r>
      <w:r w:rsidR="00365BF2" w:rsidRPr="004A3335">
        <w:t>, since they are attributed $0</w:t>
      </w:r>
      <w:r w:rsidR="00365BF2">
        <w:t> </w:t>
      </w:r>
      <w:r w:rsidR="00365BF2" w:rsidRPr="004A3335">
        <w:t>value.</w:t>
      </w:r>
      <w:r w:rsidR="008E64A7">
        <w:t xml:space="preserve"> </w:t>
      </w:r>
      <w:r w:rsidR="00D963CD">
        <w:t>Data prior to 2017-18</w:t>
      </w:r>
      <w:r w:rsidR="008E64A7">
        <w:t xml:space="preserve"> has been </w:t>
      </w:r>
      <w:r w:rsidR="00C85E15" w:rsidRPr="00C85E15">
        <w:t xml:space="preserve">amended </w:t>
      </w:r>
      <w:r w:rsidR="008E64A7">
        <w:t>to exclude new business</w:t>
      </w:r>
      <w:r w:rsidR="00C85E15">
        <w:t xml:space="preserve"> approvals</w:t>
      </w:r>
      <w:r w:rsidR="008E64A7">
        <w:t xml:space="preserve"> as th</w:t>
      </w:r>
      <w:r w:rsidR="00C85E15">
        <w:t>ese are</w:t>
      </w:r>
      <w:r w:rsidR="00D963CD">
        <w:t xml:space="preserve"> now separately reported</w:t>
      </w:r>
      <w:r w:rsidR="008E64A7">
        <w:t xml:space="preserve"> at Table 3.13.</w:t>
      </w:r>
    </w:p>
    <w:p w14:paraId="0D5A627F" w14:textId="0CB41BDE" w:rsidR="00BC29A9" w:rsidRPr="00BC29A9" w:rsidRDefault="00E83190" w:rsidP="00BC29A9">
      <w:pPr>
        <w:pStyle w:val="ChartorTableNote"/>
        <w:keepNext/>
        <w:tabs>
          <w:tab w:val="left" w:pos="567"/>
        </w:tabs>
        <w:ind w:left="567" w:hanging="567"/>
      </w:pPr>
      <w:bookmarkStart w:id="542" w:name="_Toc536029379"/>
      <w:r w:rsidRPr="00AE1C89">
        <w:tab/>
      </w:r>
      <w:r w:rsidR="00407BAC">
        <w:t>Data</w:t>
      </w:r>
      <w:r w:rsidR="00407BAC" w:rsidDel="00073DE2">
        <w:t xml:space="preserve"> </w:t>
      </w:r>
      <w:r w:rsidR="00073DE2">
        <w:t xml:space="preserve">from </w:t>
      </w:r>
      <w:r w:rsidR="00407BAC" w:rsidRPr="004A3335">
        <w:t>2015</w:t>
      </w:r>
      <w:r w:rsidR="00407BAC">
        <w:t>–</w:t>
      </w:r>
      <w:r w:rsidR="00407BAC" w:rsidRPr="004A3335">
        <w:t xml:space="preserve">16 </w:t>
      </w:r>
      <w:r w:rsidR="00407BAC">
        <w:t xml:space="preserve">onwards was </w:t>
      </w:r>
      <w:r w:rsidR="00407BAC" w:rsidRPr="004A3335">
        <w:t>impacted by the 1</w:t>
      </w:r>
      <w:r w:rsidR="00407BAC">
        <w:t> </w:t>
      </w:r>
      <w:r w:rsidR="00407BAC" w:rsidRPr="004A3335">
        <w:t>December 2015 reforms</w:t>
      </w:r>
      <w:r w:rsidR="00407BAC">
        <w:t xml:space="preserve">. </w:t>
      </w:r>
      <w:r w:rsidR="00073DE2" w:rsidRPr="00073DE2">
        <w:t>Data from 2016-17 onwards was impacted by the limiting foreign ownership in new developments reform announced in the 2017</w:t>
      </w:r>
      <w:r w:rsidR="00073DE2">
        <w:noBreakHyphen/>
      </w:r>
      <w:r w:rsidR="00073DE2" w:rsidRPr="00073DE2">
        <w:t xml:space="preserve">18 Budget that had immediate effect from Budget night, 7.30pm on Tuesday 9 May 2017. </w:t>
      </w:r>
      <w:r w:rsidR="00C85E15" w:rsidRPr="00C85E15">
        <w:t>The 2017</w:t>
      </w:r>
      <w:r w:rsidR="00C85E15" w:rsidRPr="00C85E15">
        <w:noBreakHyphen/>
        <w:t>18 data</w:t>
      </w:r>
      <w:r w:rsidR="00407BAC" w:rsidDel="00C85E15">
        <w:t xml:space="preserve"> </w:t>
      </w:r>
      <w:r w:rsidR="00407BAC">
        <w:t xml:space="preserve">was impacted by the </w:t>
      </w:r>
      <w:r w:rsidR="00073DE2">
        <w:t xml:space="preserve">other </w:t>
      </w:r>
      <w:r w:rsidR="00407BAC">
        <w:t>reforms announced in the 2017</w:t>
      </w:r>
      <w:r w:rsidR="00407BAC">
        <w:noBreakHyphen/>
        <w:t>18 Budget, which were given effect on 1 July 2017. The</w:t>
      </w:r>
      <w:r w:rsidR="00EA212B">
        <w:t>s</w:t>
      </w:r>
      <w:r w:rsidR="00407BAC">
        <w:t xml:space="preserve">e reforms </w:t>
      </w:r>
      <w:r w:rsidR="00407BAC" w:rsidRPr="004A3335">
        <w:t>may affect data comparability.</w:t>
      </w:r>
      <w:r w:rsidR="00BC29A9">
        <w:br w:type="page"/>
      </w:r>
    </w:p>
    <w:p w14:paraId="64F26480" w14:textId="63948911" w:rsidR="000B3A88" w:rsidRPr="001917DD" w:rsidRDefault="000B3A88" w:rsidP="00AF5EA5">
      <w:pPr>
        <w:pStyle w:val="Heading2"/>
      </w:pPr>
      <w:bookmarkStart w:id="543" w:name="_Toc1120401"/>
      <w:bookmarkStart w:id="544" w:name="_Toc1121972"/>
      <w:r w:rsidRPr="001917DD">
        <w:t xml:space="preserve">Approvals by </w:t>
      </w:r>
      <w:r w:rsidR="00417318" w:rsidRPr="001917DD">
        <w:t xml:space="preserve">industry </w:t>
      </w:r>
      <w:r w:rsidRPr="001917DD">
        <w:t>sector</w:t>
      </w:r>
      <w:bookmarkEnd w:id="542"/>
      <w:bookmarkEnd w:id="543"/>
      <w:bookmarkEnd w:id="544"/>
    </w:p>
    <w:p w14:paraId="6DA89B3A" w14:textId="6FE3808C" w:rsidR="007B2323" w:rsidRDefault="00B84F59" w:rsidP="00AF5EA5">
      <w:pPr>
        <w:pStyle w:val="ChartHeading"/>
      </w:pPr>
      <w:bookmarkStart w:id="545" w:name="_Toc529545203"/>
      <w:bookmarkStart w:id="546" w:name="_Toc529794991"/>
      <w:bookmarkStart w:id="547" w:name="_Toc529802456"/>
      <w:bookmarkStart w:id="548" w:name="_Toc529878029"/>
      <w:bookmarkStart w:id="549" w:name="_Toc529879253"/>
      <w:bookmarkStart w:id="550" w:name="_Toc529882518"/>
      <w:bookmarkStart w:id="551" w:name="_Toc529885189"/>
      <w:bookmarkStart w:id="552" w:name="_Toc529890661"/>
      <w:bookmarkStart w:id="553" w:name="_Toc529970032"/>
      <w:bookmarkStart w:id="554" w:name="_Toc529979387"/>
      <w:bookmarkStart w:id="555" w:name="_Toc530050432"/>
      <w:bookmarkStart w:id="556" w:name="_Toc530065511"/>
      <w:bookmarkStart w:id="557" w:name="_Toc530066339"/>
      <w:bookmarkStart w:id="558" w:name="_Toc530145058"/>
      <w:bookmarkStart w:id="559" w:name="_Toc530146028"/>
      <w:bookmarkStart w:id="560" w:name="_Toc530146949"/>
      <w:bookmarkStart w:id="561" w:name="_Toc530148307"/>
      <w:bookmarkStart w:id="562" w:name="_Toc530148508"/>
      <w:bookmarkStart w:id="563" w:name="_Toc530149180"/>
      <w:bookmarkStart w:id="564" w:name="_Toc530149833"/>
      <w:bookmarkStart w:id="565" w:name="_Toc530401656"/>
      <w:bookmarkStart w:id="566" w:name="_Toc530491409"/>
      <w:bookmarkStart w:id="567" w:name="_Toc530495827"/>
      <w:bookmarkStart w:id="568" w:name="_Toc530497730"/>
      <w:bookmarkStart w:id="569" w:name="_Toc530663550"/>
      <w:bookmarkStart w:id="570" w:name="_Toc530753843"/>
      <w:bookmarkStart w:id="571" w:name="_Toc530756412"/>
      <w:bookmarkStart w:id="572" w:name="_Toc530759849"/>
      <w:bookmarkStart w:id="573" w:name="_Toc532207313"/>
      <w:bookmarkStart w:id="574" w:name="_Toc532217701"/>
      <w:bookmarkStart w:id="575" w:name="_Toc532218722"/>
      <w:bookmarkStart w:id="576" w:name="_Toc532219034"/>
      <w:bookmarkStart w:id="577" w:name="_Toc532226633"/>
      <w:bookmarkStart w:id="578" w:name="_Toc532224154"/>
      <w:bookmarkStart w:id="579" w:name="_Toc532223695"/>
      <w:bookmarkStart w:id="580" w:name="_Toc1054875"/>
      <w:r w:rsidRPr="001917DD">
        <w:t>Chart </w:t>
      </w:r>
      <w:r w:rsidR="005A174F" w:rsidRPr="001917DD">
        <w:t>3</w:t>
      </w:r>
      <w:r w:rsidR="00E83190" w:rsidRPr="001917DD">
        <w:t>.1:</w:t>
      </w:r>
      <w:r w:rsidR="004B4EB4" w:rsidRPr="001917DD">
        <w:t xml:space="preserve"> </w:t>
      </w:r>
      <w:r w:rsidR="00C93EBC" w:rsidRPr="001917DD">
        <w:t xml:space="preserve">Approvals value by </w:t>
      </w:r>
      <w:r w:rsidR="00417318" w:rsidRPr="001917DD">
        <w:t xml:space="preserve">industry </w:t>
      </w:r>
      <w:r w:rsidR="00C93EBC" w:rsidRPr="001917DD">
        <w:t>sector</w:t>
      </w:r>
      <w:r w:rsidR="00E83190" w:rsidRPr="001917DD">
        <w:t xml:space="preserve">: </w:t>
      </w:r>
      <w:r w:rsidRPr="001917DD">
        <w:t>2016</w:t>
      </w:r>
      <w:r w:rsidR="00E83190" w:rsidRPr="001917DD">
        <w:t>–</w:t>
      </w:r>
      <w:r w:rsidRPr="001917DD">
        <w:t xml:space="preserve">17 </w:t>
      </w:r>
      <w:r w:rsidR="00E83190" w:rsidRPr="001917DD">
        <w:t xml:space="preserve">and </w:t>
      </w:r>
      <w:r w:rsidRPr="001917DD">
        <w:t>2017</w:t>
      </w:r>
      <w:r w:rsidR="00E83190" w:rsidRPr="001917DD">
        <w:t>–</w:t>
      </w:r>
      <w:r w:rsidRPr="001917DD">
        <w:t>18</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546BD29A" w14:textId="3330FDDC" w:rsidR="00B57188" w:rsidRPr="007B3B65" w:rsidRDefault="00DB6FE3" w:rsidP="00BC29A9">
      <w:pPr>
        <w:pStyle w:val="ChartGraphic"/>
      </w:pPr>
      <w:r>
        <w:rPr>
          <w:noProof/>
        </w:rPr>
        <w:drawing>
          <wp:inline distT="0" distB="0" distL="0" distR="0" wp14:anchorId="2038A5AB" wp14:editId="1B322809">
            <wp:extent cx="4896325" cy="5528309"/>
            <wp:effectExtent l="0" t="0" r="0" b="0"/>
            <wp:docPr id="34" name="Picture 34" descr="Column chart shows the value of approvals in 2016-17 and 2017-18 categorised by industry sector.&#10;The approvals are categorised by either real estate or non-real estate. Real estate is further categorised into residential and commercial and non-real estate is further categorised into agriculture forestry &amp; fishing, finance &amp; insurance, manufacturing electricity &amp; gas, mineral exploration &amp; development and services. &#10;The value of real-estate and non-real estate approvals fell in 2017-18 compared to 2016-17. Both the residential real estate and manufacturing electricity &amp; gas sectors experienced a decrease of greater than 50 per cent to $16.6 billion and $12.5 billion respectively in 2017-18. The value of all non-real estate sectors apart from manufacturing electricity &amp; gas grew in 2017-18. The value of commercial real estate approvals decreased in 2017-18 by $4.2 billion to $39.5 billion." title="Approvals value by industry sector: 2016-17 an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overview points 2-0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6325" cy="5528309"/>
                    </a:xfrm>
                    <a:prstGeom prst="rect">
                      <a:avLst/>
                    </a:prstGeom>
                  </pic:spPr>
                </pic:pic>
              </a:graphicData>
            </a:graphic>
          </wp:inline>
        </w:drawing>
      </w:r>
    </w:p>
    <w:p w14:paraId="757061B3" w14:textId="77777777" w:rsidR="00AF5EA5" w:rsidRDefault="00ED6DC7" w:rsidP="00AF5EA5">
      <w:pPr>
        <w:pStyle w:val="ChartHeading"/>
      </w:pPr>
      <w:bookmarkStart w:id="581" w:name="_Toc529794992"/>
      <w:bookmarkStart w:id="582" w:name="_Toc529802457"/>
      <w:bookmarkStart w:id="583" w:name="_Toc529878030"/>
      <w:bookmarkStart w:id="584" w:name="_Toc529879254"/>
      <w:bookmarkStart w:id="585" w:name="_Toc529882519"/>
      <w:bookmarkStart w:id="586" w:name="_Toc529885190"/>
      <w:bookmarkStart w:id="587" w:name="_Toc529890662"/>
      <w:bookmarkStart w:id="588" w:name="_Toc529970033"/>
      <w:bookmarkStart w:id="589" w:name="_Toc529979388"/>
      <w:bookmarkStart w:id="590" w:name="_Toc530050433"/>
      <w:bookmarkStart w:id="591" w:name="_Toc530065512"/>
      <w:bookmarkStart w:id="592" w:name="_Toc530066340"/>
      <w:bookmarkStart w:id="593" w:name="_Toc530145059"/>
      <w:bookmarkStart w:id="594" w:name="_Toc530146029"/>
      <w:bookmarkStart w:id="595" w:name="_Toc530146950"/>
      <w:bookmarkStart w:id="596" w:name="_Toc530148308"/>
      <w:bookmarkStart w:id="597" w:name="_Toc530148509"/>
      <w:bookmarkStart w:id="598" w:name="_Toc530149181"/>
      <w:bookmarkStart w:id="599" w:name="_Toc530149834"/>
      <w:bookmarkStart w:id="600" w:name="_Toc530401657"/>
      <w:bookmarkStart w:id="601" w:name="_Toc530491410"/>
      <w:bookmarkStart w:id="602" w:name="_Toc530495828"/>
      <w:bookmarkStart w:id="603" w:name="_Toc530497731"/>
      <w:bookmarkStart w:id="604" w:name="_Toc530663551"/>
      <w:bookmarkStart w:id="605" w:name="_Toc530753844"/>
      <w:bookmarkStart w:id="606" w:name="_Toc530756413"/>
      <w:bookmarkStart w:id="607" w:name="_Toc530759850"/>
      <w:bookmarkStart w:id="608" w:name="_Toc532207314"/>
      <w:bookmarkStart w:id="609" w:name="_Toc532217702"/>
      <w:bookmarkStart w:id="610" w:name="_Toc532218723"/>
      <w:bookmarkStart w:id="611" w:name="_Toc532219035"/>
      <w:bookmarkStart w:id="612" w:name="_Toc532223696"/>
      <w:bookmarkStart w:id="613" w:name="_Toc532224155"/>
      <w:bookmarkStart w:id="614" w:name="_Toc532226634"/>
      <w:bookmarkStart w:id="615" w:name="_Toc1054876"/>
      <w:r w:rsidRPr="00A00487">
        <w:t>Chart</w:t>
      </w:r>
      <w:r>
        <w:t> 3.2:</w:t>
      </w:r>
      <w:r w:rsidR="004B4EB4">
        <w:t xml:space="preserve"> </w:t>
      </w:r>
      <w:r>
        <w:t>Share of total value of</w:t>
      </w:r>
      <w:r w:rsidRPr="00A00487">
        <w:t xml:space="preserve"> </w:t>
      </w:r>
      <w:r w:rsidRPr="00AF5EA5">
        <w:t>approvals</w:t>
      </w:r>
      <w:r>
        <w:t>,</w:t>
      </w:r>
      <w:r w:rsidRPr="00A00487">
        <w:t xml:space="preserve"> by industry sector in 201</w:t>
      </w:r>
      <w:r>
        <w:t>7–</w:t>
      </w:r>
      <w:r w:rsidRPr="00A00487">
        <w:t>1</w:t>
      </w:r>
      <w:r>
        <w:t>8</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00A3BA62" w14:textId="59E677D8" w:rsidR="00AF5EA5" w:rsidRDefault="00A0798F" w:rsidP="00AF5EA5">
      <w:pPr>
        <w:pStyle w:val="ChartGraphic"/>
      </w:pPr>
      <w:r>
        <w:object w:dxaOrig="7860" w:dyaOrig="3000" w14:anchorId="783B32B2">
          <v:shape id="_x0000_i1028" type="#_x0000_t75" alt="Pie Chart shows the share of the total value of approvals in 2017-18 by industry sector.&#10;The industry sectors are agriculture forestry &amp; fishing, finance &amp; insurance, manufacturing electricity &amp; gas, mineral exploration and development, services, commercial real estate and residential real estate. Services was the largest sector for approvals by value, containing 39 per cent of all approvals in 2017-18. Commercial real estate was the second largest sector with 24 per cent of approvals and the Finance &amp; insurance  and agriculture forestry &amp; fishing industries' were the smallest sectors with both containing less than 6 per cent of the total value of approvals." style="width:385.95pt;height:147.45pt" o:ole="">
            <v:imagedata r:id="rId64" o:title=""/>
          </v:shape>
          <o:OLEObject Type="Link" ProgID="Excel.Sheet.12" ShapeID="_x0000_i1028" DrawAspect="Content" r:id="rId65" UpdateMode="Always">
            <o:LinkType>EnhancedMetaFile</o:LinkType>
            <o:LockedField>false</o:LockedField>
            <o:FieldCodes>\* MERGEFORMAT</o:FieldCodes>
          </o:OLEObject>
        </w:object>
      </w:r>
      <w:bookmarkStart w:id="616" w:name="_1548074922"/>
      <w:bookmarkEnd w:id="616"/>
    </w:p>
    <w:p w14:paraId="3FF75F83" w14:textId="24320484" w:rsidR="000B3A88" w:rsidRPr="00091A1A" w:rsidRDefault="000B3A88" w:rsidP="00AF5EA5">
      <w:pPr>
        <w:pStyle w:val="TableMainHeadingContd"/>
        <w:spacing w:before="120"/>
      </w:pPr>
      <w:r w:rsidRPr="00091A1A">
        <w:t xml:space="preserve">Notes </w:t>
      </w:r>
      <w:r w:rsidRPr="00AF5EA5">
        <w:t>applying</w:t>
      </w:r>
      <w:r w:rsidRPr="00091A1A">
        <w:t xml:space="preserve"> to </w:t>
      </w:r>
      <w:r>
        <w:t>Charts</w:t>
      </w:r>
      <w:r w:rsidRPr="00091A1A">
        <w:t xml:space="preserve"> 3.1</w:t>
      </w:r>
      <w:r>
        <w:t xml:space="preserve"> </w:t>
      </w:r>
      <w:r w:rsidRPr="00AF5EA5">
        <w:t>and</w:t>
      </w:r>
      <w:r>
        <w:t xml:space="preserve"> 3.2</w:t>
      </w:r>
    </w:p>
    <w:p w14:paraId="02AF2AC7" w14:textId="77777777" w:rsidR="002A745D" w:rsidRDefault="000B3A88" w:rsidP="000B3A88">
      <w:pPr>
        <w:pStyle w:val="ChartorTableNote"/>
        <w:tabs>
          <w:tab w:val="left" w:pos="567"/>
        </w:tabs>
        <w:ind w:left="567" w:hanging="567"/>
      </w:pPr>
      <w:r>
        <w:tab/>
      </w:r>
      <w:r w:rsidR="002A745D" w:rsidRPr="00C10BCD">
        <w:t>T</w:t>
      </w:r>
      <w:r w:rsidR="002A745D">
        <w:t>he t</w:t>
      </w:r>
      <w:r w:rsidR="002A745D" w:rsidRPr="00C10BCD">
        <w:t xml:space="preserve">otal number of approvals in </w:t>
      </w:r>
      <w:r w:rsidR="002A745D">
        <w:t>Chart 3.1</w:t>
      </w:r>
      <w:r w:rsidR="002A745D" w:rsidRPr="00C10BCD">
        <w:t xml:space="preserve"> is recorded by target acquired, reflecting</w:t>
      </w:r>
      <w:r w:rsidR="002A745D">
        <w:t xml:space="preserve"> </w:t>
      </w:r>
      <w:r w:rsidR="002A745D" w:rsidRPr="00C10BCD">
        <w:t>the industry sector</w:t>
      </w:r>
      <w:r w:rsidR="002A745D">
        <w:t xml:space="preserve"> of the target</w:t>
      </w:r>
      <w:r w:rsidR="002A745D" w:rsidRPr="00C10BCD">
        <w:t xml:space="preserve">. </w:t>
      </w:r>
      <w:r w:rsidR="002A745D">
        <w:t>See notes to Table 3.4 for examples.</w:t>
      </w:r>
    </w:p>
    <w:p w14:paraId="628E54AA" w14:textId="0A18E272" w:rsidR="000B3A88" w:rsidRDefault="002A745D" w:rsidP="000B3A88">
      <w:pPr>
        <w:pStyle w:val="ChartorTableNote"/>
        <w:tabs>
          <w:tab w:val="left" w:pos="567"/>
        </w:tabs>
        <w:ind w:left="567" w:hanging="567"/>
      </w:pPr>
      <w:r>
        <w:tab/>
      </w:r>
      <w:r w:rsidR="000B3A88" w:rsidRPr="004A3335">
        <w:t>Corporate reorganisations (</w:t>
      </w:r>
      <w:r w:rsidR="000B3A88">
        <w:t>119</w:t>
      </w:r>
      <w:r w:rsidR="000B3A88" w:rsidRPr="004A3335">
        <w:t xml:space="preserve"> </w:t>
      </w:r>
      <w:r w:rsidR="000B3A88">
        <w:t xml:space="preserve">approved </w:t>
      </w:r>
      <w:r w:rsidR="000B3A88" w:rsidRPr="004A3335">
        <w:t>in 20</w:t>
      </w:r>
      <w:r w:rsidR="000B3A88">
        <w:t>17–</w:t>
      </w:r>
      <w:r w:rsidR="000B3A88" w:rsidRPr="004A3335">
        <w:t>1</w:t>
      </w:r>
      <w:r w:rsidR="000B3A88">
        <w:t>8</w:t>
      </w:r>
      <w:r w:rsidR="000B3A88" w:rsidRPr="004A3335">
        <w:t>)</w:t>
      </w:r>
      <w:r w:rsidR="000B3A88">
        <w:t xml:space="preserve"> and new businesses (20 approved in 2017</w:t>
      </w:r>
      <w:r w:rsidR="000B3A88">
        <w:noBreakHyphen/>
        <w:t>18)</w:t>
      </w:r>
      <w:r w:rsidR="000B3A88" w:rsidRPr="00A8672A">
        <w:t xml:space="preserve"> </w:t>
      </w:r>
      <w:r w:rsidR="000B3A88" w:rsidRPr="004A3335">
        <w:t>are excluded.</w:t>
      </w:r>
    </w:p>
    <w:p w14:paraId="0952F9FE" w14:textId="77777777" w:rsidR="000B3A88" w:rsidRDefault="000B3A88" w:rsidP="000B3A88">
      <w:pPr>
        <w:pStyle w:val="ChartorTableNote"/>
        <w:tabs>
          <w:tab w:val="left" w:pos="567"/>
        </w:tabs>
        <w:ind w:left="567" w:hanging="567"/>
      </w:pPr>
      <w:r>
        <w:tab/>
        <w:t>Data for 2016-17 has been amended from earlier</w:t>
      </w:r>
      <w:r w:rsidRPr="003E05E9">
        <w:t xml:space="preserve"> published data to reflect </w:t>
      </w:r>
      <w:r>
        <w:t>an upward revision of residential real estate values.</w:t>
      </w:r>
    </w:p>
    <w:p w14:paraId="4F4D3EE5" w14:textId="5DB92094" w:rsidR="000B3A88" w:rsidRDefault="000B3A88" w:rsidP="00AF5EA5">
      <w:pPr>
        <w:pStyle w:val="ChartorTableNote"/>
        <w:tabs>
          <w:tab w:val="left" w:pos="567"/>
        </w:tabs>
        <w:ind w:left="567" w:hanging="567"/>
      </w:pPr>
      <w:r>
        <w:tab/>
      </w:r>
      <w:r w:rsidRPr="00FE723D">
        <w:t xml:space="preserve">Data for 2015–16 onwards was impacted by the 1 December 2015 reforms. </w:t>
      </w:r>
      <w:r w:rsidRPr="003E05E9">
        <w:t>Data from 2016-17 onwards was impacted by the limiting foreign ownership in new developments reform announced in the 2017</w:t>
      </w:r>
      <w:r>
        <w:noBreakHyphen/>
      </w:r>
      <w:r w:rsidRPr="003E05E9">
        <w:t>18 Budget that had immediate effect from Budget night, 7.30pm on Tuesday 9 May 2017.</w:t>
      </w:r>
      <w:r>
        <w:t xml:space="preserve"> </w:t>
      </w:r>
      <w:r w:rsidRPr="00F857EA">
        <w:t>The 2017</w:t>
      </w:r>
      <w:r w:rsidRPr="00F857EA">
        <w:noBreakHyphen/>
        <w:t xml:space="preserve">18 data </w:t>
      </w:r>
      <w:r w:rsidRPr="00FE723D">
        <w:t xml:space="preserve">was impacted by the </w:t>
      </w:r>
      <w:r>
        <w:t xml:space="preserve">other </w:t>
      </w:r>
      <w:r w:rsidRPr="00FE723D">
        <w:t>reforms announced in the 2017</w:t>
      </w:r>
      <w:r w:rsidRPr="00FE723D">
        <w:noBreakHyphen/>
        <w:t>18 Budget, which were given effect on 1 July 2017. These reforms may affect data comparability</w:t>
      </w:r>
      <w:r w:rsidR="009E00B4">
        <w:t xml:space="preserve"> across time</w:t>
      </w:r>
      <w:r w:rsidRPr="00FE723D">
        <w:t>.</w:t>
      </w:r>
    </w:p>
    <w:p w14:paraId="45F5E0F8" w14:textId="3D367A99" w:rsidR="00512269" w:rsidRPr="00ED6DC7" w:rsidRDefault="00E83190" w:rsidP="00ED6DC7">
      <w:r w:rsidRPr="00ED6DC7">
        <w:t xml:space="preserve">In </w:t>
      </w:r>
      <w:r w:rsidR="00B84F59" w:rsidRPr="00ED6DC7">
        <w:t>2017</w:t>
      </w:r>
      <w:r w:rsidRPr="00ED6DC7">
        <w:t>–</w:t>
      </w:r>
      <w:r w:rsidR="00B84F59" w:rsidRPr="00ED6DC7">
        <w:t>18</w:t>
      </w:r>
      <w:r w:rsidR="00723AE2" w:rsidRPr="00ED6DC7">
        <w:t>,</w:t>
      </w:r>
      <w:r w:rsidR="00B84F59" w:rsidRPr="00ED6DC7">
        <w:t xml:space="preserve"> </w:t>
      </w:r>
      <w:r w:rsidRPr="00ED6DC7">
        <w:t xml:space="preserve">the </w:t>
      </w:r>
      <w:r w:rsidR="00723AE2" w:rsidRPr="00ED6DC7">
        <w:t xml:space="preserve">services </w:t>
      </w:r>
      <w:r w:rsidRPr="00ED6DC7">
        <w:t>sector attracted the highest value of approved investment, totalling $</w:t>
      </w:r>
      <w:r w:rsidR="00C812B7">
        <w:t>63</w:t>
      </w:r>
      <w:r w:rsidRPr="00ED6DC7">
        <w:t>.</w:t>
      </w:r>
      <w:r w:rsidR="00723AE2" w:rsidRPr="00ED6DC7">
        <w:t>2</w:t>
      </w:r>
      <w:r w:rsidR="00B84F59" w:rsidRPr="00ED6DC7">
        <w:t> </w:t>
      </w:r>
      <w:r w:rsidRPr="00ED6DC7">
        <w:t xml:space="preserve">billion. The value of approvals increased </w:t>
      </w:r>
      <w:r w:rsidR="001D2F09" w:rsidRPr="00ED6DC7">
        <w:t xml:space="preserve">from 2016–17 to </w:t>
      </w:r>
      <w:r w:rsidR="00723AE2" w:rsidRPr="00ED6DC7">
        <w:t xml:space="preserve">2017–18 in several </w:t>
      </w:r>
      <w:r w:rsidR="00490310" w:rsidRPr="00ED6DC7">
        <w:t xml:space="preserve">other </w:t>
      </w:r>
      <w:r w:rsidR="00723AE2" w:rsidRPr="00ED6DC7">
        <w:t>sectors</w:t>
      </w:r>
      <w:r w:rsidR="001D2F09" w:rsidRPr="00ED6DC7">
        <w:t xml:space="preserve">. Total investment approvals increased </w:t>
      </w:r>
      <w:r w:rsidRPr="00ED6DC7">
        <w:t>by</w:t>
      </w:r>
      <w:r w:rsidR="00512269" w:rsidRPr="00ED6DC7">
        <w:t xml:space="preserve"> </w:t>
      </w:r>
      <w:r w:rsidRPr="00ED6DC7">
        <w:t>$</w:t>
      </w:r>
      <w:r w:rsidR="00723AE2" w:rsidRPr="00ED6DC7">
        <w:t>0</w:t>
      </w:r>
      <w:r w:rsidR="00B84F59" w:rsidRPr="00ED6DC7">
        <w:t>.</w:t>
      </w:r>
      <w:r w:rsidR="00723AE2" w:rsidRPr="00ED6DC7">
        <w:t>9</w:t>
      </w:r>
      <w:r w:rsidRPr="00ED6DC7">
        <w:t> billion in the agriculture, forestry and fishing sector</w:t>
      </w:r>
      <w:r w:rsidR="00490310" w:rsidRPr="00ED6DC7">
        <w:t xml:space="preserve"> (totalling $7.9 billion)</w:t>
      </w:r>
      <w:r w:rsidR="001D2F09" w:rsidRPr="00ED6DC7">
        <w:t>, by $2.2</w:t>
      </w:r>
      <w:r w:rsidR="00A40BEA">
        <w:t> </w:t>
      </w:r>
      <w:r w:rsidR="001D2F09" w:rsidRPr="00ED6DC7">
        <w:t>billion in the finance and insurance sector</w:t>
      </w:r>
      <w:r w:rsidR="00490310" w:rsidRPr="00ED6DC7">
        <w:t xml:space="preserve"> (totalling $6</w:t>
      </w:r>
      <w:r w:rsidR="004860CF">
        <w:t>.0</w:t>
      </w:r>
      <w:r w:rsidR="00490310" w:rsidRPr="00ED6DC7">
        <w:t xml:space="preserve"> billion)</w:t>
      </w:r>
      <w:r w:rsidR="001D2F09" w:rsidRPr="00ED6DC7">
        <w:t xml:space="preserve">, </w:t>
      </w:r>
      <w:r w:rsidR="00512269" w:rsidRPr="00ED6DC7">
        <w:t xml:space="preserve">and </w:t>
      </w:r>
      <w:r w:rsidR="001D2F09" w:rsidRPr="00ED6DC7">
        <w:t>by $1.5 billion in the minerals and exploration sector</w:t>
      </w:r>
      <w:r w:rsidR="00490310" w:rsidRPr="00ED6DC7">
        <w:t xml:space="preserve"> (totalling $17.4 billion)</w:t>
      </w:r>
      <w:r w:rsidRPr="00ED6DC7">
        <w:t>.</w:t>
      </w:r>
    </w:p>
    <w:p w14:paraId="05E0BA5F" w14:textId="254AF46F" w:rsidR="00E83190" w:rsidRDefault="00512269" w:rsidP="00ED6DC7">
      <w:r w:rsidRPr="00ED6DC7">
        <w:t>In other sectors, however, the value of investment approvals fell</w:t>
      </w:r>
      <w:r w:rsidR="00490310" w:rsidRPr="00ED6DC7">
        <w:t xml:space="preserve"> from 2016–17 to 2017–18</w:t>
      </w:r>
      <w:r w:rsidRPr="00ED6DC7">
        <w:t xml:space="preserve">. The largest fall </w:t>
      </w:r>
      <w:r w:rsidR="00490310" w:rsidRPr="00ED6DC7">
        <w:t xml:space="preserve">in value </w:t>
      </w:r>
      <w:r w:rsidRPr="00ED6DC7">
        <w:t xml:space="preserve">was for </w:t>
      </w:r>
      <w:r w:rsidR="00490310" w:rsidRPr="00ED6DC7">
        <w:t xml:space="preserve">approvals in </w:t>
      </w:r>
      <w:r w:rsidRPr="00ED6DC7">
        <w:t>the manufacturing, electricity and gas</w:t>
      </w:r>
      <w:r w:rsidR="00E83190" w:rsidRPr="00ED6DC7">
        <w:t xml:space="preserve"> </w:t>
      </w:r>
      <w:r w:rsidRPr="00ED6DC7">
        <w:t>sector</w:t>
      </w:r>
      <w:r w:rsidR="00AF0275" w:rsidRPr="00ED6DC7">
        <w:t xml:space="preserve"> ($16.</w:t>
      </w:r>
      <w:r w:rsidR="00AF0275" w:rsidRPr="00ED6DC7" w:rsidDel="00E94585">
        <w:t xml:space="preserve">6 </w:t>
      </w:r>
      <w:r w:rsidR="00E83190" w:rsidRPr="00ED6DC7">
        <w:t xml:space="preserve">billion in </w:t>
      </w:r>
      <w:r w:rsidR="00B84F59" w:rsidRPr="00ED6DC7">
        <w:t>2017</w:t>
      </w:r>
      <w:r w:rsidR="00E83190" w:rsidRPr="00ED6DC7">
        <w:t>–</w:t>
      </w:r>
      <w:r w:rsidR="00B84F59" w:rsidRPr="00ED6DC7">
        <w:t>18</w:t>
      </w:r>
      <w:r w:rsidR="00E83190" w:rsidRPr="00ED6DC7">
        <w:t>, down $</w:t>
      </w:r>
      <w:r w:rsidR="00AF0275" w:rsidRPr="00ED6DC7">
        <w:t>24</w:t>
      </w:r>
      <w:r w:rsidR="00B84F59" w:rsidRPr="00ED6DC7">
        <w:t>.</w:t>
      </w:r>
      <w:r w:rsidR="00AF0275" w:rsidRPr="00ED6DC7">
        <w:t>3</w:t>
      </w:r>
      <w:r w:rsidR="00B84F59" w:rsidRPr="00ED6DC7">
        <w:t> </w:t>
      </w:r>
      <w:r w:rsidR="00E83190" w:rsidRPr="00ED6DC7">
        <w:t xml:space="preserve">billion from </w:t>
      </w:r>
      <w:r w:rsidR="007A4888" w:rsidRPr="00ED6DC7">
        <w:t>2016</w:t>
      </w:r>
      <w:r w:rsidR="0080522B" w:rsidRPr="00ED6DC7">
        <w:t>–</w:t>
      </w:r>
      <w:r w:rsidR="007A4888" w:rsidRPr="00ED6DC7">
        <w:t>17</w:t>
      </w:r>
      <w:r w:rsidR="00E83190" w:rsidRPr="00ED6DC7">
        <w:t xml:space="preserve">), followed by </w:t>
      </w:r>
      <w:r w:rsidR="00AF0275" w:rsidRPr="00ED6DC7">
        <w:t>residential real estate</w:t>
      </w:r>
      <w:r w:rsidR="00E83190" w:rsidRPr="00ED6DC7">
        <w:t xml:space="preserve"> ($</w:t>
      </w:r>
      <w:r w:rsidR="00B57188">
        <w:t>12</w:t>
      </w:r>
      <w:r w:rsidR="00CE2E27">
        <w:t>.</w:t>
      </w:r>
      <w:r w:rsidR="00B57188">
        <w:t>5</w:t>
      </w:r>
      <w:r w:rsidR="00E83190" w:rsidRPr="00ED6DC7">
        <w:t> billion, down $</w:t>
      </w:r>
      <w:r w:rsidR="00AF0275" w:rsidRPr="00ED6DC7">
        <w:t>1</w:t>
      </w:r>
      <w:r w:rsidR="00B57188">
        <w:t>7</w:t>
      </w:r>
      <w:r w:rsidR="00A404AE">
        <w:t>.</w:t>
      </w:r>
      <w:r w:rsidR="00B57188">
        <w:t>5</w:t>
      </w:r>
      <w:r w:rsidR="00B84F59" w:rsidRPr="00ED6DC7">
        <w:t> </w:t>
      </w:r>
      <w:r w:rsidR="00E83190" w:rsidRPr="00ED6DC7">
        <w:t xml:space="preserve">billion </w:t>
      </w:r>
      <w:r w:rsidR="00F3133F">
        <w:t>from</w:t>
      </w:r>
      <w:r w:rsidR="00F3133F" w:rsidRPr="00ED6DC7">
        <w:t xml:space="preserve"> </w:t>
      </w:r>
      <w:r w:rsidR="00B84F59" w:rsidRPr="00ED6DC7">
        <w:t>2016</w:t>
      </w:r>
      <w:r w:rsidR="00E83190" w:rsidRPr="00ED6DC7">
        <w:t>–</w:t>
      </w:r>
      <w:r w:rsidR="00B84F59" w:rsidRPr="00ED6DC7">
        <w:t>17</w:t>
      </w:r>
      <w:r w:rsidR="00E83190" w:rsidRPr="00ED6DC7">
        <w:t xml:space="preserve">), </w:t>
      </w:r>
      <w:r w:rsidR="00635D86">
        <w:t xml:space="preserve">and </w:t>
      </w:r>
      <w:r w:rsidR="00AF0275" w:rsidRPr="00ED6DC7">
        <w:t xml:space="preserve">commercial real estate </w:t>
      </w:r>
      <w:r w:rsidR="00E83190" w:rsidRPr="00ED6DC7">
        <w:t>($</w:t>
      </w:r>
      <w:r w:rsidR="00CE2E27">
        <w:t>39.5</w:t>
      </w:r>
      <w:r w:rsidR="007A4888" w:rsidRPr="00ED6DC7">
        <w:t> </w:t>
      </w:r>
      <w:r w:rsidR="00E83190" w:rsidRPr="00ED6DC7">
        <w:t>billion, down $</w:t>
      </w:r>
      <w:r w:rsidR="00CE2E27">
        <w:t>4.2</w:t>
      </w:r>
      <w:r w:rsidR="007A4888" w:rsidRPr="00ED6DC7">
        <w:t> </w:t>
      </w:r>
      <w:r w:rsidR="00E83190" w:rsidRPr="00ED6DC7">
        <w:t xml:space="preserve">billion </w:t>
      </w:r>
      <w:r w:rsidR="00F3133F">
        <w:t>from</w:t>
      </w:r>
      <w:r w:rsidR="00F3133F" w:rsidRPr="00ED6DC7">
        <w:t xml:space="preserve"> </w:t>
      </w:r>
      <w:r w:rsidR="007A4888" w:rsidRPr="00ED6DC7">
        <w:t>2016</w:t>
      </w:r>
      <w:r w:rsidR="00E83190" w:rsidRPr="00ED6DC7">
        <w:t>–</w:t>
      </w:r>
      <w:r w:rsidR="007A4888" w:rsidRPr="00ED6DC7">
        <w:t>17</w:t>
      </w:r>
      <w:r w:rsidR="00E83190" w:rsidRPr="00ED6DC7">
        <w:t>).</w:t>
      </w:r>
    </w:p>
    <w:p w14:paraId="0FB87325" w14:textId="141610D5" w:rsidR="00D7251D" w:rsidRDefault="00D7251D" w:rsidP="00ED6DC7">
      <w:pPr>
        <w:rPr>
          <w:color w:val="auto"/>
          <w:szCs w:val="24"/>
        </w:rPr>
      </w:pPr>
      <w:r>
        <w:t xml:space="preserve">In 2017-18, the approval numbers for non-residential </w:t>
      </w:r>
      <w:r w:rsidR="00413BE9">
        <w:t>applications were</w:t>
      </w:r>
      <w:r>
        <w:t xml:space="preserve"> down compared to earlier years. However, this may be partially offset by the availability of variations to existing approvals as of 1 December 2015, alleviating the need for a new approval in some cases. Excluding the impact of state privatisations on the manufacturing, electricity and gas sector in 2015-16 and 2016-17, the value of non-residential approvals has been relatively stable during the period. There has been a notable increase in the value of approvals for the services sector from 2016-17 onwards. However, over 40 per cent of the value i</w:t>
      </w:r>
      <w:r w:rsidR="009E00B4">
        <w:t>n 2017</w:t>
      </w:r>
      <w:r w:rsidR="009E00B4">
        <w:noBreakHyphen/>
        <w:t>18 is attributable to</w:t>
      </w:r>
      <w:r>
        <w:t xml:space="preserve"> one approval for </w:t>
      </w:r>
      <w:proofErr w:type="spellStart"/>
      <w:r>
        <w:rPr>
          <w:color w:val="auto"/>
          <w:szCs w:val="24"/>
        </w:rPr>
        <w:t>Unibail-Rodamco</w:t>
      </w:r>
      <w:proofErr w:type="spellEnd"/>
      <w:r>
        <w:rPr>
          <w:color w:val="auto"/>
          <w:szCs w:val="24"/>
        </w:rPr>
        <w:t xml:space="preserve"> to merge with Westfield Corporation.</w:t>
      </w:r>
    </w:p>
    <w:p w14:paraId="74E1930C" w14:textId="12CC5CEC" w:rsidR="00990C14" w:rsidRPr="003577DA" w:rsidRDefault="009E00B4" w:rsidP="003577DA">
      <w:r>
        <w:rPr>
          <w:color w:val="auto"/>
          <w:szCs w:val="24"/>
        </w:rPr>
        <w:t>R</w:t>
      </w:r>
      <w:r w:rsidR="00D7251D">
        <w:rPr>
          <w:color w:val="auto"/>
          <w:szCs w:val="24"/>
        </w:rPr>
        <w:t>esidential approvals increased significant</w:t>
      </w:r>
      <w:r w:rsidR="00D01119">
        <w:rPr>
          <w:color w:val="auto"/>
          <w:szCs w:val="24"/>
        </w:rPr>
        <w:t xml:space="preserve">ly </w:t>
      </w:r>
      <w:r w:rsidR="00557DF2">
        <w:rPr>
          <w:color w:val="auto"/>
          <w:szCs w:val="24"/>
        </w:rPr>
        <w:t>from 2013</w:t>
      </w:r>
      <w:r w:rsidR="00557DF2">
        <w:rPr>
          <w:color w:val="auto"/>
          <w:szCs w:val="24"/>
        </w:rPr>
        <w:noBreakHyphen/>
        <w:t>14</w:t>
      </w:r>
      <w:r w:rsidR="007F02B1">
        <w:rPr>
          <w:color w:val="auto"/>
          <w:szCs w:val="24"/>
        </w:rPr>
        <w:t>,</w:t>
      </w:r>
      <w:r>
        <w:rPr>
          <w:color w:val="auto"/>
          <w:szCs w:val="24"/>
        </w:rPr>
        <w:t xml:space="preserve"> </w:t>
      </w:r>
      <w:r w:rsidR="00D7251D">
        <w:rPr>
          <w:color w:val="auto"/>
          <w:szCs w:val="24"/>
        </w:rPr>
        <w:t>peak</w:t>
      </w:r>
      <w:r w:rsidR="00C33FF8">
        <w:rPr>
          <w:color w:val="auto"/>
          <w:szCs w:val="24"/>
        </w:rPr>
        <w:t>ing</w:t>
      </w:r>
      <w:r w:rsidR="00D7251D">
        <w:rPr>
          <w:color w:val="auto"/>
          <w:szCs w:val="24"/>
        </w:rPr>
        <w:t xml:space="preserve"> </w:t>
      </w:r>
      <w:r w:rsidR="00D01119">
        <w:rPr>
          <w:color w:val="auto"/>
          <w:szCs w:val="24"/>
        </w:rPr>
        <w:t>in 2015</w:t>
      </w:r>
      <w:r w:rsidR="00D01119">
        <w:rPr>
          <w:color w:val="auto"/>
          <w:szCs w:val="24"/>
        </w:rPr>
        <w:noBreakHyphen/>
        <w:t xml:space="preserve">16 </w:t>
      </w:r>
      <w:r w:rsidR="00D7251D">
        <w:rPr>
          <w:color w:val="auto"/>
          <w:szCs w:val="24"/>
        </w:rPr>
        <w:t>at proposed investment of $72.4 billion</w:t>
      </w:r>
      <w:r w:rsidR="00C33FF8">
        <w:rPr>
          <w:color w:val="auto"/>
          <w:szCs w:val="24"/>
        </w:rPr>
        <w:t>,</w:t>
      </w:r>
      <w:r w:rsidR="00D01119">
        <w:rPr>
          <w:color w:val="auto"/>
          <w:szCs w:val="24"/>
        </w:rPr>
        <w:t xml:space="preserve"> before experiencing significant declines </w:t>
      </w:r>
      <w:r w:rsidR="007F02B1">
        <w:rPr>
          <w:color w:val="auto"/>
          <w:szCs w:val="24"/>
        </w:rPr>
        <w:t>in 2016-17 and 2017-</w:t>
      </w:r>
      <w:bookmarkStart w:id="617" w:name="_Toc529545210"/>
      <w:bookmarkStart w:id="618" w:name="_Toc529802464"/>
      <w:bookmarkStart w:id="619" w:name="_Toc529878037"/>
      <w:r w:rsidR="007F02B1">
        <w:rPr>
          <w:color w:val="auto"/>
          <w:szCs w:val="24"/>
        </w:rPr>
        <w:t>18</w:t>
      </w:r>
      <w:r w:rsidR="00D01119">
        <w:rPr>
          <w:color w:val="auto"/>
          <w:szCs w:val="24"/>
        </w:rPr>
        <w:t>.</w:t>
      </w:r>
      <w:r w:rsidR="00557DF2">
        <w:rPr>
          <w:color w:val="auto"/>
          <w:szCs w:val="24"/>
        </w:rPr>
        <w:t xml:space="preserve"> </w:t>
      </w:r>
      <w:r w:rsidR="00DE1CD4">
        <w:rPr>
          <w:color w:val="auto"/>
          <w:szCs w:val="24"/>
        </w:rPr>
        <w:t xml:space="preserve">By property type, the increase and the decline were driven by </w:t>
      </w:r>
      <w:r w:rsidR="00557DF2">
        <w:rPr>
          <w:color w:val="auto"/>
          <w:szCs w:val="24"/>
        </w:rPr>
        <w:t>new dwelling related approvals (see Residen</w:t>
      </w:r>
      <w:r>
        <w:rPr>
          <w:color w:val="auto"/>
          <w:szCs w:val="24"/>
        </w:rPr>
        <w:t>tial real estate later in this c</w:t>
      </w:r>
      <w:r w:rsidR="00557DF2">
        <w:rPr>
          <w:color w:val="auto"/>
          <w:szCs w:val="24"/>
        </w:rPr>
        <w:t>hapter).</w:t>
      </w:r>
    </w:p>
    <w:p w14:paraId="05E0BA60" w14:textId="7A2997F7" w:rsidR="00E83190" w:rsidRDefault="007A4888" w:rsidP="00FE0B08">
      <w:pPr>
        <w:pStyle w:val="TableHeading"/>
      </w:pPr>
      <w:bookmarkStart w:id="620" w:name="_Toc529879261"/>
      <w:bookmarkStart w:id="621" w:name="_Toc529882526"/>
      <w:bookmarkStart w:id="622" w:name="_Toc529885197"/>
      <w:bookmarkStart w:id="623" w:name="_Toc529890669"/>
      <w:bookmarkStart w:id="624" w:name="_Toc529970040"/>
      <w:bookmarkStart w:id="625" w:name="_Toc529979395"/>
      <w:bookmarkStart w:id="626" w:name="_Toc530050440"/>
      <w:bookmarkStart w:id="627" w:name="_Toc530065519"/>
      <w:bookmarkStart w:id="628" w:name="_Toc530066347"/>
      <w:bookmarkStart w:id="629" w:name="_Toc530145066"/>
      <w:bookmarkStart w:id="630" w:name="_Toc530146036"/>
      <w:bookmarkStart w:id="631" w:name="_Toc530146957"/>
      <w:bookmarkStart w:id="632" w:name="_Toc530148315"/>
      <w:bookmarkStart w:id="633" w:name="_Toc530148516"/>
      <w:bookmarkStart w:id="634" w:name="_Toc530149188"/>
      <w:bookmarkStart w:id="635" w:name="_Toc530149812"/>
      <w:bookmarkStart w:id="636" w:name="_Toc530401664"/>
      <w:bookmarkStart w:id="637" w:name="_Toc530491417"/>
      <w:bookmarkStart w:id="638" w:name="_Toc530495835"/>
      <w:bookmarkStart w:id="639" w:name="_Toc530497738"/>
      <w:bookmarkStart w:id="640" w:name="_Toc530663558"/>
      <w:bookmarkStart w:id="641" w:name="_Toc530753851"/>
      <w:bookmarkStart w:id="642" w:name="_Toc530756420"/>
      <w:bookmarkStart w:id="643" w:name="_Toc530759857"/>
      <w:bookmarkStart w:id="644" w:name="_Toc532223703"/>
      <w:bookmarkStart w:id="645" w:name="_Toc532224162"/>
      <w:bookmarkStart w:id="646" w:name="_Toc532226641"/>
      <w:bookmarkStart w:id="647" w:name="_Toc536029343"/>
      <w:bookmarkStart w:id="648" w:name="_Toc1054883"/>
      <w:r w:rsidRPr="00D269D7">
        <w:t>Table</w:t>
      </w:r>
      <w:r w:rsidR="00FE0B08">
        <w:t xml:space="preserve"> </w:t>
      </w:r>
      <w:r w:rsidR="005A174F">
        <w:t>3</w:t>
      </w:r>
      <w:r w:rsidR="00E83190" w:rsidRPr="00D269D7">
        <w:t>.4:</w:t>
      </w:r>
      <w:r w:rsidR="00665F25">
        <w:t xml:space="preserve"> </w:t>
      </w:r>
      <w:r w:rsidR="00E83190" w:rsidRPr="00D269D7">
        <w:t xml:space="preserve">Total approvals by industry sector: </w:t>
      </w:r>
      <w:r w:rsidRPr="00D269D7">
        <w:t>201</w:t>
      </w:r>
      <w:r>
        <w:t>4</w:t>
      </w:r>
      <w:r w:rsidR="00E83190">
        <w:t>–</w:t>
      </w:r>
      <w:r w:rsidRPr="00D269D7">
        <w:t>1</w:t>
      </w:r>
      <w:r>
        <w:t>5</w:t>
      </w:r>
      <w:r w:rsidRPr="00D269D7">
        <w:t xml:space="preserve"> </w:t>
      </w:r>
      <w:r w:rsidR="00E83190" w:rsidRPr="00D269D7">
        <w:t xml:space="preserve">to </w:t>
      </w:r>
      <w:r w:rsidRPr="00D269D7">
        <w:t>201</w:t>
      </w:r>
      <w:r>
        <w:t>7</w:t>
      </w:r>
      <w:r w:rsidR="00E83190">
        <w:t>–</w:t>
      </w:r>
      <w:bookmarkStart w:id="649" w:name="_1548074924"/>
      <w:bookmarkEnd w:id="649"/>
      <w:r w:rsidRPr="00D269D7">
        <w:t>1</w:t>
      </w:r>
      <w:r>
        <w:t>8</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05E0BA61" w14:textId="1E9080A6" w:rsidR="00E83190" w:rsidRPr="002979C4" w:rsidRDefault="00C56453" w:rsidP="005E6473">
      <w:pPr>
        <w:pStyle w:val="TableGraphic"/>
      </w:pPr>
      <w:r>
        <w:object w:dxaOrig="7760" w:dyaOrig="3185" w14:anchorId="49CF11C4">
          <v:shape id="_x0000_i1029" type="#_x0000_t75" alt="Table shows the number and total value of approvals during a financial year for the four financial years ending in 2017-18 and categorises these into seven industry sectors with residential real estate having the highest number of approvals and services the highest proposed investment. &#10;The value of approvals in the agriculture, finance &amp; insurance, services and mineral exploration &amp; development sectors increased from 2016-17 to 2017-18.&#10;The value of approvals in the manufacturing electricity &amp; gas, commercial real estate and residential real estate sectors peaked in 2015-16 and declined in 2017-18 compared to 2016-17. &#10;Finance &amp; insurance and manufacturing, electricity &amp; gas saw an increase in the number of approvals from 2016-17 to 2017-18 to 37 and 95 respectively.&#10;" style="width:388pt;height:159.1pt" o:ole="">
            <v:imagedata r:id="rId66" o:title=""/>
          </v:shape>
          <o:OLEObject Type="Link" ProgID="Excel.Sheet.12" ShapeID="_x0000_i1029" DrawAspect="Content" r:id="rId67" UpdateMode="Always">
            <o:LinkType>EnhancedMetaFile</o:LinkType>
            <o:LockedField>false</o:LockedField>
          </o:OLEObject>
        </w:object>
      </w:r>
      <w:r w:rsidR="00E83190">
        <w:fldChar w:fldCharType="begin"/>
      </w:r>
      <w:r w:rsidR="00E83190">
        <w:instrText xml:space="preserve"> LINK Excel.Sheet.12 http://tweb/sites/mg/fitpd/Lfirbannualrport/2016-17/Data%20Tables/Report%20tables/Table%204.4-Approvals%20by%20industry%20sector.xlsx "Final Table!R2C1:R13C16" \a \f 4 \h  \* MERGEFORMAT </w:instrText>
      </w:r>
      <w:r w:rsidR="00E83190">
        <w:fldChar w:fldCharType="separate"/>
      </w:r>
    </w:p>
    <w:p w14:paraId="05E0BA63" w14:textId="58E7C61A" w:rsidR="00E83190" w:rsidRPr="00ED6DC7" w:rsidRDefault="00E83190" w:rsidP="00397941">
      <w:pPr>
        <w:pStyle w:val="ChartandTableFootnoteAlpha"/>
        <w:numPr>
          <w:ilvl w:val="0"/>
          <w:numId w:val="24"/>
        </w:numPr>
      </w:pPr>
      <w:r>
        <w:fldChar w:fldCharType="end"/>
      </w:r>
      <w:r w:rsidRPr="00ED6DC7">
        <w:t>Proposed investment includes new dwelling exemption certificates provided to real estate developers (previously off</w:t>
      </w:r>
      <w:r w:rsidRPr="00ED6DC7">
        <w:noBreakHyphen/>
        <w:t>the</w:t>
      </w:r>
      <w:r w:rsidRPr="00ED6DC7">
        <w:noBreakHyphen/>
        <w:t xml:space="preserve">plan approvals) and approvals for </w:t>
      </w:r>
      <w:r w:rsidR="00B60D6C">
        <w:t xml:space="preserve">land </w:t>
      </w:r>
      <w:r w:rsidRPr="00ED6DC7">
        <w:t>exemption certificates. Further details are provided in the section on real estate.</w:t>
      </w:r>
    </w:p>
    <w:p w14:paraId="05E0BA64" w14:textId="77777777" w:rsidR="00E83190" w:rsidRPr="007E6B0B" w:rsidRDefault="00E83190" w:rsidP="00E83190">
      <w:pPr>
        <w:pStyle w:val="ChartandTableFootnoteAlpha"/>
        <w:numPr>
          <w:ilvl w:val="0"/>
          <w:numId w:val="0"/>
        </w:numPr>
        <w:ind w:left="283"/>
        <w:rPr>
          <w:rFonts w:asciiTheme="minorHAnsi" w:hAnsiTheme="minorHAnsi"/>
          <w:sz w:val="4"/>
          <w:szCs w:val="4"/>
        </w:rPr>
      </w:pPr>
    </w:p>
    <w:p w14:paraId="05E0BA65" w14:textId="60231495" w:rsidR="00E83190" w:rsidRPr="00CD59F3" w:rsidRDefault="00E83190" w:rsidP="005A683F">
      <w:pPr>
        <w:pStyle w:val="ChartorTableNote"/>
        <w:tabs>
          <w:tab w:val="left" w:pos="567"/>
        </w:tabs>
        <w:ind w:left="567" w:hanging="567"/>
      </w:pPr>
      <w:r w:rsidRPr="00CD59F3">
        <w:t>Notes:</w:t>
      </w:r>
      <w:r w:rsidRPr="00CD59F3">
        <w:tab/>
      </w:r>
      <w:r w:rsidRPr="00C10BCD">
        <w:t xml:space="preserve">Total number of approvals in </w:t>
      </w:r>
      <w:r w:rsidR="007A4888" w:rsidRPr="00C10BCD">
        <w:t>Table</w:t>
      </w:r>
      <w:r w:rsidR="000D3CAC">
        <w:t xml:space="preserve"> </w:t>
      </w:r>
      <w:r w:rsidR="00E47AEB">
        <w:t>3</w:t>
      </w:r>
      <w:r w:rsidRPr="00C10BCD">
        <w:t>.4 is recorded by target acquired, reflecting</w:t>
      </w:r>
      <w:r>
        <w:t xml:space="preserve"> </w:t>
      </w:r>
      <w:r w:rsidRPr="00C10BCD">
        <w:t>the industry sector</w:t>
      </w:r>
      <w:r w:rsidR="0088414D">
        <w:t xml:space="preserve"> of the target</w:t>
      </w:r>
      <w:r w:rsidRPr="00C10BCD">
        <w:t xml:space="preserve">. </w:t>
      </w:r>
      <w:r w:rsidRPr="00CD59F3">
        <w:t xml:space="preserve">For example, one </w:t>
      </w:r>
      <w:r w:rsidR="00CF2EAC">
        <w:t>application</w:t>
      </w:r>
      <w:r w:rsidR="00CF2EAC" w:rsidRPr="00CD59F3">
        <w:t xml:space="preserve"> </w:t>
      </w:r>
      <w:r w:rsidRPr="00CD59F3">
        <w:t>to acquire two targets</w:t>
      </w:r>
      <w:r>
        <w:t xml:space="preserve"> (under the single agreement)</w:t>
      </w:r>
      <w:r w:rsidRPr="00CD59F3">
        <w:t xml:space="preserve"> that operate in separate sectors will appear as </w:t>
      </w:r>
      <w:r w:rsidR="007A4888" w:rsidRPr="00CD59F3">
        <w:t>two</w:t>
      </w:r>
      <w:r w:rsidR="007A4888">
        <w:t> </w:t>
      </w:r>
      <w:r w:rsidRPr="00CD59F3">
        <w:t xml:space="preserve">approvals, with </w:t>
      </w:r>
      <w:r w:rsidR="007A4888" w:rsidRPr="00CD59F3">
        <w:t>one</w:t>
      </w:r>
      <w:r w:rsidR="007A4888">
        <w:t> </w:t>
      </w:r>
      <w:r w:rsidRPr="00CD59F3">
        <w:t>approval recorded per sector.</w:t>
      </w:r>
      <w:r w:rsidR="002F70FB" w:rsidRPr="002F70FB">
        <w:t xml:space="preserve"> </w:t>
      </w:r>
      <w:r w:rsidR="002F70FB">
        <w:t>If they operate in the same sector, this will appear as two approvals recorded against the sector.</w:t>
      </w:r>
    </w:p>
    <w:p w14:paraId="05E0BA66" w14:textId="50C5E816" w:rsidR="00E83190" w:rsidRPr="00CD59F3" w:rsidRDefault="00E83190" w:rsidP="005A683F">
      <w:pPr>
        <w:pStyle w:val="ChartorTableNote"/>
        <w:tabs>
          <w:tab w:val="left" w:pos="567"/>
        </w:tabs>
        <w:ind w:left="567" w:hanging="567"/>
      </w:pPr>
      <w:r w:rsidRPr="00CD59F3">
        <w:tab/>
        <w:t>Totals may not add due to rounding.</w:t>
      </w:r>
    </w:p>
    <w:p w14:paraId="05E0BA67" w14:textId="4515859A" w:rsidR="00E83190" w:rsidRPr="00CD59F3" w:rsidRDefault="00E83190" w:rsidP="005A683F">
      <w:pPr>
        <w:pStyle w:val="ChartorTableNote"/>
        <w:tabs>
          <w:tab w:val="left" w:pos="567"/>
        </w:tabs>
        <w:ind w:left="567" w:hanging="567"/>
      </w:pPr>
      <w:r w:rsidRPr="00CD59F3">
        <w:tab/>
        <w:t>Excludes corporate reorganisations (</w:t>
      </w:r>
      <w:r w:rsidR="00B67C34">
        <w:t>119</w:t>
      </w:r>
      <w:r w:rsidR="00B67C34" w:rsidRPr="00CD59F3">
        <w:t xml:space="preserve"> </w:t>
      </w:r>
      <w:r w:rsidR="00557DF2">
        <w:t xml:space="preserve">approved </w:t>
      </w:r>
      <w:r w:rsidRPr="00CD59F3">
        <w:t xml:space="preserve">in </w:t>
      </w:r>
      <w:r w:rsidR="007A4888" w:rsidRPr="00CD59F3">
        <w:t>201</w:t>
      </w:r>
      <w:r w:rsidR="007A4888">
        <w:t>7</w:t>
      </w:r>
      <w:r w:rsidRPr="00CD59F3">
        <w:t>–</w:t>
      </w:r>
      <w:r w:rsidR="007A4888" w:rsidRPr="00CD59F3">
        <w:t>1</w:t>
      </w:r>
      <w:r w:rsidR="007A4888">
        <w:t>8</w:t>
      </w:r>
      <w:r w:rsidRPr="00CD59F3">
        <w:t>)</w:t>
      </w:r>
      <w:r w:rsidR="00A8672A">
        <w:t xml:space="preserve"> and new businesses (</w:t>
      </w:r>
      <w:r w:rsidR="006C08B3">
        <w:t>20</w:t>
      </w:r>
      <w:r w:rsidR="00A8672A">
        <w:t xml:space="preserve"> </w:t>
      </w:r>
      <w:r w:rsidR="00557DF2">
        <w:t xml:space="preserve">approved </w:t>
      </w:r>
      <w:r w:rsidR="00A8672A">
        <w:t>in 2017</w:t>
      </w:r>
      <w:r w:rsidR="00A8672A">
        <w:noBreakHyphen/>
        <w:t>18)</w:t>
      </w:r>
      <w:r w:rsidRPr="00CD59F3">
        <w:t>, but includes all exemption certificates</w:t>
      </w:r>
      <w:r w:rsidR="0026797D">
        <w:t xml:space="preserve">, including </w:t>
      </w:r>
      <w:r w:rsidR="007912B5">
        <w:t>eight</w:t>
      </w:r>
      <w:r w:rsidR="0026797D">
        <w:t xml:space="preserve"> business exemption certificates in 2017</w:t>
      </w:r>
      <w:r w:rsidR="00342E1E">
        <w:noBreakHyphen/>
      </w:r>
      <w:r w:rsidR="0026797D">
        <w:t xml:space="preserve">18 </w:t>
      </w:r>
      <w:r w:rsidR="007912B5">
        <w:t xml:space="preserve">for </w:t>
      </w:r>
      <w:r w:rsidR="00487A47">
        <w:t xml:space="preserve">total </w:t>
      </w:r>
      <w:r w:rsidR="007912B5">
        <w:t>proposed investment up to $3.1 billion</w:t>
      </w:r>
      <w:r w:rsidRPr="00CD59F3">
        <w:t>.</w:t>
      </w:r>
      <w:r w:rsidR="00557DF2">
        <w:t xml:space="preserve"> </w:t>
      </w:r>
      <w:r w:rsidR="00293545" w:rsidRPr="00293545">
        <w:t>Earlier year data has also been amended to exclude new business approvals as these are now separately reported on at Table 3.13.</w:t>
      </w:r>
    </w:p>
    <w:p w14:paraId="21E677E5" w14:textId="391E1922" w:rsidR="00391DFA" w:rsidRDefault="00391DFA" w:rsidP="005A683F">
      <w:pPr>
        <w:pStyle w:val="ChartorTableNote"/>
        <w:tabs>
          <w:tab w:val="left" w:pos="567"/>
        </w:tabs>
        <w:ind w:left="567" w:hanging="567"/>
      </w:pPr>
      <w:r>
        <w:tab/>
      </w:r>
      <w:r w:rsidR="00342E1E">
        <w:t>Reflecting a methodology change and greater alignment with the Australian and New Zealand Standard Industrial Classification (ANZSIC</w:t>
      </w:r>
      <w:r w:rsidR="00E47DBF">
        <w:t>,</w:t>
      </w:r>
      <w:r w:rsidR="00342E1E">
        <w:t xml:space="preserve"> 2006), the </w:t>
      </w:r>
      <w:r>
        <w:t xml:space="preserve">time series </w:t>
      </w:r>
      <w:r w:rsidR="00342E1E">
        <w:t xml:space="preserve">data </w:t>
      </w:r>
      <w:r>
        <w:t>for mineral exploration and development and services</w:t>
      </w:r>
      <w:r w:rsidR="00342E1E">
        <w:t xml:space="preserve"> sectors</w:t>
      </w:r>
      <w:r>
        <w:t xml:space="preserve"> </w:t>
      </w:r>
      <w:r w:rsidR="00342E1E">
        <w:t xml:space="preserve">has </w:t>
      </w:r>
      <w:r w:rsidR="00342E1E" w:rsidRPr="00342E1E">
        <w:t xml:space="preserve">been amended from earlier published </w:t>
      </w:r>
      <w:r w:rsidDel="00342E1E">
        <w:t>data</w:t>
      </w:r>
      <w:r>
        <w:t>.</w:t>
      </w:r>
    </w:p>
    <w:p w14:paraId="7B08F7B2" w14:textId="0BFB0B56" w:rsidR="00B57188" w:rsidRPr="00720E09" w:rsidRDefault="00E83190" w:rsidP="00AF5EA5">
      <w:pPr>
        <w:pStyle w:val="ChartorTableNote"/>
        <w:tabs>
          <w:tab w:val="left" w:pos="567"/>
        </w:tabs>
        <w:ind w:left="567" w:hanging="567"/>
      </w:pPr>
      <w:r>
        <w:tab/>
      </w:r>
      <w:r w:rsidR="00407BAC">
        <w:t xml:space="preserve">Data for </w:t>
      </w:r>
      <w:r w:rsidR="00407BAC" w:rsidRPr="004A3335">
        <w:t>2015</w:t>
      </w:r>
      <w:r w:rsidR="00407BAC">
        <w:t>–</w:t>
      </w:r>
      <w:r w:rsidR="00407BAC" w:rsidRPr="004A3335">
        <w:t xml:space="preserve">16 </w:t>
      </w:r>
      <w:r w:rsidR="00407BAC">
        <w:t xml:space="preserve">onwards was </w:t>
      </w:r>
      <w:r w:rsidR="00407BAC" w:rsidRPr="004A3335">
        <w:t>impacted by the 1</w:t>
      </w:r>
      <w:r w:rsidR="00407BAC">
        <w:t> </w:t>
      </w:r>
      <w:r w:rsidR="00407BAC" w:rsidRPr="004A3335">
        <w:t>December 2015 reforms</w:t>
      </w:r>
      <w:r w:rsidR="00407BAC">
        <w:t xml:space="preserve">. </w:t>
      </w:r>
      <w:r w:rsidR="00342E1E" w:rsidRPr="00342E1E">
        <w:t>Data from 2016-17 onwards was impacted by the limiting foreign ownership in new developments reform announced in the 2017</w:t>
      </w:r>
      <w:r w:rsidR="00342E1E" w:rsidRPr="00342E1E">
        <w:noBreakHyphen/>
        <w:t>18 Budget that had immediate effect from Budget night, 7.30pm on Tuesday 9 May 2017. The 2017</w:t>
      </w:r>
      <w:r w:rsidR="00342E1E" w:rsidRPr="00342E1E">
        <w:noBreakHyphen/>
        <w:t>18 data was impacted by the other reforms announced in the 2017</w:t>
      </w:r>
      <w:r w:rsidR="00342E1E" w:rsidRPr="00342E1E">
        <w:noBreakHyphen/>
        <w:t xml:space="preserve">18 Budget, which were given effect on 1 July 2017. </w:t>
      </w:r>
      <w:r w:rsidR="00F81758">
        <w:t>Thes</w:t>
      </w:r>
      <w:r w:rsidR="00407BAC">
        <w:t xml:space="preserve">e reforms </w:t>
      </w:r>
      <w:r w:rsidR="00407BAC" w:rsidRPr="004A3335">
        <w:t>may affect data comparability.</w:t>
      </w:r>
    </w:p>
    <w:p w14:paraId="05E0BA6A" w14:textId="77777777" w:rsidR="00E83190" w:rsidRPr="004F599C" w:rsidRDefault="00E83190" w:rsidP="00AF5EA5">
      <w:pPr>
        <w:pStyle w:val="Heading3"/>
      </w:pPr>
      <w:r w:rsidRPr="004F599C">
        <w:t>Agriculture, forestry and fishing</w:t>
      </w:r>
    </w:p>
    <w:p w14:paraId="05E0BA6B" w14:textId="5052C5A4" w:rsidR="00E83190" w:rsidRPr="002229ED" w:rsidRDefault="00E83190" w:rsidP="00E83190">
      <w:pPr>
        <w:rPr>
          <w:color w:val="auto"/>
        </w:rPr>
      </w:pPr>
      <w:r w:rsidRPr="001E6D5E">
        <w:rPr>
          <w:noProof/>
          <w:color w:val="auto"/>
        </w:rPr>
        <mc:AlternateContent>
          <mc:Choice Requires="wpc">
            <w:drawing>
              <wp:anchor distT="0" distB="0" distL="114300" distR="114300" simplePos="0" relativeHeight="251658241" behindDoc="1" locked="0" layoutInCell="1" allowOverlap="1" wp14:anchorId="05E0BAEA" wp14:editId="233BADCD">
                <wp:simplePos x="0" y="0"/>
                <wp:positionH relativeFrom="margin">
                  <wp:posOffset>-6985</wp:posOffset>
                </wp:positionH>
                <wp:positionV relativeFrom="paragraph">
                  <wp:posOffset>60960</wp:posOffset>
                </wp:positionV>
                <wp:extent cx="977900" cy="935990"/>
                <wp:effectExtent l="0" t="0" r="0" b="0"/>
                <wp:wrapSquare wrapText="bothSides"/>
                <wp:docPr id="312" name="Canvas 3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0" name="Oval 310"/>
                        <wps:cNvSpPr>
                          <a:spLocks noChangeAspect="1"/>
                        </wps:cNvSpPr>
                        <wps:spPr>
                          <a:xfrm>
                            <a:off x="35963" y="0"/>
                            <a:ext cx="900000" cy="900000"/>
                          </a:xfrm>
                          <a:prstGeom prst="ellipse">
                            <a:avLst/>
                          </a:prstGeom>
                          <a:solidFill>
                            <a:srgbClr val="A32035"/>
                          </a:solidFill>
                          <a:ln w="25400" cap="flat" cmpd="sng" algn="ctr">
                            <a:solidFill>
                              <a:srgbClr val="E0627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311"/>
                        <wps:cNvSpPr txBox="1"/>
                        <wps:spPr>
                          <a:xfrm>
                            <a:off x="23853" y="116959"/>
                            <a:ext cx="938154" cy="638414"/>
                          </a:xfrm>
                          <a:prstGeom prst="rect">
                            <a:avLst/>
                          </a:prstGeom>
                          <a:noFill/>
                          <a:ln w="6350">
                            <a:noFill/>
                          </a:ln>
                          <a:effectLst/>
                        </wps:spPr>
                        <wps:txbx>
                          <w:txbxContent>
                            <w:p w14:paraId="05E0BB17" w14:textId="136AE88E" w:rsidR="00E56859" w:rsidRPr="002C2D66" w:rsidRDefault="00E56859" w:rsidP="00E83190">
                              <w:pPr>
                                <w:spacing w:after="0"/>
                                <w:jc w:val="center"/>
                                <w:rPr>
                                  <w:b/>
                                  <w:color w:val="FFFFFF" w:themeColor="background1"/>
                                  <w:sz w:val="23"/>
                                </w:rPr>
                              </w:pPr>
                              <w:r w:rsidRPr="002C2D66">
                                <w:rPr>
                                  <w:b/>
                                  <w:color w:val="FFFFFF" w:themeColor="background1"/>
                                  <w:sz w:val="23"/>
                                </w:rPr>
                                <w:t>$7.9b</w:t>
                              </w:r>
                            </w:p>
                            <w:p w14:paraId="05E0BB18" w14:textId="77777777" w:rsidR="00E56859" w:rsidRPr="002C2D66" w:rsidRDefault="00E56859" w:rsidP="00E83190">
                              <w:pPr>
                                <w:spacing w:after="0"/>
                                <w:jc w:val="center"/>
                                <w:rPr>
                                  <w:b/>
                                  <w:color w:val="FFFFFF" w:themeColor="background1"/>
                                  <w:sz w:val="23"/>
                                </w:rPr>
                              </w:pPr>
                              <w:r w:rsidRPr="002C2D66">
                                <w:rPr>
                                  <w:b/>
                                  <w:color w:val="FFFFFF" w:themeColor="background1"/>
                                  <w:sz w:val="23"/>
                                </w:rPr>
                                <w:t>approved</w:t>
                              </w:r>
                            </w:p>
                            <w:p w14:paraId="05E0BB19" w14:textId="77777777" w:rsidR="00E56859" w:rsidRPr="002C2D66" w:rsidRDefault="00E56859" w:rsidP="00E83190">
                              <w:pPr>
                                <w:jc w:val="center"/>
                                <w:rPr>
                                  <w:sz w:val="23"/>
                                </w:rPr>
                              </w:pPr>
                              <w:r w:rsidRPr="002C2D66">
                                <w:rPr>
                                  <w:b/>
                                  <w:color w:val="FFFFFF" w:themeColor="background1"/>
                                  <w:sz w:val="23"/>
                                </w:rPr>
                                <w:t>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312" o:spid="_x0000_s1027" editas="canvas" style="position:absolute;left:0;text-align:left;margin-left:-.55pt;margin-top:4.8pt;width:77pt;height:73.7pt;z-index:-251658239;mso-position-horizontal-relative:margin" coordsize="9779,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">
                <v:shape id="_x0000_s1028" type="#_x0000_t75" style="position:absolute;width:9779;height:9359;visibility:visible;mso-wrap-style:square">
                  <v:fill o:detectmouseclick="t"/>
                  <v:path o:connecttype="none"/>
                </v:shape>
                <v:oval id="Oval 310" o:spid="_x0000_s1029" style="position:absolute;left:359;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LC8EA&#10;AADcAAAADwAAAGRycy9kb3ducmV2LnhtbERPyWrDMBC9F/IPYgK5NbJrWooTJSQFl7S3OoHmOFgT&#10;y8QaGUv18vfVodDj4+3b/WRbMVDvG8cK0nUCgrhyuuFaweVcPL6C8AFZY+uYFMzkYb9bPGwx127k&#10;LxrKUIsYwj5HBSaELpfSV4Ys+rXriCN3c73FEGFfS93jGMNtK5+S5EVabDg2GOzozVB1L3+sgsFk&#10;5lvP4VhePkmeP57tdS7elVotp8MGRKAp/Iv/3CetIEv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VCwvBAAAA3AAAAA8AAAAAAAAAAAAAAAAAmAIAAGRycy9kb3du&#10;cmV2LnhtbFBLBQYAAAAABAAEAPUAAACGAwAAAAA=&#10;" fillcolor="#a32035" strokecolor="#e06277" strokeweight="2pt">
                  <v:path arrowok="t"/>
                  <o:lock v:ext="edit" aspectratio="t"/>
                </v:oval>
                <v:shapetype id="_x0000_t202" coordsize="21600,21600" o:spt="202" path="m,l,21600r21600,l21600,xe">
                  <v:stroke joinstyle="miter"/>
                  <v:path gradientshapeok="t" o:connecttype="rect"/>
                </v:shapetype>
                <v:shape id="Text Box 311" o:spid="_x0000_s1030" type="#_x0000_t202" style="position:absolute;left:238;top:1169;width:9382;height:6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w:txbxContent>
                      <w:p w14:paraId="05E0BB17" w14:textId="136AE88E" w:rsidR="00E56859" w:rsidRPr="002C2D66" w:rsidRDefault="00E56859" w:rsidP="00E83190">
                        <w:pPr>
                          <w:spacing w:after="0"/>
                          <w:jc w:val="center"/>
                          <w:rPr>
                            <w:b/>
                            <w:color w:val="FFFFFF" w:themeColor="background1"/>
                            <w:sz w:val="23"/>
                          </w:rPr>
                        </w:pPr>
                        <w:r w:rsidRPr="002C2D66">
                          <w:rPr>
                            <w:b/>
                            <w:color w:val="FFFFFF" w:themeColor="background1"/>
                            <w:sz w:val="23"/>
                          </w:rPr>
                          <w:t>$7.9b</w:t>
                        </w:r>
                      </w:p>
                      <w:p w14:paraId="05E0BB18" w14:textId="77777777" w:rsidR="00E56859" w:rsidRPr="002C2D66" w:rsidRDefault="00E56859" w:rsidP="00E83190">
                        <w:pPr>
                          <w:spacing w:after="0"/>
                          <w:jc w:val="center"/>
                          <w:rPr>
                            <w:b/>
                            <w:color w:val="FFFFFF" w:themeColor="background1"/>
                            <w:sz w:val="23"/>
                          </w:rPr>
                        </w:pPr>
                        <w:r w:rsidRPr="002C2D66">
                          <w:rPr>
                            <w:b/>
                            <w:color w:val="FFFFFF" w:themeColor="background1"/>
                            <w:sz w:val="23"/>
                          </w:rPr>
                          <w:t>approved</w:t>
                        </w:r>
                      </w:p>
                      <w:p w14:paraId="05E0BB19" w14:textId="77777777" w:rsidR="00E56859" w:rsidRPr="002C2D66" w:rsidRDefault="00E56859" w:rsidP="00E83190">
                        <w:pPr>
                          <w:jc w:val="center"/>
                          <w:rPr>
                            <w:sz w:val="23"/>
                          </w:rPr>
                        </w:pPr>
                        <w:r w:rsidRPr="002C2D66">
                          <w:rPr>
                            <w:b/>
                            <w:color w:val="FFFFFF" w:themeColor="background1"/>
                            <w:sz w:val="23"/>
                          </w:rPr>
                          <w:t>investment</w:t>
                        </w:r>
                      </w:p>
                    </w:txbxContent>
                  </v:textbox>
                </v:shape>
                <w10:wrap type="square" anchorx="margin"/>
              </v:group>
            </w:pict>
          </mc:Fallback>
        </mc:AlternateContent>
      </w:r>
      <w:r w:rsidRPr="00715B21">
        <w:rPr>
          <w:color w:val="auto"/>
        </w:rPr>
        <w:t xml:space="preserve">In </w:t>
      </w:r>
      <w:r w:rsidR="007A4888" w:rsidRPr="00715B21">
        <w:rPr>
          <w:color w:val="auto"/>
        </w:rPr>
        <w:t>2017</w:t>
      </w:r>
      <w:r w:rsidRPr="00715B21">
        <w:rPr>
          <w:color w:val="auto"/>
        </w:rPr>
        <w:t>–</w:t>
      </w:r>
      <w:r w:rsidR="007A4888" w:rsidRPr="00DE5EEF">
        <w:rPr>
          <w:color w:val="auto"/>
        </w:rPr>
        <w:t>1</w:t>
      </w:r>
      <w:r w:rsidR="007A4888" w:rsidRPr="005B2346">
        <w:rPr>
          <w:color w:val="auto"/>
        </w:rPr>
        <w:t>8</w:t>
      </w:r>
      <w:r w:rsidRPr="005B2346">
        <w:rPr>
          <w:color w:val="auto"/>
        </w:rPr>
        <w:t xml:space="preserve">, </w:t>
      </w:r>
      <w:r w:rsidR="00BB4F3A" w:rsidRPr="005B2346">
        <w:rPr>
          <w:color w:val="auto"/>
        </w:rPr>
        <w:t xml:space="preserve">there were </w:t>
      </w:r>
      <w:r w:rsidR="00625AAF" w:rsidRPr="004C7962">
        <w:rPr>
          <w:color w:val="auto"/>
        </w:rPr>
        <w:t xml:space="preserve">201 </w:t>
      </w:r>
      <w:r w:rsidRPr="00DA3E34">
        <w:rPr>
          <w:color w:val="auto"/>
        </w:rPr>
        <w:t>approvals granted for $</w:t>
      </w:r>
      <w:r w:rsidR="00625AAF" w:rsidRPr="00953C48">
        <w:rPr>
          <w:color w:val="auto"/>
        </w:rPr>
        <w:t>7.9</w:t>
      </w:r>
      <w:r w:rsidR="007A4888" w:rsidRPr="00953C48">
        <w:rPr>
          <w:color w:val="auto"/>
        </w:rPr>
        <w:t> </w:t>
      </w:r>
      <w:r w:rsidRPr="00953C48">
        <w:rPr>
          <w:color w:val="auto"/>
        </w:rPr>
        <w:t>billion worth of proposed investment in the agriculture, forestry and fishing sector. The</w:t>
      </w:r>
      <w:r w:rsidR="009A225B" w:rsidRPr="00953C48">
        <w:rPr>
          <w:color w:val="auto"/>
        </w:rPr>
        <w:t xml:space="preserve"> </w:t>
      </w:r>
      <w:r w:rsidRPr="00953C48">
        <w:rPr>
          <w:color w:val="auto"/>
        </w:rPr>
        <w:t xml:space="preserve">largest source countries of investment by value in this sector were </w:t>
      </w:r>
      <w:r w:rsidR="009A225B" w:rsidRPr="00953C48">
        <w:rPr>
          <w:color w:val="auto"/>
        </w:rPr>
        <w:t xml:space="preserve">Canada ($2.6 billion), </w:t>
      </w:r>
      <w:r w:rsidR="00625AAF" w:rsidRPr="00953C48">
        <w:rPr>
          <w:color w:val="auto"/>
        </w:rPr>
        <w:t>China</w:t>
      </w:r>
      <w:r w:rsidR="007A4888" w:rsidRPr="00953C48">
        <w:rPr>
          <w:color w:val="auto"/>
        </w:rPr>
        <w:t xml:space="preserve"> </w:t>
      </w:r>
      <w:r w:rsidRPr="00953C48">
        <w:rPr>
          <w:color w:val="auto"/>
        </w:rPr>
        <w:t>($</w:t>
      </w:r>
      <w:r w:rsidR="009A225B" w:rsidRPr="00953C48">
        <w:rPr>
          <w:color w:val="auto"/>
        </w:rPr>
        <w:t>1.6</w:t>
      </w:r>
      <w:r w:rsidR="004F391B" w:rsidRPr="00953C48">
        <w:rPr>
          <w:color w:val="auto"/>
        </w:rPr>
        <w:t xml:space="preserve"> </w:t>
      </w:r>
      <w:r w:rsidRPr="00953C48">
        <w:rPr>
          <w:color w:val="auto"/>
        </w:rPr>
        <w:t xml:space="preserve">billion) and </w:t>
      </w:r>
      <w:r w:rsidR="008873FB" w:rsidRPr="00953C48">
        <w:rPr>
          <w:color w:val="auto"/>
        </w:rPr>
        <w:t>the United States ($</w:t>
      </w:r>
      <w:r w:rsidR="009E00B4">
        <w:rPr>
          <w:color w:val="auto"/>
        </w:rPr>
        <w:t>0.8</w:t>
      </w:r>
      <w:r w:rsidR="008873FB" w:rsidRPr="00953C48">
        <w:rPr>
          <w:color w:val="auto"/>
        </w:rPr>
        <w:t> </w:t>
      </w:r>
      <w:r w:rsidR="009E00B4">
        <w:rPr>
          <w:color w:val="auto"/>
        </w:rPr>
        <w:t>billion</w:t>
      </w:r>
      <w:r w:rsidRPr="00953C48">
        <w:rPr>
          <w:color w:val="auto"/>
        </w:rPr>
        <w:t>).</w:t>
      </w:r>
    </w:p>
    <w:p w14:paraId="127A04F4" w14:textId="62155FA7" w:rsidR="00A04F7E" w:rsidRPr="00166388" w:rsidRDefault="00E83190" w:rsidP="00166388">
      <w:pPr>
        <w:rPr>
          <w:color w:val="auto"/>
          <w:szCs w:val="24"/>
        </w:rPr>
      </w:pPr>
      <w:r w:rsidRPr="00B86912">
        <w:rPr>
          <w:color w:val="auto"/>
          <w:szCs w:val="24"/>
        </w:rPr>
        <w:t xml:space="preserve">On </w:t>
      </w:r>
      <w:r w:rsidR="007A4888" w:rsidRPr="00B86912">
        <w:rPr>
          <w:color w:val="auto"/>
          <w:szCs w:val="24"/>
        </w:rPr>
        <w:t>1</w:t>
      </w:r>
      <w:r w:rsidR="007A4888">
        <w:rPr>
          <w:color w:val="auto"/>
          <w:szCs w:val="24"/>
        </w:rPr>
        <w:t> </w:t>
      </w:r>
      <w:r w:rsidRPr="00B86912">
        <w:rPr>
          <w:color w:val="auto"/>
          <w:szCs w:val="24"/>
        </w:rPr>
        <w:t>March 2015, the agricultural land screening threshold was lowered from $252 million per acquisition to $15 million cumulative. This means that more agricultural land applications, particularly for lower value transactions, were screened from this time</w:t>
      </w:r>
      <w:r>
        <w:rPr>
          <w:color w:val="auto"/>
          <w:szCs w:val="24"/>
        </w:rPr>
        <w:t>.</w:t>
      </w:r>
      <w:r w:rsidR="00A04F7E">
        <w:br w:type="page"/>
      </w:r>
    </w:p>
    <w:p w14:paraId="05E0BA6E" w14:textId="3244BD57" w:rsidR="00E83190" w:rsidRPr="004F599C" w:rsidRDefault="00E83190" w:rsidP="00AF5EA5">
      <w:pPr>
        <w:pStyle w:val="Heading3"/>
      </w:pPr>
      <w:r w:rsidRPr="004F599C">
        <w:t xml:space="preserve">Finance and </w:t>
      </w:r>
      <w:r w:rsidRPr="00AF5EA5">
        <w:t>insurance</w:t>
      </w:r>
    </w:p>
    <w:p w14:paraId="0EB696E5" w14:textId="73D77C5B" w:rsidR="002701FE" w:rsidRDefault="00E83190" w:rsidP="002701FE">
      <w:pPr>
        <w:rPr>
          <w:color w:val="auto"/>
          <w:szCs w:val="24"/>
        </w:rPr>
      </w:pPr>
      <w:r w:rsidRPr="00B86912">
        <w:rPr>
          <w:noProof/>
          <w:color w:val="auto"/>
          <w:szCs w:val="24"/>
        </w:rPr>
        <mc:AlternateContent>
          <mc:Choice Requires="wpc">
            <w:drawing>
              <wp:anchor distT="0" distB="0" distL="114300" distR="114300" simplePos="0" relativeHeight="251658242" behindDoc="1" locked="0" layoutInCell="1" allowOverlap="1" wp14:anchorId="05E0BAEC" wp14:editId="5F2B5672">
                <wp:simplePos x="0" y="0"/>
                <wp:positionH relativeFrom="margin">
                  <wp:align>left</wp:align>
                </wp:positionH>
                <wp:positionV relativeFrom="paragraph">
                  <wp:posOffset>43180</wp:posOffset>
                </wp:positionV>
                <wp:extent cx="977900" cy="953770"/>
                <wp:effectExtent l="0" t="0" r="0" b="0"/>
                <wp:wrapSquare wrapText="bothSides"/>
                <wp:docPr id="305" name="Canvas 3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3" name="Oval 303"/>
                        <wps:cNvSpPr>
                          <a:spLocks noChangeAspect="1"/>
                        </wps:cNvSpPr>
                        <wps:spPr>
                          <a:xfrm>
                            <a:off x="37256" y="0"/>
                            <a:ext cx="900000" cy="900000"/>
                          </a:xfrm>
                          <a:prstGeom prst="ellipse">
                            <a:avLst/>
                          </a:prstGeom>
                          <a:solidFill>
                            <a:srgbClr val="A32035"/>
                          </a:solidFill>
                          <a:ln w="25400" cap="flat" cmpd="sng" algn="ctr">
                            <a:solidFill>
                              <a:srgbClr val="E0627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304"/>
                        <wps:cNvSpPr txBox="1"/>
                        <wps:spPr>
                          <a:xfrm>
                            <a:off x="19312" y="116955"/>
                            <a:ext cx="936000" cy="622517"/>
                          </a:xfrm>
                          <a:prstGeom prst="rect">
                            <a:avLst/>
                          </a:prstGeom>
                          <a:noFill/>
                          <a:ln w="6350">
                            <a:noFill/>
                          </a:ln>
                          <a:effectLst/>
                        </wps:spPr>
                        <wps:txbx>
                          <w:txbxContent>
                            <w:p w14:paraId="05E0BB1A" w14:textId="3DFC4FDE" w:rsidR="00E56859" w:rsidRPr="002C2D66" w:rsidRDefault="00E56859" w:rsidP="00E83190">
                              <w:pPr>
                                <w:spacing w:after="0"/>
                                <w:jc w:val="center"/>
                                <w:rPr>
                                  <w:b/>
                                  <w:color w:val="FFFFFF" w:themeColor="background1"/>
                                  <w:sz w:val="23"/>
                                </w:rPr>
                              </w:pPr>
                              <w:r w:rsidRPr="002C2D66">
                                <w:rPr>
                                  <w:b/>
                                  <w:color w:val="FFFFFF" w:themeColor="background1"/>
                                  <w:sz w:val="23"/>
                                </w:rPr>
                                <w:t>$6.0b</w:t>
                              </w:r>
                            </w:p>
                            <w:p w14:paraId="05E0BB1B" w14:textId="77777777" w:rsidR="00E56859" w:rsidRPr="002C2D66" w:rsidRDefault="00E56859" w:rsidP="00E83190">
                              <w:pPr>
                                <w:spacing w:after="0"/>
                                <w:jc w:val="center"/>
                                <w:rPr>
                                  <w:b/>
                                  <w:color w:val="FFFFFF" w:themeColor="background1"/>
                                  <w:sz w:val="23"/>
                                </w:rPr>
                              </w:pPr>
                              <w:r w:rsidRPr="002C2D66">
                                <w:rPr>
                                  <w:b/>
                                  <w:color w:val="FFFFFF" w:themeColor="background1"/>
                                  <w:sz w:val="23"/>
                                </w:rPr>
                                <w:t>approved</w:t>
                              </w:r>
                            </w:p>
                            <w:p w14:paraId="05E0BB1C" w14:textId="77777777" w:rsidR="00E56859" w:rsidRPr="002C2D66" w:rsidRDefault="00E56859" w:rsidP="00E83190">
                              <w:pPr>
                                <w:jc w:val="center"/>
                                <w:rPr>
                                  <w:sz w:val="23"/>
                                </w:rPr>
                              </w:pPr>
                              <w:r w:rsidRPr="002C2D66">
                                <w:rPr>
                                  <w:b/>
                                  <w:color w:val="FFFFFF" w:themeColor="background1"/>
                                  <w:sz w:val="23"/>
                                </w:rPr>
                                <w:t>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305" o:spid="_x0000_s1031" editas="canvas" style="position:absolute;left:0;text-align:left;margin-left:0;margin-top:3.4pt;width:77pt;height:75.1pt;z-index:-251658238;mso-position-horizontal:left;mso-position-horizontal-relative:margin" coordsize="9779,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">
                <v:shape id="_x0000_s1032" type="#_x0000_t75" style="position:absolute;width:9779;height:9537;visibility:visible;mso-wrap-style:square">
                  <v:fill o:detectmouseclick="t"/>
                  <v:path o:connecttype="none"/>
                </v:shape>
                <v:oval id="Oval 303" o:spid="_x0000_s1033" style="position:absolute;left:372;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DocQA&#10;AADcAAAADwAAAGRycy9kb3ducmV2LnhtbESPQWvCQBSE7wX/w/IEb3WjoaWkboIKiu2tUWiPj+xr&#10;NjT7NmTXmPx7t1DocZiZb5hNMdpWDNT7xrGC1TIBQVw53XCt4HI+PL6A8AFZY+uYFEzkochnDxvM&#10;tLvxBw1lqEWEsM9QgQmhy6T0lSGLfuk64uh9u95iiLKvpe7xFuG2leskeZYWG44LBjvaG6p+yqtV&#10;MJjUfOop7MrLO8nz25P9mg5HpRbzcfsKItAY/sN/7ZNWkCYp/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eA6HEAAAA3AAAAA8AAAAAAAAAAAAAAAAAmAIAAGRycy9k&#10;b3ducmV2LnhtbFBLBQYAAAAABAAEAPUAAACJAwAAAAA=&#10;" fillcolor="#a32035" strokecolor="#e06277" strokeweight="2pt">
                  <v:path arrowok="t"/>
                  <o:lock v:ext="edit" aspectratio="t"/>
                </v:oval>
                <v:shape id="Text Box 304" o:spid="_x0000_s1034" type="#_x0000_t202" style="position:absolute;left:193;top:1169;width:9360;height:6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14:paraId="05E0BB1A" w14:textId="3DFC4FDE" w:rsidR="00E56859" w:rsidRPr="002C2D66" w:rsidRDefault="00E56859" w:rsidP="00E83190">
                        <w:pPr>
                          <w:spacing w:after="0"/>
                          <w:jc w:val="center"/>
                          <w:rPr>
                            <w:b/>
                            <w:color w:val="FFFFFF" w:themeColor="background1"/>
                            <w:sz w:val="23"/>
                          </w:rPr>
                        </w:pPr>
                        <w:r w:rsidRPr="002C2D66">
                          <w:rPr>
                            <w:b/>
                            <w:color w:val="FFFFFF" w:themeColor="background1"/>
                            <w:sz w:val="23"/>
                          </w:rPr>
                          <w:t>$6.0b</w:t>
                        </w:r>
                      </w:p>
                      <w:p w14:paraId="05E0BB1B" w14:textId="77777777" w:rsidR="00E56859" w:rsidRPr="002C2D66" w:rsidRDefault="00E56859" w:rsidP="00E83190">
                        <w:pPr>
                          <w:spacing w:after="0"/>
                          <w:jc w:val="center"/>
                          <w:rPr>
                            <w:b/>
                            <w:color w:val="FFFFFF" w:themeColor="background1"/>
                            <w:sz w:val="23"/>
                          </w:rPr>
                        </w:pPr>
                        <w:r w:rsidRPr="002C2D66">
                          <w:rPr>
                            <w:b/>
                            <w:color w:val="FFFFFF" w:themeColor="background1"/>
                            <w:sz w:val="23"/>
                          </w:rPr>
                          <w:t>approved</w:t>
                        </w:r>
                      </w:p>
                      <w:p w14:paraId="05E0BB1C" w14:textId="77777777" w:rsidR="00E56859" w:rsidRPr="002C2D66" w:rsidRDefault="00E56859" w:rsidP="00E83190">
                        <w:pPr>
                          <w:jc w:val="center"/>
                          <w:rPr>
                            <w:sz w:val="23"/>
                          </w:rPr>
                        </w:pPr>
                        <w:r w:rsidRPr="002C2D66">
                          <w:rPr>
                            <w:b/>
                            <w:color w:val="FFFFFF" w:themeColor="background1"/>
                            <w:sz w:val="23"/>
                          </w:rPr>
                          <w:t>investment</w:t>
                        </w:r>
                      </w:p>
                    </w:txbxContent>
                  </v:textbox>
                </v:shape>
                <w10:wrap type="square" anchorx="margin"/>
              </v:group>
            </w:pict>
          </mc:Fallback>
        </mc:AlternateContent>
      </w:r>
      <w:r w:rsidRPr="00B86912">
        <w:rPr>
          <w:color w:val="auto"/>
          <w:szCs w:val="24"/>
        </w:rPr>
        <w:t xml:space="preserve">The value of approved proposed investment in the finance and insurance sector </w:t>
      </w:r>
      <w:r w:rsidR="00BB4F3A">
        <w:rPr>
          <w:color w:val="auto"/>
          <w:szCs w:val="24"/>
        </w:rPr>
        <w:t>was $6</w:t>
      </w:r>
      <w:r w:rsidR="009E00B4">
        <w:rPr>
          <w:color w:val="auto"/>
          <w:szCs w:val="24"/>
        </w:rPr>
        <w:t>.0</w:t>
      </w:r>
      <w:r w:rsidR="00BB4F3A">
        <w:rPr>
          <w:color w:val="auto"/>
          <w:szCs w:val="24"/>
        </w:rPr>
        <w:t xml:space="preserve"> </w:t>
      </w:r>
      <w:r w:rsidRPr="00B86912">
        <w:rPr>
          <w:color w:val="auto"/>
          <w:szCs w:val="24"/>
        </w:rPr>
        <w:t xml:space="preserve">billion in </w:t>
      </w:r>
      <w:r w:rsidR="00A527E8" w:rsidRPr="00B86912">
        <w:rPr>
          <w:color w:val="auto"/>
          <w:szCs w:val="24"/>
        </w:rPr>
        <w:t>201</w:t>
      </w:r>
      <w:r w:rsidR="00A527E8">
        <w:rPr>
          <w:color w:val="auto"/>
          <w:szCs w:val="24"/>
        </w:rPr>
        <w:t>7</w:t>
      </w:r>
      <w:r>
        <w:rPr>
          <w:color w:val="auto"/>
          <w:szCs w:val="24"/>
        </w:rPr>
        <w:t>–</w:t>
      </w:r>
      <w:r w:rsidR="00A527E8" w:rsidRPr="00B86912">
        <w:rPr>
          <w:color w:val="auto"/>
          <w:szCs w:val="24"/>
        </w:rPr>
        <w:t>1</w:t>
      </w:r>
      <w:r w:rsidR="00A527E8">
        <w:rPr>
          <w:color w:val="auto"/>
          <w:szCs w:val="24"/>
        </w:rPr>
        <w:t>8</w:t>
      </w:r>
      <w:r w:rsidRPr="00B86912">
        <w:rPr>
          <w:color w:val="auto"/>
          <w:szCs w:val="24"/>
        </w:rPr>
        <w:t xml:space="preserve">. </w:t>
      </w:r>
      <w:r w:rsidR="002701FE">
        <w:rPr>
          <w:color w:val="auto"/>
          <w:szCs w:val="24"/>
        </w:rPr>
        <w:t xml:space="preserve">This was an increase </w:t>
      </w:r>
      <w:r w:rsidR="00B57188">
        <w:rPr>
          <w:color w:val="auto"/>
          <w:szCs w:val="24"/>
        </w:rPr>
        <w:t xml:space="preserve">of $2.2 billion </w:t>
      </w:r>
      <w:r w:rsidR="00A40BEA">
        <w:rPr>
          <w:color w:val="auto"/>
          <w:szCs w:val="24"/>
        </w:rPr>
        <w:t>o</w:t>
      </w:r>
      <w:r w:rsidR="002701FE">
        <w:rPr>
          <w:color w:val="auto"/>
          <w:szCs w:val="24"/>
        </w:rPr>
        <w:t xml:space="preserve">n the value of proposed investment </w:t>
      </w:r>
      <w:r w:rsidR="00C93EBC">
        <w:rPr>
          <w:color w:val="auto"/>
          <w:szCs w:val="24"/>
        </w:rPr>
        <w:t>i</w:t>
      </w:r>
      <w:r w:rsidR="002701FE">
        <w:rPr>
          <w:color w:val="auto"/>
          <w:szCs w:val="24"/>
        </w:rPr>
        <w:t>n 2016–17.</w:t>
      </w:r>
    </w:p>
    <w:p w14:paraId="05E0BA6F" w14:textId="3265BA16" w:rsidR="00E83190" w:rsidRPr="004F599C" w:rsidRDefault="00BB4F3A" w:rsidP="002229ED">
      <w:pPr>
        <w:spacing w:after="0"/>
      </w:pPr>
      <w:r w:rsidRPr="004F599C">
        <w:t>The</w:t>
      </w:r>
      <w:r w:rsidR="002701FE" w:rsidRPr="004F599C">
        <w:t xml:space="preserve"> </w:t>
      </w:r>
      <w:r w:rsidRPr="004F599C">
        <w:t>United States was the largest source country of investment by value in this sector ($</w:t>
      </w:r>
      <w:r w:rsidR="00C534F2" w:rsidRPr="004F599C">
        <w:t>1.</w:t>
      </w:r>
      <w:r w:rsidR="00F669F3" w:rsidRPr="004F599C">
        <w:t>7</w:t>
      </w:r>
      <w:r w:rsidR="00F669F3">
        <w:t> </w:t>
      </w:r>
      <w:r w:rsidR="00C534F2" w:rsidRPr="004F599C">
        <w:t>billion), followed by Canada ($</w:t>
      </w:r>
      <w:r w:rsidR="009E00B4">
        <w:t>0.8 billion</w:t>
      </w:r>
      <w:r w:rsidR="00C534F2" w:rsidRPr="004F599C">
        <w:t xml:space="preserve">) and the United </w:t>
      </w:r>
      <w:r w:rsidR="008301FD" w:rsidRPr="004F599C">
        <w:t>Arab Emirates</w:t>
      </w:r>
      <w:r w:rsidR="00C534F2" w:rsidRPr="004F599C">
        <w:t xml:space="preserve"> ($</w:t>
      </w:r>
      <w:r w:rsidR="009E00B4">
        <w:t>0.6 b</w:t>
      </w:r>
      <w:r w:rsidR="00C534F2" w:rsidRPr="004F599C">
        <w:t>illion).</w:t>
      </w:r>
    </w:p>
    <w:p w14:paraId="05E0BA70" w14:textId="77777777" w:rsidR="00E83190" w:rsidRPr="004F599C" w:rsidRDefault="00E83190" w:rsidP="00AF5EA5">
      <w:pPr>
        <w:pStyle w:val="Heading3"/>
      </w:pPr>
      <w:r w:rsidRPr="004F599C">
        <w:t xml:space="preserve">Manufacturing, electricity </w:t>
      </w:r>
      <w:r w:rsidRPr="00AF5EA5">
        <w:t>and</w:t>
      </w:r>
      <w:r w:rsidRPr="004F599C">
        <w:t xml:space="preserve"> gas</w:t>
      </w:r>
    </w:p>
    <w:p w14:paraId="05E0BA71" w14:textId="5D066E17" w:rsidR="00E83190" w:rsidRDefault="00E83190" w:rsidP="00E83190">
      <w:pPr>
        <w:rPr>
          <w:color w:val="auto"/>
          <w:szCs w:val="24"/>
        </w:rPr>
      </w:pPr>
      <w:r w:rsidRPr="00A8068F">
        <w:rPr>
          <w:noProof/>
          <w:color w:val="auto"/>
          <w:szCs w:val="24"/>
        </w:rPr>
        <mc:AlternateContent>
          <mc:Choice Requires="wpc">
            <w:drawing>
              <wp:anchor distT="0" distB="0" distL="114300" distR="114300" simplePos="0" relativeHeight="251658243" behindDoc="1" locked="0" layoutInCell="1" allowOverlap="1" wp14:anchorId="05E0BAEE" wp14:editId="3A323217">
                <wp:simplePos x="0" y="0"/>
                <wp:positionH relativeFrom="margin">
                  <wp:align>left</wp:align>
                </wp:positionH>
                <wp:positionV relativeFrom="paragraph">
                  <wp:posOffset>17145</wp:posOffset>
                </wp:positionV>
                <wp:extent cx="985520" cy="946150"/>
                <wp:effectExtent l="0" t="0" r="0" b="6350"/>
                <wp:wrapSquare wrapText="bothSides"/>
                <wp:docPr id="290" name="Canvas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3" name="Oval 63"/>
                        <wps:cNvSpPr>
                          <a:spLocks noChangeAspect="1"/>
                        </wps:cNvSpPr>
                        <wps:spPr>
                          <a:xfrm>
                            <a:off x="39410" y="0"/>
                            <a:ext cx="900000" cy="900000"/>
                          </a:xfrm>
                          <a:prstGeom prst="ellipse">
                            <a:avLst/>
                          </a:prstGeom>
                          <a:solidFill>
                            <a:srgbClr val="A32035"/>
                          </a:solidFill>
                          <a:ln w="25400" cap="flat" cmpd="sng" algn="ctr">
                            <a:solidFill>
                              <a:srgbClr val="E0627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Text Box 289"/>
                        <wps:cNvSpPr txBox="1"/>
                        <wps:spPr>
                          <a:xfrm>
                            <a:off x="23853" y="116955"/>
                            <a:ext cx="938153" cy="670225"/>
                          </a:xfrm>
                          <a:prstGeom prst="rect">
                            <a:avLst/>
                          </a:prstGeom>
                          <a:noFill/>
                          <a:ln w="6350">
                            <a:noFill/>
                          </a:ln>
                          <a:effectLst/>
                        </wps:spPr>
                        <wps:txbx>
                          <w:txbxContent>
                            <w:p w14:paraId="05E0BB1D" w14:textId="3A4F6BAA" w:rsidR="00E56859" w:rsidRPr="002C2D66" w:rsidRDefault="00E56859" w:rsidP="00E83190">
                              <w:pPr>
                                <w:spacing w:after="0"/>
                                <w:jc w:val="center"/>
                                <w:rPr>
                                  <w:b/>
                                  <w:color w:val="FFFFFF" w:themeColor="background1"/>
                                  <w:sz w:val="23"/>
                                </w:rPr>
                              </w:pPr>
                              <w:r w:rsidRPr="002C2D66">
                                <w:rPr>
                                  <w:b/>
                                  <w:color w:val="FFFFFF" w:themeColor="background1"/>
                                  <w:sz w:val="23"/>
                                </w:rPr>
                                <w:t>$16.6b</w:t>
                              </w:r>
                            </w:p>
                            <w:p w14:paraId="05E0BB1E" w14:textId="77777777" w:rsidR="00E56859" w:rsidRPr="002C2D66" w:rsidRDefault="00E56859" w:rsidP="00E83190">
                              <w:pPr>
                                <w:spacing w:after="0"/>
                                <w:jc w:val="center"/>
                                <w:rPr>
                                  <w:b/>
                                  <w:color w:val="FFFFFF" w:themeColor="background1"/>
                                  <w:sz w:val="23"/>
                                </w:rPr>
                              </w:pPr>
                              <w:r w:rsidRPr="002C2D66">
                                <w:rPr>
                                  <w:b/>
                                  <w:color w:val="FFFFFF" w:themeColor="background1"/>
                                  <w:sz w:val="23"/>
                                </w:rPr>
                                <w:t>approved</w:t>
                              </w:r>
                            </w:p>
                            <w:p w14:paraId="05E0BB1F" w14:textId="77777777" w:rsidR="00E56859" w:rsidRPr="002C2D66" w:rsidRDefault="00E56859" w:rsidP="00E83190">
                              <w:pPr>
                                <w:jc w:val="center"/>
                                <w:rPr>
                                  <w:sz w:val="23"/>
                                </w:rPr>
                              </w:pPr>
                              <w:r w:rsidRPr="002C2D66">
                                <w:rPr>
                                  <w:b/>
                                  <w:color w:val="FFFFFF" w:themeColor="background1"/>
                                  <w:sz w:val="23"/>
                                </w:rPr>
                                <w:t>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290" o:spid="_x0000_s1035" editas="canvas" style="position:absolute;left:0;text-align:left;margin-left:0;margin-top:1.35pt;width:77.6pt;height:74.5pt;z-index:-251658237;mso-position-horizontal:left;mso-position-horizontal-relative:margin" coordsize="9855,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">
                <v:shape id="_x0000_s1036" type="#_x0000_t75" style="position:absolute;width:9855;height:9461;visibility:visible;mso-wrap-style:square">
                  <v:fill o:detectmouseclick="t"/>
                  <v:path o:connecttype="none"/>
                </v:shape>
                <v:oval id="Oval 63" o:spid="_x0000_s1037" style="position:absolute;left:394;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yEsMA&#10;AADbAAAADwAAAGRycy9kb3ducmV2LnhtbESPQWvCQBSE7wX/w/IEb3VjpSLRNWghxfbWKOjxkX1m&#10;g9m3IbuNyb/vFgo9DjPzDbPNBtuInjpfO1awmCcgiEuna64UnE/58xqED8gaG8ekYCQP2W7ytMVU&#10;uwd/UV+ESkQI+xQVmBDaVEpfGrLo564ljt7NdRZDlF0ldYePCLeNfEmSlbRYc1ww2NKbofJefFsF&#10;vVmaix7DoTh/kjx9vNrrmL8rNZsO+w2IQEP4D/+1j1rBagm/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HyEsMAAADbAAAADwAAAAAAAAAAAAAAAACYAgAAZHJzL2Rv&#10;d25yZXYueG1sUEsFBgAAAAAEAAQA9QAAAIgDAAAAAA==&#10;" fillcolor="#a32035" strokecolor="#e06277" strokeweight="2pt">
                  <v:path arrowok="t"/>
                  <o:lock v:ext="edit" aspectratio="t"/>
                </v:oval>
                <v:shape id="Text Box 289" o:spid="_x0000_s1038" type="#_x0000_t202" style="position:absolute;left:238;top:1169;width:9382;height:6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05E0BB1D" w14:textId="3A4F6BAA" w:rsidR="00E56859" w:rsidRPr="002C2D66" w:rsidRDefault="00E56859" w:rsidP="00E83190">
                        <w:pPr>
                          <w:spacing w:after="0"/>
                          <w:jc w:val="center"/>
                          <w:rPr>
                            <w:b/>
                            <w:color w:val="FFFFFF" w:themeColor="background1"/>
                            <w:sz w:val="23"/>
                          </w:rPr>
                        </w:pPr>
                        <w:r w:rsidRPr="002C2D66">
                          <w:rPr>
                            <w:b/>
                            <w:color w:val="FFFFFF" w:themeColor="background1"/>
                            <w:sz w:val="23"/>
                          </w:rPr>
                          <w:t>$16.6b</w:t>
                        </w:r>
                      </w:p>
                      <w:p w14:paraId="05E0BB1E" w14:textId="77777777" w:rsidR="00E56859" w:rsidRPr="002C2D66" w:rsidRDefault="00E56859" w:rsidP="00E83190">
                        <w:pPr>
                          <w:spacing w:after="0"/>
                          <w:jc w:val="center"/>
                          <w:rPr>
                            <w:b/>
                            <w:color w:val="FFFFFF" w:themeColor="background1"/>
                            <w:sz w:val="23"/>
                          </w:rPr>
                        </w:pPr>
                        <w:r w:rsidRPr="002C2D66">
                          <w:rPr>
                            <w:b/>
                            <w:color w:val="FFFFFF" w:themeColor="background1"/>
                            <w:sz w:val="23"/>
                          </w:rPr>
                          <w:t>approved</w:t>
                        </w:r>
                      </w:p>
                      <w:p w14:paraId="05E0BB1F" w14:textId="77777777" w:rsidR="00E56859" w:rsidRPr="002C2D66" w:rsidRDefault="00E56859" w:rsidP="00E83190">
                        <w:pPr>
                          <w:jc w:val="center"/>
                          <w:rPr>
                            <w:sz w:val="23"/>
                          </w:rPr>
                        </w:pPr>
                        <w:r w:rsidRPr="002C2D66">
                          <w:rPr>
                            <w:b/>
                            <w:color w:val="FFFFFF" w:themeColor="background1"/>
                            <w:sz w:val="23"/>
                          </w:rPr>
                          <w:t>investment</w:t>
                        </w:r>
                      </w:p>
                    </w:txbxContent>
                  </v:textbox>
                </v:shape>
                <w10:wrap type="square" anchorx="margin"/>
              </v:group>
            </w:pict>
          </mc:Fallback>
        </mc:AlternateContent>
      </w:r>
      <w:r w:rsidRPr="00A8068F">
        <w:rPr>
          <w:color w:val="auto"/>
          <w:szCs w:val="24"/>
        </w:rPr>
        <w:t xml:space="preserve">The </w:t>
      </w:r>
      <w:r>
        <w:rPr>
          <w:color w:val="auto"/>
          <w:szCs w:val="24"/>
        </w:rPr>
        <w:t>$</w:t>
      </w:r>
      <w:r w:rsidR="00C534F2">
        <w:rPr>
          <w:color w:val="auto"/>
          <w:szCs w:val="24"/>
        </w:rPr>
        <w:t>16.6</w:t>
      </w:r>
      <w:r w:rsidRPr="00A8068F">
        <w:rPr>
          <w:color w:val="auto"/>
          <w:szCs w:val="24"/>
        </w:rPr>
        <w:t xml:space="preserve"> billion worth of proposed investment approved in </w:t>
      </w:r>
      <w:r w:rsidR="00FF689A" w:rsidRPr="00A8068F">
        <w:rPr>
          <w:color w:val="auto"/>
          <w:szCs w:val="24"/>
        </w:rPr>
        <w:t>201</w:t>
      </w:r>
      <w:r w:rsidR="00FF689A">
        <w:rPr>
          <w:color w:val="auto"/>
          <w:szCs w:val="24"/>
        </w:rPr>
        <w:t>7</w:t>
      </w:r>
      <w:r>
        <w:rPr>
          <w:color w:val="auto"/>
          <w:szCs w:val="24"/>
        </w:rPr>
        <w:t>–</w:t>
      </w:r>
      <w:r w:rsidR="00FF689A" w:rsidRPr="00A8068F">
        <w:rPr>
          <w:color w:val="auto"/>
          <w:szCs w:val="24"/>
        </w:rPr>
        <w:t>1</w:t>
      </w:r>
      <w:r w:rsidR="00FF689A">
        <w:rPr>
          <w:color w:val="auto"/>
          <w:szCs w:val="24"/>
        </w:rPr>
        <w:t>8</w:t>
      </w:r>
      <w:r w:rsidR="00FF689A" w:rsidRPr="00A8068F">
        <w:rPr>
          <w:color w:val="auto"/>
          <w:szCs w:val="24"/>
        </w:rPr>
        <w:t xml:space="preserve"> </w:t>
      </w:r>
      <w:r w:rsidRPr="00A8068F">
        <w:rPr>
          <w:color w:val="auto"/>
          <w:szCs w:val="24"/>
        </w:rPr>
        <w:t xml:space="preserve">in the manufacturing, electricity and gas sector was </w:t>
      </w:r>
      <w:r w:rsidR="00C534F2">
        <w:rPr>
          <w:color w:val="auto"/>
          <w:szCs w:val="24"/>
        </w:rPr>
        <w:t>less</w:t>
      </w:r>
      <w:r w:rsidRPr="00A8068F">
        <w:rPr>
          <w:color w:val="auto"/>
          <w:szCs w:val="24"/>
        </w:rPr>
        <w:t xml:space="preserve"> than </w:t>
      </w:r>
      <w:r w:rsidR="00C534F2">
        <w:rPr>
          <w:color w:val="auto"/>
          <w:szCs w:val="24"/>
        </w:rPr>
        <w:t xml:space="preserve">half </w:t>
      </w:r>
      <w:r w:rsidRPr="00A8068F">
        <w:rPr>
          <w:color w:val="auto"/>
          <w:szCs w:val="24"/>
        </w:rPr>
        <w:t xml:space="preserve">the value </w:t>
      </w:r>
      <w:r w:rsidR="00C534F2">
        <w:rPr>
          <w:color w:val="auto"/>
          <w:szCs w:val="24"/>
        </w:rPr>
        <w:t>recorded</w:t>
      </w:r>
      <w:r w:rsidRPr="00A8068F">
        <w:rPr>
          <w:color w:val="auto"/>
          <w:szCs w:val="24"/>
        </w:rPr>
        <w:t xml:space="preserve"> in </w:t>
      </w:r>
      <w:r w:rsidR="00FF689A" w:rsidRPr="00A8068F">
        <w:rPr>
          <w:color w:val="auto"/>
          <w:szCs w:val="24"/>
        </w:rPr>
        <w:t>201</w:t>
      </w:r>
      <w:r w:rsidR="00FF689A">
        <w:rPr>
          <w:color w:val="auto"/>
          <w:szCs w:val="24"/>
        </w:rPr>
        <w:t>6</w:t>
      </w:r>
      <w:r>
        <w:rPr>
          <w:color w:val="auto"/>
          <w:szCs w:val="24"/>
        </w:rPr>
        <w:t>–</w:t>
      </w:r>
      <w:r w:rsidR="00FF689A" w:rsidRPr="00A8068F">
        <w:rPr>
          <w:color w:val="auto"/>
          <w:szCs w:val="24"/>
        </w:rPr>
        <w:t>1</w:t>
      </w:r>
      <w:r w:rsidR="00FF689A">
        <w:rPr>
          <w:color w:val="auto"/>
          <w:szCs w:val="24"/>
        </w:rPr>
        <w:t>7</w:t>
      </w:r>
      <w:r w:rsidR="00C534F2">
        <w:rPr>
          <w:color w:val="auto"/>
          <w:szCs w:val="24"/>
        </w:rPr>
        <w:t>. This was</w:t>
      </w:r>
      <w:r w:rsidRPr="00A8068F">
        <w:rPr>
          <w:color w:val="auto"/>
          <w:szCs w:val="24"/>
        </w:rPr>
        <w:t xml:space="preserve"> despite an increase in the number of approvals </w:t>
      </w:r>
      <w:r>
        <w:rPr>
          <w:color w:val="auto"/>
          <w:szCs w:val="24"/>
        </w:rPr>
        <w:t>and a number of high value transactions</w:t>
      </w:r>
      <w:r w:rsidR="0079575A">
        <w:rPr>
          <w:color w:val="auto"/>
          <w:szCs w:val="24"/>
        </w:rPr>
        <w:t xml:space="preserve"> in </w:t>
      </w:r>
      <w:r w:rsidR="007C6C5A">
        <w:rPr>
          <w:color w:val="auto"/>
          <w:szCs w:val="24"/>
        </w:rPr>
        <w:t>2017</w:t>
      </w:r>
      <w:r w:rsidR="0079575A">
        <w:rPr>
          <w:color w:val="auto"/>
          <w:szCs w:val="24"/>
        </w:rPr>
        <w:t>–18</w:t>
      </w:r>
      <w:r>
        <w:rPr>
          <w:color w:val="auto"/>
          <w:szCs w:val="24"/>
        </w:rPr>
        <w:t>.</w:t>
      </w:r>
    </w:p>
    <w:p w14:paraId="05E0BA72" w14:textId="20241D5A" w:rsidR="00E83190" w:rsidRDefault="00E83190" w:rsidP="00E83190">
      <w:pPr>
        <w:rPr>
          <w:color w:val="auto"/>
          <w:szCs w:val="24"/>
        </w:rPr>
      </w:pPr>
      <w:r w:rsidRPr="00A8068F">
        <w:rPr>
          <w:color w:val="auto"/>
          <w:szCs w:val="24"/>
        </w:rPr>
        <w:t xml:space="preserve">The </w:t>
      </w:r>
      <w:r w:rsidRPr="00C534F2">
        <w:rPr>
          <w:color w:val="auto"/>
          <w:szCs w:val="24"/>
        </w:rPr>
        <w:t>decline</w:t>
      </w:r>
      <w:r w:rsidR="0079575A">
        <w:rPr>
          <w:color w:val="auto"/>
          <w:szCs w:val="24"/>
        </w:rPr>
        <w:t xml:space="preserve"> in value from </w:t>
      </w:r>
      <w:r w:rsidR="00C93EBC">
        <w:rPr>
          <w:color w:val="auto"/>
          <w:szCs w:val="24"/>
        </w:rPr>
        <w:t>the previous year</w:t>
      </w:r>
      <w:r w:rsidR="0079575A">
        <w:rPr>
          <w:color w:val="auto"/>
          <w:szCs w:val="24"/>
        </w:rPr>
        <w:t xml:space="preserve"> </w:t>
      </w:r>
      <w:r w:rsidRPr="00C534F2">
        <w:rPr>
          <w:color w:val="auto"/>
          <w:szCs w:val="24"/>
        </w:rPr>
        <w:t>was driven by a $</w:t>
      </w:r>
      <w:r w:rsidR="00C534F2" w:rsidRPr="00C534F2">
        <w:rPr>
          <w:color w:val="auto"/>
          <w:szCs w:val="24"/>
        </w:rPr>
        <w:t>24</w:t>
      </w:r>
      <w:r w:rsidRPr="00C534F2">
        <w:rPr>
          <w:color w:val="auto"/>
          <w:szCs w:val="24"/>
        </w:rPr>
        <w:t>.</w:t>
      </w:r>
      <w:r w:rsidR="00C534F2" w:rsidRPr="00C534F2">
        <w:rPr>
          <w:color w:val="auto"/>
          <w:szCs w:val="24"/>
        </w:rPr>
        <w:t>2</w:t>
      </w:r>
      <w:r w:rsidR="0079575A">
        <w:rPr>
          <w:color w:val="auto"/>
          <w:szCs w:val="24"/>
        </w:rPr>
        <w:t> </w:t>
      </w:r>
      <w:r w:rsidRPr="00C534F2">
        <w:rPr>
          <w:color w:val="auto"/>
          <w:szCs w:val="24"/>
        </w:rPr>
        <w:t xml:space="preserve">billion decrease in the value of approvals in the </w:t>
      </w:r>
      <w:r w:rsidR="00C534F2" w:rsidRPr="00C534F2">
        <w:rPr>
          <w:color w:val="auto"/>
          <w:szCs w:val="24"/>
        </w:rPr>
        <w:t xml:space="preserve">electricity and gas </w:t>
      </w:r>
      <w:r w:rsidRPr="00C534F2">
        <w:rPr>
          <w:color w:val="auto"/>
          <w:szCs w:val="24"/>
        </w:rPr>
        <w:t>sector</w:t>
      </w:r>
      <w:r w:rsidR="00C534F2">
        <w:rPr>
          <w:color w:val="auto"/>
          <w:szCs w:val="24"/>
        </w:rPr>
        <w:t xml:space="preserve">. The high value of approvals in the sector in 2015–16 and 2016–17 </w:t>
      </w:r>
      <w:r w:rsidR="0079575A">
        <w:rPr>
          <w:color w:val="auto"/>
          <w:szCs w:val="24"/>
        </w:rPr>
        <w:t xml:space="preserve">partly </w:t>
      </w:r>
      <w:r w:rsidR="00C534F2">
        <w:rPr>
          <w:color w:val="auto"/>
          <w:szCs w:val="24"/>
        </w:rPr>
        <w:t xml:space="preserve">reflected </w:t>
      </w:r>
      <w:r w:rsidR="0079575A">
        <w:rPr>
          <w:color w:val="auto"/>
          <w:szCs w:val="24"/>
        </w:rPr>
        <w:t xml:space="preserve">the sale of significant parts of </w:t>
      </w:r>
      <w:r w:rsidR="005C58A4">
        <w:rPr>
          <w:color w:val="auto"/>
          <w:szCs w:val="24"/>
        </w:rPr>
        <w:t xml:space="preserve">the </w:t>
      </w:r>
      <w:r w:rsidR="00573419">
        <w:rPr>
          <w:color w:val="auto"/>
          <w:szCs w:val="24"/>
        </w:rPr>
        <w:t>New </w:t>
      </w:r>
      <w:r w:rsidR="005C58A4">
        <w:rPr>
          <w:color w:val="auto"/>
          <w:szCs w:val="24"/>
        </w:rPr>
        <w:t>South Wales</w:t>
      </w:r>
      <w:r w:rsidR="0079575A">
        <w:rPr>
          <w:color w:val="auto"/>
          <w:szCs w:val="24"/>
        </w:rPr>
        <w:t xml:space="preserve"> Government</w:t>
      </w:r>
      <w:r w:rsidR="008251B9">
        <w:rPr>
          <w:color w:val="auto"/>
          <w:szCs w:val="24"/>
        </w:rPr>
        <w:t>’</w:t>
      </w:r>
      <w:r w:rsidR="0079575A">
        <w:rPr>
          <w:color w:val="auto"/>
          <w:szCs w:val="24"/>
        </w:rPr>
        <w:t xml:space="preserve">s electricity transmission networks. This included the proposed multi-billion dollar acquisition of </w:t>
      </w:r>
      <w:proofErr w:type="spellStart"/>
      <w:r w:rsidR="0079575A">
        <w:rPr>
          <w:color w:val="auto"/>
          <w:szCs w:val="24"/>
        </w:rPr>
        <w:t>Transgrid</w:t>
      </w:r>
      <w:proofErr w:type="spellEnd"/>
      <w:r w:rsidR="001E6131">
        <w:rPr>
          <w:color w:val="auto"/>
          <w:szCs w:val="24"/>
        </w:rPr>
        <w:t xml:space="preserve"> in 2015.</w:t>
      </w:r>
      <w:r w:rsidR="002C24F8">
        <w:rPr>
          <w:rStyle w:val="FootnoteReference"/>
          <w:color w:val="auto"/>
          <w:szCs w:val="24"/>
        </w:rPr>
        <w:footnoteReference w:id="11"/>
      </w:r>
    </w:p>
    <w:p w14:paraId="1035D222" w14:textId="63DC55D7" w:rsidR="00DE1CD4" w:rsidRPr="00DE1CD4" w:rsidRDefault="00DE1CD4" w:rsidP="00DE1CD4">
      <w:r w:rsidRPr="004F599C">
        <w:t>The United States was the largest source country of investment by value in this sector ($</w:t>
      </w:r>
      <w:r>
        <w:t>3</w:t>
      </w:r>
      <w:r w:rsidRPr="004F599C">
        <w:t>.7</w:t>
      </w:r>
      <w:r>
        <w:t> </w:t>
      </w:r>
      <w:r w:rsidRPr="004F599C">
        <w:t>billion), followed by Canada ($</w:t>
      </w:r>
      <w:r>
        <w:t>2.</w:t>
      </w:r>
      <w:r w:rsidRPr="004F599C">
        <w:t>7</w:t>
      </w:r>
      <w:r>
        <w:t> b</w:t>
      </w:r>
      <w:r w:rsidRPr="004F599C">
        <w:t xml:space="preserve">illion) and the United </w:t>
      </w:r>
      <w:r>
        <w:t>Kingdom</w:t>
      </w:r>
      <w:r w:rsidRPr="004F599C">
        <w:t xml:space="preserve"> ($</w:t>
      </w:r>
      <w:r>
        <w:t>2.7 b</w:t>
      </w:r>
      <w:r w:rsidRPr="004F599C">
        <w:t>illion).</w:t>
      </w:r>
    </w:p>
    <w:p w14:paraId="05E0BA73" w14:textId="3ABC6FA9" w:rsidR="00E83190" w:rsidRPr="002979C4" w:rsidRDefault="00FF689A" w:rsidP="00FE0B08">
      <w:pPr>
        <w:pStyle w:val="TableHeading"/>
      </w:pPr>
      <w:bookmarkStart w:id="650" w:name="_Toc529545211"/>
      <w:bookmarkStart w:id="651" w:name="_Toc529802465"/>
      <w:bookmarkStart w:id="652" w:name="_Toc529878038"/>
      <w:bookmarkStart w:id="653" w:name="_Toc529879262"/>
      <w:bookmarkStart w:id="654" w:name="_Toc529882527"/>
      <w:bookmarkStart w:id="655" w:name="_Toc529885198"/>
      <w:bookmarkStart w:id="656" w:name="_Toc529890670"/>
      <w:bookmarkStart w:id="657" w:name="_Toc529970041"/>
      <w:bookmarkStart w:id="658" w:name="_Toc529979396"/>
      <w:bookmarkStart w:id="659" w:name="_Toc530050441"/>
      <w:bookmarkStart w:id="660" w:name="_Toc530065520"/>
      <w:bookmarkStart w:id="661" w:name="_Toc530066348"/>
      <w:bookmarkStart w:id="662" w:name="_Toc530145067"/>
      <w:bookmarkStart w:id="663" w:name="_Toc530146037"/>
      <w:bookmarkStart w:id="664" w:name="_Toc530146958"/>
      <w:bookmarkStart w:id="665" w:name="_Toc530148316"/>
      <w:bookmarkStart w:id="666" w:name="_Toc530148517"/>
      <w:bookmarkStart w:id="667" w:name="_Toc530149189"/>
      <w:bookmarkStart w:id="668" w:name="_Toc530149813"/>
      <w:bookmarkStart w:id="669" w:name="_Toc530401665"/>
      <w:bookmarkStart w:id="670" w:name="_Toc530491418"/>
      <w:bookmarkStart w:id="671" w:name="_Toc530495836"/>
      <w:bookmarkStart w:id="672" w:name="_Toc530497739"/>
      <w:bookmarkStart w:id="673" w:name="_Toc530663559"/>
      <w:bookmarkStart w:id="674" w:name="_Toc530753852"/>
      <w:bookmarkStart w:id="675" w:name="_Toc530756421"/>
      <w:bookmarkStart w:id="676" w:name="_Toc530759858"/>
      <w:bookmarkStart w:id="677" w:name="_Toc532223704"/>
      <w:bookmarkStart w:id="678" w:name="_Toc532224163"/>
      <w:bookmarkStart w:id="679" w:name="_Toc532226642"/>
      <w:bookmarkStart w:id="680" w:name="_Toc536029344"/>
      <w:bookmarkStart w:id="681" w:name="_Toc1054884"/>
      <w:r>
        <w:t>Table</w:t>
      </w:r>
      <w:r w:rsidR="00FE0B08">
        <w:t xml:space="preserve"> </w:t>
      </w:r>
      <w:r w:rsidR="005A174F">
        <w:t>3</w:t>
      </w:r>
      <w:r w:rsidR="00E83190" w:rsidRPr="002979C4">
        <w:t>.5:</w:t>
      </w:r>
      <w:r w:rsidR="00665F25">
        <w:t xml:space="preserve"> </w:t>
      </w:r>
      <w:r w:rsidR="00E83190" w:rsidRPr="002979C4">
        <w:t xml:space="preserve">Manufacturing, electricity and gas sector approvals: </w:t>
      </w:r>
      <w:r w:rsidRPr="002979C4">
        <w:t>201</w:t>
      </w:r>
      <w:r>
        <w:t>4</w:t>
      </w:r>
      <w:r w:rsidR="00E83190">
        <w:t>–</w:t>
      </w:r>
      <w:r w:rsidRPr="002979C4">
        <w:t>1</w:t>
      </w:r>
      <w:r>
        <w:t>5</w:t>
      </w:r>
      <w:r w:rsidRPr="002979C4">
        <w:t xml:space="preserve"> </w:t>
      </w:r>
      <w:r w:rsidR="00E83190" w:rsidRPr="002979C4">
        <w:t xml:space="preserve">to </w:t>
      </w:r>
      <w:r w:rsidRPr="002979C4">
        <w:t>201</w:t>
      </w:r>
      <w:r>
        <w:t>7</w:t>
      </w:r>
      <w:r w:rsidR="00E83190">
        <w:t>–</w:t>
      </w:r>
      <w:bookmarkStart w:id="682" w:name="_1548074926"/>
      <w:bookmarkEnd w:id="682"/>
      <w:r w:rsidRPr="002979C4">
        <w:t>1</w:t>
      </w:r>
      <w:r>
        <w:t>8</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00E83190">
        <w:fldChar w:fldCharType="begin"/>
      </w:r>
      <w:r w:rsidR="00E83190">
        <w:instrText xml:space="preserve"> LINK Excel.Sheet.12 "http://tweb/sites/mg/fitpd/Lfirbannualrport/2016-17/Data%20Tables/Report%20tables/Table%204.5-Manufacturing%20sector%20approvals.xlsx" "Final Table!R2C1:R9C16" \a \f 4 \h  \* MERGEFORMAT </w:instrText>
      </w:r>
      <w:r w:rsidR="00E83190">
        <w:fldChar w:fldCharType="separate"/>
      </w:r>
    </w:p>
    <w:p w14:paraId="05E0BA74" w14:textId="04598DE2" w:rsidR="00E83190" w:rsidRPr="00EA22C3" w:rsidRDefault="00E83190" w:rsidP="00E83190">
      <w:pPr>
        <w:pStyle w:val="TableGraphic"/>
        <w:rPr>
          <w:color w:val="auto"/>
        </w:rPr>
      </w:pPr>
      <w:r>
        <w:fldChar w:fldCharType="end"/>
      </w:r>
      <w:r w:rsidR="00CA6C4B">
        <w:object w:dxaOrig="7777" w:dyaOrig="2056" w14:anchorId="7D102E2B">
          <v:shape id="_x0000_i1030" type="#_x0000_t75" alt="Table shows the number and total value of Manufacturing, Electricity &amp; Gas approvals during a financial year for the four financial years ending in 2017-18 and categorises these by group.&#10;The groups shown are chemical petroleum &amp; coal products, electricity &amp; gas supply, food beverages &amp; tobacco, water sewerage &amp; waste disposal and other. &#10;The decrease in value of manufacturing, electricity and gas sector approvals is driven by a decrease in the value of electricity and gas supply approvals from 2016-17 to 2017-2018. However, the number of electricity and gas supply approvals increased from 37 in the previous two financial years to 52 in 2017-18." style="width:388.85pt;height:102.8pt" o:ole="">
            <v:imagedata r:id="rId68" o:title=""/>
          </v:shape>
          <o:OLEObject Type="Link" ProgID="Excel.Sheet.12" ShapeID="_x0000_i1030" DrawAspect="Content" r:id="rId69" UpdateMode="Always">
            <o:LinkType>EnhancedMetaFile</o:LinkType>
            <o:LockedField>false</o:LockedField>
          </o:OLEObject>
        </w:object>
      </w:r>
      <w:r w:rsidRPr="00EA22C3">
        <w:fldChar w:fldCharType="begin"/>
      </w:r>
      <w:r w:rsidRPr="00EA22C3">
        <w:instrText xml:space="preserve"> LINK Excel.Sheet.12 "http://tweb/sites/mg/fitpd/FIRB/Annual Report (written only)/2014-15/Data - Charts and Tables/2014-15 Table 2.5.xlsx" Sheet1!R3C1:R11C3 \a \f 4 \h  \* MERGEFORMAT </w:instrText>
      </w:r>
      <w:r w:rsidRPr="00EA22C3">
        <w:fldChar w:fldCharType="separate"/>
      </w:r>
      <w:bookmarkStart w:id="683" w:name="_1548075111"/>
      <w:bookmarkEnd w:id="683"/>
    </w:p>
    <w:p w14:paraId="05E0BA75" w14:textId="1320A84D" w:rsidR="00E83190" w:rsidRPr="002A2C33" w:rsidRDefault="00E83190" w:rsidP="00663356">
      <w:pPr>
        <w:pStyle w:val="ChartandTableFootnoteAlpha"/>
        <w:numPr>
          <w:ilvl w:val="0"/>
          <w:numId w:val="40"/>
        </w:numPr>
      </w:pPr>
      <w:r w:rsidRPr="00EA22C3">
        <w:fldChar w:fldCharType="end"/>
      </w:r>
      <w:r w:rsidRPr="002A2C33">
        <w:t>Comprises: textile, leather, clothing and footwear</w:t>
      </w:r>
      <w:r w:rsidR="00561D1A">
        <w:t xml:space="preserve"> manufacturing</w:t>
      </w:r>
      <w:r w:rsidRPr="002A2C33">
        <w:t>; polymer product and rubber products</w:t>
      </w:r>
      <w:r w:rsidR="00561D1A">
        <w:t xml:space="preserve"> manufacturing</w:t>
      </w:r>
      <w:r w:rsidRPr="002A2C33">
        <w:t>; primary metal and metal product</w:t>
      </w:r>
      <w:r w:rsidR="00561D1A">
        <w:t xml:space="preserve"> manufacturing</w:t>
      </w:r>
      <w:r w:rsidRPr="002A2C33">
        <w:t>; fabricated metal products</w:t>
      </w:r>
      <w:r w:rsidR="00561D1A">
        <w:t xml:space="preserve"> manufacturing</w:t>
      </w:r>
      <w:r w:rsidRPr="002A2C33">
        <w:t>; transport equipment</w:t>
      </w:r>
      <w:r w:rsidR="00561D1A">
        <w:t xml:space="preserve"> manufacturing</w:t>
      </w:r>
      <w:r w:rsidRPr="002A2C33">
        <w:t>; machinery and equipment</w:t>
      </w:r>
      <w:r w:rsidR="00561D1A">
        <w:t xml:space="preserve"> manufacturing</w:t>
      </w:r>
      <w:r w:rsidRPr="002A2C33">
        <w:t>; and furniture manufacturing.</w:t>
      </w:r>
    </w:p>
    <w:p w14:paraId="20038BDF" w14:textId="536564FD" w:rsidR="0012427E" w:rsidRDefault="00E83190" w:rsidP="005A683F">
      <w:pPr>
        <w:pStyle w:val="ChartorTableNote"/>
        <w:tabs>
          <w:tab w:val="left" w:pos="567"/>
        </w:tabs>
        <w:ind w:left="567" w:hanging="567"/>
      </w:pPr>
      <w:r w:rsidRPr="002A2C33">
        <w:t>Notes:</w:t>
      </w:r>
      <w:r w:rsidRPr="002A2C33">
        <w:tab/>
        <w:t>Totals may not add due to rounding.</w:t>
      </w:r>
    </w:p>
    <w:p w14:paraId="05E0BA76" w14:textId="4D33A29C" w:rsidR="00E83190" w:rsidRDefault="0012427E" w:rsidP="005A683F">
      <w:pPr>
        <w:pStyle w:val="ChartorTableNote"/>
        <w:tabs>
          <w:tab w:val="left" w:pos="567"/>
        </w:tabs>
        <w:ind w:left="567" w:hanging="567"/>
      </w:pPr>
      <w:r>
        <w:tab/>
      </w:r>
      <w:r w:rsidR="00E83190" w:rsidRPr="002A2C33">
        <w:t>Excludes corporate reorganisations</w:t>
      </w:r>
      <w:r w:rsidR="00CD1E0E">
        <w:t xml:space="preserve"> and new businesses</w:t>
      </w:r>
      <w:r w:rsidR="00E83190" w:rsidRPr="002A2C33">
        <w:t>.</w:t>
      </w:r>
    </w:p>
    <w:p w14:paraId="49D9AE05" w14:textId="5B7B571F" w:rsidR="005A174F" w:rsidRPr="002229ED" w:rsidRDefault="00407BAC" w:rsidP="00AF5EA5">
      <w:pPr>
        <w:pStyle w:val="ChartorTableNote"/>
        <w:tabs>
          <w:tab w:val="left" w:pos="567"/>
        </w:tabs>
        <w:ind w:left="567"/>
      </w:pPr>
      <w:r>
        <w:t xml:space="preserve">Data for </w:t>
      </w:r>
      <w:r w:rsidRPr="004A3335">
        <w:t>2015</w:t>
      </w:r>
      <w:r>
        <w:t>–</w:t>
      </w:r>
      <w:r w:rsidRPr="004A3335">
        <w:t xml:space="preserve">16 </w:t>
      </w:r>
      <w:r>
        <w:t xml:space="preserve">onwards was </w:t>
      </w:r>
      <w:r w:rsidRPr="004A3335">
        <w:t>impacted by the 1</w:t>
      </w:r>
      <w:r>
        <w:t> </w:t>
      </w:r>
      <w:r w:rsidRPr="004A3335">
        <w:t>December 2015 reforms</w:t>
      </w:r>
      <w:r>
        <w:t>. Data from 2017</w:t>
      </w:r>
      <w:r>
        <w:noBreakHyphen/>
        <w:t>18 was impacted by the reforms announced in the 2017</w:t>
      </w:r>
      <w:r>
        <w:noBreakHyphen/>
        <w:t xml:space="preserve">18 Budget, which were given effect on 1 July 2017. </w:t>
      </w:r>
      <w:r w:rsidR="00F81758">
        <w:t>Thes</w:t>
      </w:r>
      <w:r>
        <w:t xml:space="preserve">e reforms </w:t>
      </w:r>
      <w:r w:rsidRPr="004A3335">
        <w:t>may affect data comparability.</w:t>
      </w:r>
      <w:r w:rsidR="005A174F">
        <w:br w:type="page"/>
      </w:r>
    </w:p>
    <w:tbl>
      <w:tblPr>
        <w:tblW w:w="0" w:type="auto"/>
        <w:tblLook w:val="04A0" w:firstRow="1" w:lastRow="0" w:firstColumn="1" w:lastColumn="0" w:noHBand="0" w:noVBand="1"/>
      </w:tblPr>
      <w:tblGrid>
        <w:gridCol w:w="7927"/>
      </w:tblGrid>
      <w:tr w:rsidR="007E20B8" w14:paraId="226C9C45" w14:textId="77777777" w:rsidTr="007E20B8">
        <w:tc>
          <w:tcPr>
            <w:tcW w:w="7927" w:type="dxa"/>
          </w:tcPr>
          <w:bookmarkStart w:id="684" w:name="_Toc1054872"/>
          <w:p w14:paraId="333A2CE3" w14:textId="54FBA4CC" w:rsidR="007E20B8" w:rsidRPr="007E20B8" w:rsidRDefault="007E20B8" w:rsidP="007E20B8">
            <w:pPr>
              <w:pStyle w:val="CaseStudyHeading"/>
            </w:pPr>
            <w:r w:rsidRPr="00503AF6">
              <w:rPr>
                <w:noProof/>
                <w:sz w:val="2"/>
                <w:szCs w:val="2"/>
              </w:rPr>
              <mc:AlternateContent>
                <mc:Choice Requires="wps">
                  <w:drawing>
                    <wp:anchor distT="0" distB="0" distL="114300" distR="114300" simplePos="0" relativeHeight="251658250" behindDoc="1" locked="0" layoutInCell="1" allowOverlap="1" wp14:anchorId="284FE989" wp14:editId="0A96ADBA">
                      <wp:simplePos x="0" y="0"/>
                      <wp:positionH relativeFrom="column">
                        <wp:posOffset>-52070</wp:posOffset>
                      </wp:positionH>
                      <wp:positionV relativeFrom="paragraph">
                        <wp:posOffset>1633</wp:posOffset>
                      </wp:positionV>
                      <wp:extent cx="5018405" cy="7559040"/>
                      <wp:effectExtent l="0" t="0" r="0" b="3810"/>
                      <wp:wrapNone/>
                      <wp:docPr id="8" name="Rounded Rectangle 292"/>
                      <wp:cNvGraphicFramePr/>
                      <a:graphic xmlns:a="http://schemas.openxmlformats.org/drawingml/2006/main">
                        <a:graphicData uri="http://schemas.microsoft.com/office/word/2010/wordprocessingShape">
                          <wps:wsp>
                            <wps:cNvSpPr/>
                            <wps:spPr>
                              <a:xfrm>
                                <a:off x="0" y="0"/>
                                <a:ext cx="5018405" cy="7559040"/>
                              </a:xfrm>
                              <a:custGeom>
                                <a:avLst/>
                                <a:gdLst>
                                  <a:gd name="connsiteX0" fmla="*/ 0 w 1345565"/>
                                  <a:gd name="connsiteY0" fmla="*/ 250141 h 1492250"/>
                                  <a:gd name="connsiteX1" fmla="*/ 250141 w 1345565"/>
                                  <a:gd name="connsiteY1" fmla="*/ 0 h 1492250"/>
                                  <a:gd name="connsiteX2" fmla="*/ 1095424 w 1345565"/>
                                  <a:gd name="connsiteY2" fmla="*/ 0 h 1492250"/>
                                  <a:gd name="connsiteX3" fmla="*/ 1345565 w 1345565"/>
                                  <a:gd name="connsiteY3" fmla="*/ 250141 h 1492250"/>
                                  <a:gd name="connsiteX4" fmla="*/ 1345565 w 1345565"/>
                                  <a:gd name="connsiteY4" fmla="*/ 1242109 h 1492250"/>
                                  <a:gd name="connsiteX5" fmla="*/ 1095424 w 1345565"/>
                                  <a:gd name="connsiteY5" fmla="*/ 1492250 h 1492250"/>
                                  <a:gd name="connsiteX6" fmla="*/ 250141 w 1345565"/>
                                  <a:gd name="connsiteY6" fmla="*/ 1492250 h 1492250"/>
                                  <a:gd name="connsiteX7" fmla="*/ 0 w 1345565"/>
                                  <a:gd name="connsiteY7" fmla="*/ 1242109 h 1492250"/>
                                  <a:gd name="connsiteX8" fmla="*/ 0 w 1345565"/>
                                  <a:gd name="connsiteY8" fmla="*/ 250141 h 1492250"/>
                                  <a:gd name="connsiteX0" fmla="*/ 0 w 1345565"/>
                                  <a:gd name="connsiteY0" fmla="*/ 250141 h 1553649"/>
                                  <a:gd name="connsiteX1" fmla="*/ 250141 w 1345565"/>
                                  <a:gd name="connsiteY1" fmla="*/ 0 h 1553649"/>
                                  <a:gd name="connsiteX2" fmla="*/ 1095424 w 1345565"/>
                                  <a:gd name="connsiteY2" fmla="*/ 0 h 1553649"/>
                                  <a:gd name="connsiteX3" fmla="*/ 1345565 w 1345565"/>
                                  <a:gd name="connsiteY3" fmla="*/ 250141 h 1553649"/>
                                  <a:gd name="connsiteX4" fmla="*/ 1345565 w 1345565"/>
                                  <a:gd name="connsiteY4" fmla="*/ 1242109 h 1553649"/>
                                  <a:gd name="connsiteX5" fmla="*/ 1095424 w 1345565"/>
                                  <a:gd name="connsiteY5" fmla="*/ 1492250 h 1553649"/>
                                  <a:gd name="connsiteX6" fmla="*/ 250141 w 1345565"/>
                                  <a:gd name="connsiteY6" fmla="*/ 1492250 h 1553649"/>
                                  <a:gd name="connsiteX7" fmla="*/ 0 w 1345565"/>
                                  <a:gd name="connsiteY7" fmla="*/ 1492250 h 1553649"/>
                                  <a:gd name="connsiteX8" fmla="*/ 0 w 1345565"/>
                                  <a:gd name="connsiteY8" fmla="*/ 250141 h 1553649"/>
                                  <a:gd name="connsiteX0" fmla="*/ 61399 w 1406964"/>
                                  <a:gd name="connsiteY0" fmla="*/ 250141 h 1553759"/>
                                  <a:gd name="connsiteX1" fmla="*/ 311540 w 1406964"/>
                                  <a:gd name="connsiteY1" fmla="*/ 0 h 1553759"/>
                                  <a:gd name="connsiteX2" fmla="*/ 1156823 w 1406964"/>
                                  <a:gd name="connsiteY2" fmla="*/ 0 h 1553759"/>
                                  <a:gd name="connsiteX3" fmla="*/ 1406964 w 1406964"/>
                                  <a:gd name="connsiteY3" fmla="*/ 250141 h 1553759"/>
                                  <a:gd name="connsiteX4" fmla="*/ 1406964 w 1406964"/>
                                  <a:gd name="connsiteY4" fmla="*/ 1242109 h 1553759"/>
                                  <a:gd name="connsiteX5" fmla="*/ 1156823 w 1406964"/>
                                  <a:gd name="connsiteY5" fmla="*/ 1492250 h 1553759"/>
                                  <a:gd name="connsiteX6" fmla="*/ 61399 w 1406964"/>
                                  <a:gd name="connsiteY6" fmla="*/ 1492672 h 1553759"/>
                                  <a:gd name="connsiteX7" fmla="*/ 61399 w 1406964"/>
                                  <a:gd name="connsiteY7" fmla="*/ 1492250 h 1553759"/>
                                  <a:gd name="connsiteX8" fmla="*/ 61399 w 1406964"/>
                                  <a:gd name="connsiteY8" fmla="*/ 250141 h 1553759"/>
                                  <a:gd name="connsiteX0" fmla="*/ 498 w 1346063"/>
                                  <a:gd name="connsiteY0" fmla="*/ 250141 h 1553216"/>
                                  <a:gd name="connsiteX1" fmla="*/ 250639 w 1346063"/>
                                  <a:gd name="connsiteY1" fmla="*/ 0 h 1553216"/>
                                  <a:gd name="connsiteX2" fmla="*/ 1095922 w 1346063"/>
                                  <a:gd name="connsiteY2" fmla="*/ 0 h 1553216"/>
                                  <a:gd name="connsiteX3" fmla="*/ 1346063 w 1346063"/>
                                  <a:gd name="connsiteY3" fmla="*/ 250141 h 1553216"/>
                                  <a:gd name="connsiteX4" fmla="*/ 1346063 w 1346063"/>
                                  <a:gd name="connsiteY4" fmla="*/ 1242109 h 1553216"/>
                                  <a:gd name="connsiteX5" fmla="*/ 1095922 w 1346063"/>
                                  <a:gd name="connsiteY5" fmla="*/ 1492250 h 1553216"/>
                                  <a:gd name="connsiteX6" fmla="*/ 498 w 1346063"/>
                                  <a:gd name="connsiteY6" fmla="*/ 1492672 h 1553216"/>
                                  <a:gd name="connsiteX7" fmla="*/ 498 w 1346063"/>
                                  <a:gd name="connsiteY7" fmla="*/ 1492250 h 1553216"/>
                                  <a:gd name="connsiteX8" fmla="*/ 498 w 1346063"/>
                                  <a:gd name="connsiteY8" fmla="*/ 250141 h 1553216"/>
                                  <a:gd name="connsiteX0" fmla="*/ 200 w 1345765"/>
                                  <a:gd name="connsiteY0" fmla="*/ 250141 h 1492672"/>
                                  <a:gd name="connsiteX1" fmla="*/ 250341 w 1345765"/>
                                  <a:gd name="connsiteY1" fmla="*/ 0 h 1492672"/>
                                  <a:gd name="connsiteX2" fmla="*/ 1095624 w 1345765"/>
                                  <a:gd name="connsiteY2" fmla="*/ 0 h 1492672"/>
                                  <a:gd name="connsiteX3" fmla="*/ 1345765 w 1345765"/>
                                  <a:gd name="connsiteY3" fmla="*/ 250141 h 1492672"/>
                                  <a:gd name="connsiteX4" fmla="*/ 1345765 w 1345765"/>
                                  <a:gd name="connsiteY4" fmla="*/ 1242109 h 1492672"/>
                                  <a:gd name="connsiteX5" fmla="*/ 1095624 w 1345765"/>
                                  <a:gd name="connsiteY5" fmla="*/ 1492250 h 1492672"/>
                                  <a:gd name="connsiteX6" fmla="*/ 200 w 1345765"/>
                                  <a:gd name="connsiteY6" fmla="*/ 1492672 h 1492672"/>
                                  <a:gd name="connsiteX7" fmla="*/ 200 w 1345765"/>
                                  <a:gd name="connsiteY7" fmla="*/ 1492250 h 1492672"/>
                                  <a:gd name="connsiteX8" fmla="*/ 200 w 1345765"/>
                                  <a:gd name="connsiteY8" fmla="*/ 250141 h 1492672"/>
                                  <a:gd name="connsiteX0" fmla="*/ 200 w 1407164"/>
                                  <a:gd name="connsiteY0" fmla="*/ 250141 h 1492672"/>
                                  <a:gd name="connsiteX1" fmla="*/ 250341 w 1407164"/>
                                  <a:gd name="connsiteY1" fmla="*/ 0 h 1492672"/>
                                  <a:gd name="connsiteX2" fmla="*/ 1095624 w 1407164"/>
                                  <a:gd name="connsiteY2" fmla="*/ 0 h 1492672"/>
                                  <a:gd name="connsiteX3" fmla="*/ 1345765 w 1407164"/>
                                  <a:gd name="connsiteY3" fmla="*/ 250141 h 1492672"/>
                                  <a:gd name="connsiteX4" fmla="*/ 1345765 w 1407164"/>
                                  <a:gd name="connsiteY4" fmla="*/ 1242109 h 1492672"/>
                                  <a:gd name="connsiteX5" fmla="*/ 1345765 w 1407164"/>
                                  <a:gd name="connsiteY5" fmla="*/ 1492672 h 1492672"/>
                                  <a:gd name="connsiteX6" fmla="*/ 200 w 1407164"/>
                                  <a:gd name="connsiteY6" fmla="*/ 1492672 h 1492672"/>
                                  <a:gd name="connsiteX7" fmla="*/ 200 w 1407164"/>
                                  <a:gd name="connsiteY7" fmla="*/ 1492250 h 1492672"/>
                                  <a:gd name="connsiteX8" fmla="*/ 200 w 1407164"/>
                                  <a:gd name="connsiteY8" fmla="*/ 250141 h 1492672"/>
                                  <a:gd name="connsiteX0" fmla="*/ 200 w 1407947"/>
                                  <a:gd name="connsiteY0" fmla="*/ 250141 h 1554071"/>
                                  <a:gd name="connsiteX1" fmla="*/ 250341 w 1407947"/>
                                  <a:gd name="connsiteY1" fmla="*/ 0 h 1554071"/>
                                  <a:gd name="connsiteX2" fmla="*/ 1095624 w 1407947"/>
                                  <a:gd name="connsiteY2" fmla="*/ 0 h 1554071"/>
                                  <a:gd name="connsiteX3" fmla="*/ 1345765 w 1407947"/>
                                  <a:gd name="connsiteY3" fmla="*/ 250141 h 1554071"/>
                                  <a:gd name="connsiteX4" fmla="*/ 1348747 w 1407947"/>
                                  <a:gd name="connsiteY4" fmla="*/ 1492672 h 1554071"/>
                                  <a:gd name="connsiteX5" fmla="*/ 1345765 w 1407947"/>
                                  <a:gd name="connsiteY5" fmla="*/ 1492672 h 1554071"/>
                                  <a:gd name="connsiteX6" fmla="*/ 200 w 1407947"/>
                                  <a:gd name="connsiteY6" fmla="*/ 1492672 h 1554071"/>
                                  <a:gd name="connsiteX7" fmla="*/ 200 w 1407947"/>
                                  <a:gd name="connsiteY7" fmla="*/ 1492250 h 1554071"/>
                                  <a:gd name="connsiteX8" fmla="*/ 200 w 1407947"/>
                                  <a:gd name="connsiteY8" fmla="*/ 250141 h 1554071"/>
                                  <a:gd name="connsiteX0" fmla="*/ 200 w 1406648"/>
                                  <a:gd name="connsiteY0" fmla="*/ 250141 h 1493274"/>
                                  <a:gd name="connsiteX1" fmla="*/ 250341 w 1406648"/>
                                  <a:gd name="connsiteY1" fmla="*/ 0 h 1493274"/>
                                  <a:gd name="connsiteX2" fmla="*/ 1095624 w 1406648"/>
                                  <a:gd name="connsiteY2" fmla="*/ 0 h 1493274"/>
                                  <a:gd name="connsiteX3" fmla="*/ 1345765 w 1406648"/>
                                  <a:gd name="connsiteY3" fmla="*/ 250141 h 1493274"/>
                                  <a:gd name="connsiteX4" fmla="*/ 1348747 w 1406648"/>
                                  <a:gd name="connsiteY4" fmla="*/ 1492672 h 1493274"/>
                                  <a:gd name="connsiteX5" fmla="*/ 1345765 w 1406648"/>
                                  <a:gd name="connsiteY5" fmla="*/ 1492672 h 1493274"/>
                                  <a:gd name="connsiteX6" fmla="*/ 200 w 1406648"/>
                                  <a:gd name="connsiteY6" fmla="*/ 1492672 h 1493274"/>
                                  <a:gd name="connsiteX7" fmla="*/ 200 w 1406648"/>
                                  <a:gd name="connsiteY7" fmla="*/ 1492250 h 1493274"/>
                                  <a:gd name="connsiteX8" fmla="*/ 200 w 1406648"/>
                                  <a:gd name="connsiteY8" fmla="*/ 250141 h 1493274"/>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0 w 1348747"/>
                                  <a:gd name="connsiteY0" fmla="*/ 165456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65456 h 1493370"/>
                                  <a:gd name="connsiteX0" fmla="*/ 0 w 1348747"/>
                                  <a:gd name="connsiteY0" fmla="*/ 191920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0 w 1348747"/>
                                  <a:gd name="connsiteY8" fmla="*/ 119398 h 1494831"/>
                                  <a:gd name="connsiteX0" fmla="*/ 0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0 w 1348747"/>
                                  <a:gd name="connsiteY8" fmla="*/ 119398 h 1494831"/>
                                  <a:gd name="connsiteX0" fmla="*/ 23507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23507 w 1348747"/>
                                  <a:gd name="connsiteY8" fmla="*/ 119398 h 1494831"/>
                                  <a:gd name="connsiteX0" fmla="*/ 0 w 1348747"/>
                                  <a:gd name="connsiteY0" fmla="*/ 117360 h 1495238"/>
                                  <a:gd name="connsiteX1" fmla="*/ 156313 w 1348747"/>
                                  <a:gd name="connsiteY1" fmla="*/ 1868 h 1495238"/>
                                  <a:gd name="connsiteX2" fmla="*/ 1235646 w 1348747"/>
                                  <a:gd name="connsiteY2" fmla="*/ 1868 h 1495238"/>
                                  <a:gd name="connsiteX3" fmla="*/ 1348747 w 1348747"/>
                                  <a:gd name="connsiteY3" fmla="*/ 119665 h 1495238"/>
                                  <a:gd name="connsiteX4" fmla="*/ 1348747 w 1348747"/>
                                  <a:gd name="connsiteY4" fmla="*/ 1494540 h 1495238"/>
                                  <a:gd name="connsiteX5" fmla="*/ 1345765 w 1348747"/>
                                  <a:gd name="connsiteY5" fmla="*/ 1494540 h 1495238"/>
                                  <a:gd name="connsiteX6" fmla="*/ 200 w 1348747"/>
                                  <a:gd name="connsiteY6" fmla="*/ 1494540 h 1495238"/>
                                  <a:gd name="connsiteX7" fmla="*/ 200 w 1348747"/>
                                  <a:gd name="connsiteY7" fmla="*/ 1494118 h 1495238"/>
                                  <a:gd name="connsiteX8" fmla="*/ 0 w 1348747"/>
                                  <a:gd name="connsiteY8" fmla="*/ 117360 h 1495238"/>
                                  <a:gd name="connsiteX0" fmla="*/ 0 w 1348747"/>
                                  <a:gd name="connsiteY0" fmla="*/ 118912 h 1496790"/>
                                  <a:gd name="connsiteX1" fmla="*/ 105025 w 1348747"/>
                                  <a:gd name="connsiteY1" fmla="*/ 1552 h 1496790"/>
                                  <a:gd name="connsiteX2" fmla="*/ 1235646 w 1348747"/>
                                  <a:gd name="connsiteY2" fmla="*/ 3420 h 1496790"/>
                                  <a:gd name="connsiteX3" fmla="*/ 1348747 w 1348747"/>
                                  <a:gd name="connsiteY3" fmla="*/ 121217 h 1496790"/>
                                  <a:gd name="connsiteX4" fmla="*/ 1348747 w 1348747"/>
                                  <a:gd name="connsiteY4" fmla="*/ 1496092 h 1496790"/>
                                  <a:gd name="connsiteX5" fmla="*/ 1345765 w 1348747"/>
                                  <a:gd name="connsiteY5" fmla="*/ 1496092 h 1496790"/>
                                  <a:gd name="connsiteX6" fmla="*/ 200 w 1348747"/>
                                  <a:gd name="connsiteY6" fmla="*/ 1496092 h 1496790"/>
                                  <a:gd name="connsiteX7" fmla="*/ 200 w 1348747"/>
                                  <a:gd name="connsiteY7" fmla="*/ 1495670 h 1496790"/>
                                  <a:gd name="connsiteX8" fmla="*/ 0 w 1348747"/>
                                  <a:gd name="connsiteY8" fmla="*/ 118912 h 1496790"/>
                                  <a:gd name="connsiteX0" fmla="*/ 0 w 1348747"/>
                                  <a:gd name="connsiteY0" fmla="*/ 121872 h 1499750"/>
                                  <a:gd name="connsiteX1" fmla="*/ 105025 w 1348747"/>
                                  <a:gd name="connsiteY1" fmla="*/ 4512 h 1499750"/>
                                  <a:gd name="connsiteX2" fmla="*/ 1235646 w 1348747"/>
                                  <a:gd name="connsiteY2" fmla="*/ 6380 h 1499750"/>
                                  <a:gd name="connsiteX3" fmla="*/ 1348747 w 1348747"/>
                                  <a:gd name="connsiteY3" fmla="*/ 124177 h 1499750"/>
                                  <a:gd name="connsiteX4" fmla="*/ 1348747 w 1348747"/>
                                  <a:gd name="connsiteY4" fmla="*/ 1499052 h 1499750"/>
                                  <a:gd name="connsiteX5" fmla="*/ 1345765 w 1348747"/>
                                  <a:gd name="connsiteY5" fmla="*/ 1499052 h 1499750"/>
                                  <a:gd name="connsiteX6" fmla="*/ 200 w 1348747"/>
                                  <a:gd name="connsiteY6" fmla="*/ 1499052 h 1499750"/>
                                  <a:gd name="connsiteX7" fmla="*/ 200 w 1348747"/>
                                  <a:gd name="connsiteY7" fmla="*/ 1498630 h 1499750"/>
                                  <a:gd name="connsiteX8" fmla="*/ 0 w 1348747"/>
                                  <a:gd name="connsiteY8" fmla="*/ 121872 h 1499750"/>
                                  <a:gd name="connsiteX0" fmla="*/ 0 w 1348747"/>
                                  <a:gd name="connsiteY0" fmla="*/ 118913 h 1496791"/>
                                  <a:gd name="connsiteX1" fmla="*/ 105025 w 1348747"/>
                                  <a:gd name="connsiteY1" fmla="*/ 1553 h 1496791"/>
                                  <a:gd name="connsiteX2" fmla="*/ 1235646 w 1348747"/>
                                  <a:gd name="connsiteY2" fmla="*/ 3421 h 1496791"/>
                                  <a:gd name="connsiteX3" fmla="*/ 1348747 w 1348747"/>
                                  <a:gd name="connsiteY3" fmla="*/ 121218 h 1496791"/>
                                  <a:gd name="connsiteX4" fmla="*/ 1348747 w 1348747"/>
                                  <a:gd name="connsiteY4" fmla="*/ 1496093 h 1496791"/>
                                  <a:gd name="connsiteX5" fmla="*/ 1345765 w 1348747"/>
                                  <a:gd name="connsiteY5" fmla="*/ 1496093 h 1496791"/>
                                  <a:gd name="connsiteX6" fmla="*/ 200 w 1348747"/>
                                  <a:gd name="connsiteY6" fmla="*/ 1496093 h 1496791"/>
                                  <a:gd name="connsiteX7" fmla="*/ 200 w 1348747"/>
                                  <a:gd name="connsiteY7" fmla="*/ 1495671 h 1496791"/>
                                  <a:gd name="connsiteX8" fmla="*/ 0 w 1348747"/>
                                  <a:gd name="connsiteY8" fmla="*/ 118913 h 1496791"/>
                                  <a:gd name="connsiteX0" fmla="*/ 0 w 1348747"/>
                                  <a:gd name="connsiteY0" fmla="*/ 118913 h 1496791"/>
                                  <a:gd name="connsiteX1" fmla="*/ 105025 w 1348747"/>
                                  <a:gd name="connsiteY1" fmla="*/ 1553 h 1496791"/>
                                  <a:gd name="connsiteX2" fmla="*/ 1235646 w 1348747"/>
                                  <a:gd name="connsiteY2" fmla="*/ 3421 h 1496791"/>
                                  <a:gd name="connsiteX3" fmla="*/ 1348747 w 1348747"/>
                                  <a:gd name="connsiteY3" fmla="*/ 121218 h 1496791"/>
                                  <a:gd name="connsiteX4" fmla="*/ 1348747 w 1348747"/>
                                  <a:gd name="connsiteY4" fmla="*/ 1496093 h 1496791"/>
                                  <a:gd name="connsiteX5" fmla="*/ 1345765 w 1348747"/>
                                  <a:gd name="connsiteY5" fmla="*/ 1496093 h 1496791"/>
                                  <a:gd name="connsiteX6" fmla="*/ 200 w 1348747"/>
                                  <a:gd name="connsiteY6" fmla="*/ 1496093 h 1496791"/>
                                  <a:gd name="connsiteX7" fmla="*/ 200 w 1348747"/>
                                  <a:gd name="connsiteY7" fmla="*/ 1495671 h 1496791"/>
                                  <a:gd name="connsiteX8" fmla="*/ 0 w 1348747"/>
                                  <a:gd name="connsiteY8" fmla="*/ 118913 h 1496791"/>
                                  <a:gd name="connsiteX0" fmla="*/ 0 w 1348747"/>
                                  <a:gd name="connsiteY0" fmla="*/ 117360 h 1495238"/>
                                  <a:gd name="connsiteX1" fmla="*/ 105025 w 1348747"/>
                                  <a:gd name="connsiteY1" fmla="*/ 0 h 1495238"/>
                                  <a:gd name="connsiteX2" fmla="*/ 1235646 w 1348747"/>
                                  <a:gd name="connsiteY2" fmla="*/ 1868 h 1495238"/>
                                  <a:gd name="connsiteX3" fmla="*/ 1348747 w 1348747"/>
                                  <a:gd name="connsiteY3" fmla="*/ 119665 h 1495238"/>
                                  <a:gd name="connsiteX4" fmla="*/ 1348747 w 1348747"/>
                                  <a:gd name="connsiteY4" fmla="*/ 1494540 h 1495238"/>
                                  <a:gd name="connsiteX5" fmla="*/ 1345765 w 1348747"/>
                                  <a:gd name="connsiteY5" fmla="*/ 1494540 h 1495238"/>
                                  <a:gd name="connsiteX6" fmla="*/ 200 w 1348747"/>
                                  <a:gd name="connsiteY6" fmla="*/ 1494540 h 1495238"/>
                                  <a:gd name="connsiteX7" fmla="*/ 200 w 1348747"/>
                                  <a:gd name="connsiteY7" fmla="*/ 1494118 h 1495238"/>
                                  <a:gd name="connsiteX8" fmla="*/ 0 w 1348747"/>
                                  <a:gd name="connsiteY8" fmla="*/ 117360 h 1495238"/>
                                  <a:gd name="connsiteX0" fmla="*/ 7538 w 1348747"/>
                                  <a:gd name="connsiteY0" fmla="*/ 111354 h 1495270"/>
                                  <a:gd name="connsiteX1" fmla="*/ 105025 w 1348747"/>
                                  <a:gd name="connsiteY1" fmla="*/ 32 h 1495270"/>
                                  <a:gd name="connsiteX2" fmla="*/ 1235646 w 1348747"/>
                                  <a:gd name="connsiteY2" fmla="*/ 1900 h 1495270"/>
                                  <a:gd name="connsiteX3" fmla="*/ 1348747 w 1348747"/>
                                  <a:gd name="connsiteY3" fmla="*/ 119697 h 1495270"/>
                                  <a:gd name="connsiteX4" fmla="*/ 1348747 w 1348747"/>
                                  <a:gd name="connsiteY4" fmla="*/ 1494572 h 1495270"/>
                                  <a:gd name="connsiteX5" fmla="*/ 1345765 w 1348747"/>
                                  <a:gd name="connsiteY5" fmla="*/ 1494572 h 1495270"/>
                                  <a:gd name="connsiteX6" fmla="*/ 200 w 1348747"/>
                                  <a:gd name="connsiteY6" fmla="*/ 1494572 h 1495270"/>
                                  <a:gd name="connsiteX7" fmla="*/ 200 w 1348747"/>
                                  <a:gd name="connsiteY7" fmla="*/ 1494150 h 1495270"/>
                                  <a:gd name="connsiteX8" fmla="*/ 7538 w 1348747"/>
                                  <a:gd name="connsiteY8" fmla="*/ 111354 h 1495270"/>
                                  <a:gd name="connsiteX0" fmla="*/ 0 w 1348747"/>
                                  <a:gd name="connsiteY0" fmla="*/ 114774 h 1495240"/>
                                  <a:gd name="connsiteX1" fmla="*/ 105025 w 1348747"/>
                                  <a:gd name="connsiteY1" fmla="*/ 2 h 1495240"/>
                                  <a:gd name="connsiteX2" fmla="*/ 1235646 w 1348747"/>
                                  <a:gd name="connsiteY2" fmla="*/ 1870 h 1495240"/>
                                  <a:gd name="connsiteX3" fmla="*/ 1348747 w 1348747"/>
                                  <a:gd name="connsiteY3" fmla="*/ 119667 h 1495240"/>
                                  <a:gd name="connsiteX4" fmla="*/ 1348747 w 1348747"/>
                                  <a:gd name="connsiteY4" fmla="*/ 1494542 h 1495240"/>
                                  <a:gd name="connsiteX5" fmla="*/ 1345765 w 1348747"/>
                                  <a:gd name="connsiteY5" fmla="*/ 1494542 h 1495240"/>
                                  <a:gd name="connsiteX6" fmla="*/ 200 w 1348747"/>
                                  <a:gd name="connsiteY6" fmla="*/ 1494542 h 1495240"/>
                                  <a:gd name="connsiteX7" fmla="*/ 200 w 1348747"/>
                                  <a:gd name="connsiteY7" fmla="*/ 1494120 h 1495240"/>
                                  <a:gd name="connsiteX8" fmla="*/ 0 w 1348747"/>
                                  <a:gd name="connsiteY8" fmla="*/ 114774 h 1495240"/>
                                  <a:gd name="connsiteX0" fmla="*/ 5146 w 1353893"/>
                                  <a:gd name="connsiteY0" fmla="*/ 114772 h 1495238"/>
                                  <a:gd name="connsiteX1" fmla="*/ 110171 w 1353893"/>
                                  <a:gd name="connsiteY1" fmla="*/ 0 h 1495238"/>
                                  <a:gd name="connsiteX2" fmla="*/ 1240792 w 1353893"/>
                                  <a:gd name="connsiteY2" fmla="*/ 1868 h 1495238"/>
                                  <a:gd name="connsiteX3" fmla="*/ 1353893 w 1353893"/>
                                  <a:gd name="connsiteY3" fmla="*/ 119665 h 1495238"/>
                                  <a:gd name="connsiteX4" fmla="*/ 1353893 w 1353893"/>
                                  <a:gd name="connsiteY4" fmla="*/ 1494540 h 1495238"/>
                                  <a:gd name="connsiteX5" fmla="*/ 1350911 w 1353893"/>
                                  <a:gd name="connsiteY5" fmla="*/ 1494540 h 1495238"/>
                                  <a:gd name="connsiteX6" fmla="*/ 5346 w 1353893"/>
                                  <a:gd name="connsiteY6" fmla="*/ 1494540 h 1495238"/>
                                  <a:gd name="connsiteX7" fmla="*/ 5346 w 1353893"/>
                                  <a:gd name="connsiteY7" fmla="*/ 1494118 h 1495238"/>
                                  <a:gd name="connsiteX8" fmla="*/ 5146 w 1353893"/>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184 w 1348931"/>
                                  <a:gd name="connsiteY0" fmla="*/ 114772 h 1495238"/>
                                  <a:gd name="connsiteX1" fmla="*/ 105209 w 1348931"/>
                                  <a:gd name="connsiteY1" fmla="*/ 0 h 1495238"/>
                                  <a:gd name="connsiteX2" fmla="*/ 1235830 w 1348931"/>
                                  <a:gd name="connsiteY2" fmla="*/ 1868 h 1495238"/>
                                  <a:gd name="connsiteX3" fmla="*/ 1348931 w 1348931"/>
                                  <a:gd name="connsiteY3" fmla="*/ 119665 h 1495238"/>
                                  <a:gd name="connsiteX4" fmla="*/ 1348931 w 1348931"/>
                                  <a:gd name="connsiteY4" fmla="*/ 1494540 h 1495238"/>
                                  <a:gd name="connsiteX5" fmla="*/ 1345949 w 1348931"/>
                                  <a:gd name="connsiteY5" fmla="*/ 1494540 h 1495238"/>
                                  <a:gd name="connsiteX6" fmla="*/ 384 w 1348931"/>
                                  <a:gd name="connsiteY6" fmla="*/ 1494540 h 1495238"/>
                                  <a:gd name="connsiteX7" fmla="*/ 384 w 1348931"/>
                                  <a:gd name="connsiteY7" fmla="*/ 1494118 h 1495238"/>
                                  <a:gd name="connsiteX8" fmla="*/ 184 w 1348931"/>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8756" h="1495238">
                                    <a:moveTo>
                                      <a:pt x="9" y="114772"/>
                                    </a:moveTo>
                                    <a:cubicBezTo>
                                      <a:pt x="-614" y="45795"/>
                                      <a:pt x="34518" y="1675"/>
                                      <a:pt x="105034" y="0"/>
                                    </a:cubicBezTo>
                                    <a:lnTo>
                                      <a:pt x="1235655" y="0"/>
                                    </a:lnTo>
                                    <a:cubicBezTo>
                                      <a:pt x="1348153" y="90810"/>
                                      <a:pt x="1235292" y="-1064"/>
                                      <a:pt x="1348756" y="91158"/>
                                    </a:cubicBezTo>
                                    <a:lnTo>
                                      <a:pt x="1348756" y="1494540"/>
                                    </a:lnTo>
                                    <a:cubicBezTo>
                                      <a:pt x="1342944" y="1495895"/>
                                      <a:pt x="1344051" y="1494929"/>
                                      <a:pt x="1345774" y="1494540"/>
                                    </a:cubicBezTo>
                                    <a:lnTo>
                                      <a:pt x="209" y="1494540"/>
                                    </a:lnTo>
                                    <a:cubicBezTo>
                                      <a:pt x="-910" y="1492088"/>
                                      <a:pt x="3188" y="1495262"/>
                                      <a:pt x="209" y="1494118"/>
                                    </a:cubicBezTo>
                                    <a:cubicBezTo>
                                      <a:pt x="142" y="1051853"/>
                                      <a:pt x="76" y="557037"/>
                                      <a:pt x="9" y="114772"/>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le 292" o:spid="_x0000_s1026" style="position:absolute;margin-left:-4.1pt;margin-top:.15pt;width:395.15pt;height:595.2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56,14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" path="m9,114772c-614,45795,34518,1675,105034,l1235655,v112498,90810,-363,-1064,113101,91158l1348756,1494540v-5812,1355,-4705,389,-2982,l209,1494540v-1119,-2452,2979,722,,-422c142,1051853,76,557037,9,114772xe" fillcolor="#a32035 [3204]" stroked="f" strokeweight="2pt">
                      <v:path arrowok="t" o:connecttype="custom" o:connectlocs="33,580219;390807,0;4597583,0;5018405,460841;5018405,7555511;5007310,7555511;778,7555511;778,7553378;33,580219" o:connectangles="0,0,0,0,0,0,0,0,0"/>
                    </v:shape>
                  </w:pict>
                </mc:Fallback>
              </mc:AlternateContent>
            </w:r>
            <w:proofErr w:type="spellStart"/>
            <w:r w:rsidRPr="007E20B8">
              <w:t>Alinta</w:t>
            </w:r>
            <w:proofErr w:type="spellEnd"/>
            <w:r w:rsidRPr="007E20B8">
              <w:t xml:space="preserve"> Energy </w:t>
            </w:r>
            <w:r w:rsidR="00C368FE">
              <w:t>c</w:t>
            </w:r>
            <w:r w:rsidR="00C368FE" w:rsidRPr="007E20B8">
              <w:t xml:space="preserve">ase </w:t>
            </w:r>
            <w:r w:rsidR="00C368FE">
              <w:t>s</w:t>
            </w:r>
            <w:r w:rsidR="00C368FE" w:rsidRPr="007E20B8">
              <w:t>tudy</w:t>
            </w:r>
            <w:bookmarkEnd w:id="684"/>
          </w:p>
          <w:p w14:paraId="59D8CF5D" w14:textId="6B085A93" w:rsidR="007E20B8" w:rsidRPr="005A174F" w:rsidRDefault="007E20B8" w:rsidP="007E20B8">
            <w:pPr>
              <w:pStyle w:val="CaseStudyText"/>
            </w:pPr>
            <w:r w:rsidRPr="005A174F">
              <w:t>Foreign investment in renewable energy projects brings many benefits to rural communities and their economies, including employment, cheaper energy sources and increased capital to local retail and service industries.</w:t>
            </w:r>
          </w:p>
          <w:p w14:paraId="6D9806E3" w14:textId="7EDFB735" w:rsidR="007E20B8" w:rsidRPr="005A174F" w:rsidRDefault="007E20B8" w:rsidP="007E20B8">
            <w:pPr>
              <w:pStyle w:val="CaseStudyText"/>
            </w:pPr>
            <w:r w:rsidRPr="005A174F">
              <w:t xml:space="preserve">In 2018, </w:t>
            </w:r>
            <w:r>
              <w:t xml:space="preserve">the </w:t>
            </w:r>
            <w:r w:rsidR="00520E3F">
              <w:t>Board</w:t>
            </w:r>
            <w:r w:rsidRPr="005A174F">
              <w:t xml:space="preserve"> reviewed the </w:t>
            </w:r>
            <w:r>
              <w:t xml:space="preserve">proposed </w:t>
            </w:r>
            <w:r w:rsidRPr="005A174F">
              <w:t xml:space="preserve">acquisition </w:t>
            </w:r>
            <w:r>
              <w:t xml:space="preserve">of </w:t>
            </w:r>
            <w:r w:rsidRPr="005A174F">
              <w:t xml:space="preserve">leasehold interests in agricultural land to develop the </w:t>
            </w:r>
            <w:proofErr w:type="spellStart"/>
            <w:r w:rsidRPr="005A174F">
              <w:t>Yandin</w:t>
            </w:r>
            <w:proofErr w:type="spellEnd"/>
            <w:r w:rsidRPr="005A174F">
              <w:t xml:space="preserve"> Wind Farm in Western Australia by</w:t>
            </w:r>
            <w:r w:rsidR="00895613" w:rsidRPr="00895613">
              <w:t xml:space="preserve"> a subsidiary of the Hong Kong privately-owned energy generator and retailer </w:t>
            </w:r>
            <w:proofErr w:type="spellStart"/>
            <w:r w:rsidR="00895613" w:rsidRPr="00895613">
              <w:t>Alinta</w:t>
            </w:r>
            <w:proofErr w:type="spellEnd"/>
            <w:r w:rsidR="00895613" w:rsidRPr="00895613">
              <w:t xml:space="preserve"> Energy Pty Ltd</w:t>
            </w:r>
            <w:r w:rsidRPr="005A174F">
              <w:t>.</w:t>
            </w:r>
          </w:p>
          <w:p w14:paraId="7C4D2613" w14:textId="027292CF" w:rsidR="007E20B8" w:rsidRPr="005A174F" w:rsidRDefault="007E20B8" w:rsidP="007E20B8">
            <w:pPr>
              <w:pStyle w:val="CaseStudyText"/>
            </w:pPr>
            <w:r w:rsidRPr="005A174F">
              <w:t xml:space="preserve">Once built, the </w:t>
            </w:r>
            <w:proofErr w:type="spellStart"/>
            <w:r w:rsidRPr="005A174F">
              <w:t>Yandin</w:t>
            </w:r>
            <w:proofErr w:type="spellEnd"/>
            <w:r w:rsidRPr="005A174F">
              <w:t xml:space="preserve"> Wind Farm is expected to be </w:t>
            </w:r>
            <w:r w:rsidR="00686182">
              <w:t xml:space="preserve">one of </w:t>
            </w:r>
            <w:r w:rsidRPr="005A174F">
              <w:t>the largest wi</w:t>
            </w:r>
            <w:r>
              <w:t>nd farm</w:t>
            </w:r>
            <w:r w:rsidR="00686182">
              <w:t>s</w:t>
            </w:r>
            <w:r>
              <w:t xml:space="preserve"> in </w:t>
            </w:r>
            <w:r w:rsidRPr="003239A8">
              <w:t>Western</w:t>
            </w:r>
            <w:r>
              <w:t> </w:t>
            </w:r>
            <w:r w:rsidRPr="003239A8">
              <w:t>Australia</w:t>
            </w:r>
            <w:r w:rsidRPr="005A174F">
              <w:t>, producing enough electricity to supply the equivalent of up to</w:t>
            </w:r>
            <w:r>
              <w:t xml:space="preserve"> </w:t>
            </w:r>
            <w:r w:rsidRPr="005A174F">
              <w:t>225,000 homes.</w:t>
            </w:r>
            <w:r w:rsidR="00FB2263" w:rsidRPr="00A276C5">
              <w:rPr>
                <w:vertAlign w:val="superscript"/>
              </w:rPr>
              <w:t>1</w:t>
            </w:r>
          </w:p>
          <w:p w14:paraId="36BAB198" w14:textId="6416AD1A" w:rsidR="007E20B8" w:rsidRPr="005A174F" w:rsidRDefault="007E20B8" w:rsidP="007E20B8">
            <w:pPr>
              <w:pStyle w:val="CaseStudyText"/>
            </w:pPr>
            <w:r w:rsidRPr="005A174F">
              <w:t>The project is located approximately 170 k</w:t>
            </w:r>
            <w:r>
              <w:t xml:space="preserve">ilometres </w:t>
            </w:r>
            <w:r w:rsidRPr="005A174F">
              <w:t>north of Perth</w:t>
            </w:r>
            <w:r>
              <w:t>. It is ex</w:t>
            </w:r>
            <w:r w:rsidRPr="005A174F">
              <w:t>pected to take up to 18 months to complete</w:t>
            </w:r>
            <w:r w:rsidR="00FB77C6">
              <w:t xml:space="preserve"> construction</w:t>
            </w:r>
            <w:r w:rsidRPr="005A174F">
              <w:t>.</w:t>
            </w:r>
          </w:p>
          <w:p w14:paraId="333BF673" w14:textId="1A5FF4FD" w:rsidR="007E20B8" w:rsidRPr="005A174F" w:rsidRDefault="007E20B8" w:rsidP="007E20B8">
            <w:pPr>
              <w:pStyle w:val="CaseStudyText"/>
            </w:pPr>
            <w:r w:rsidRPr="005A174F">
              <w:t xml:space="preserve">One of </w:t>
            </w:r>
            <w:r>
              <w:t xml:space="preserve">the </w:t>
            </w:r>
            <w:r w:rsidR="00520E3F">
              <w:t>Board</w:t>
            </w:r>
            <w:r w:rsidRPr="005A174F">
              <w:t xml:space="preserve">’s key considerations is the economic impact of proposals. </w:t>
            </w:r>
            <w:proofErr w:type="spellStart"/>
            <w:r w:rsidR="00895613" w:rsidRPr="00895613">
              <w:t>Alinta</w:t>
            </w:r>
            <w:proofErr w:type="spellEnd"/>
            <w:r w:rsidR="00895613" w:rsidRPr="00895613">
              <w:t xml:space="preserve"> Energy advised that in excess of 100 people will likely be employed during the construction phase and there would be further permanent positions for operation and maintenance. Landowners will also benefit from the leasehold rentals from their land.</w:t>
            </w:r>
          </w:p>
          <w:p w14:paraId="1E6A78A4" w14:textId="0076B86A" w:rsidR="007E20B8" w:rsidRDefault="007E20B8" w:rsidP="007E20B8">
            <w:pPr>
              <w:pStyle w:val="CaseStudyText"/>
            </w:pPr>
            <w:proofErr w:type="spellStart"/>
            <w:r w:rsidRPr="005A174F">
              <w:t>Yandin</w:t>
            </w:r>
            <w:proofErr w:type="spellEnd"/>
            <w:r w:rsidRPr="005A174F">
              <w:t xml:space="preserve"> Wind Farm is expected to operate for at least 25 years </w:t>
            </w:r>
            <w:r w:rsidR="00895613" w:rsidRPr="00895613">
              <w:t>and is estimated to save more than 700,000 tonnes of greenhouse gas emissions each year.</w:t>
            </w:r>
            <w:r w:rsidR="00FB2263" w:rsidRPr="00FB2263">
              <w:rPr>
                <w:vertAlign w:val="superscript"/>
              </w:rPr>
              <w:t>2</w:t>
            </w:r>
          </w:p>
          <w:p w14:paraId="68410BBF" w14:textId="5062D1ED" w:rsidR="007E20B8" w:rsidRDefault="007E20B8" w:rsidP="007E20B8">
            <w:pPr>
              <w:pStyle w:val="ChartGraphic"/>
            </w:pPr>
            <w:r>
              <w:rPr>
                <w:noProof/>
              </w:rPr>
              <w:drawing>
                <wp:inline distT="0" distB="0" distL="0" distR="0" wp14:anchorId="7A1C57D2" wp14:editId="44F0B171">
                  <wp:extent cx="4536000" cy="3260526"/>
                  <wp:effectExtent l="19050" t="19050" r="17145"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925988662.jpg"/>
                          <pic:cNvPicPr/>
                        </pic:nvPicPr>
                        <pic:blipFill rotWithShape="1">
                          <a:blip r:embed="rId70" cstate="print">
                            <a:extLst>
                              <a:ext uri="{28A0092B-C50C-407E-A947-70E740481C1C}">
                                <a14:useLocalDpi xmlns:a14="http://schemas.microsoft.com/office/drawing/2010/main" val="0"/>
                              </a:ext>
                            </a:extLst>
                          </a:blip>
                          <a:srcRect l="40769" t="32809" b="2908"/>
                          <a:stretch/>
                        </pic:blipFill>
                        <pic:spPr bwMode="auto">
                          <a:xfrm>
                            <a:off x="0" y="0"/>
                            <a:ext cx="4536000" cy="3260526"/>
                          </a:xfrm>
                          <a:prstGeom prst="rect">
                            <a:avLst/>
                          </a:prstGeom>
                          <a:ln w="6350">
                            <a:solidFill>
                              <a:schemeClr val="bg1"/>
                            </a:solidFill>
                          </a:ln>
                          <a:extLst>
                            <a:ext uri="{53640926-AAD7-44D8-BBD7-CCE9431645EC}">
                              <a14:shadowObscured xmlns:a14="http://schemas.microsoft.com/office/drawing/2010/main"/>
                            </a:ext>
                          </a:extLst>
                        </pic:spPr>
                      </pic:pic>
                    </a:graphicData>
                  </a:graphic>
                </wp:inline>
              </w:drawing>
            </w:r>
          </w:p>
        </w:tc>
      </w:tr>
    </w:tbl>
    <w:p w14:paraId="428C30DE" w14:textId="77777777" w:rsidR="00FB2263" w:rsidRDefault="00FB2263" w:rsidP="00A276C5">
      <w:pPr>
        <w:spacing w:after="0"/>
        <w:ind w:left="284" w:right="340"/>
        <w:rPr>
          <w:color w:val="FFFFFF" w:themeColor="background1"/>
          <w:sz w:val="16"/>
          <w:szCs w:val="16"/>
        </w:rPr>
      </w:pPr>
      <w:r>
        <w:rPr>
          <w:color w:val="FFFFFF" w:themeColor="background1"/>
          <w:sz w:val="16"/>
          <w:szCs w:val="16"/>
        </w:rPr>
        <w:t xml:space="preserve">1. </w:t>
      </w:r>
      <w:r w:rsidRPr="00FB2263">
        <w:rPr>
          <w:color w:val="FFFFFF" w:themeColor="background1"/>
          <w:sz w:val="16"/>
          <w:szCs w:val="16"/>
        </w:rPr>
        <w:t>Based on average electricity consumption for a Western Australian home of 5,000kWh per annum.</w:t>
      </w:r>
    </w:p>
    <w:p w14:paraId="7D318BAE" w14:textId="25A19664" w:rsidR="00FB2263" w:rsidRPr="00FB2263" w:rsidRDefault="00FB2263" w:rsidP="00A276C5">
      <w:pPr>
        <w:spacing w:after="0"/>
        <w:ind w:left="284" w:right="340"/>
        <w:rPr>
          <w:color w:val="auto"/>
          <w:sz w:val="16"/>
          <w:szCs w:val="16"/>
        </w:rPr>
      </w:pPr>
      <w:r w:rsidRPr="00FB2263">
        <w:rPr>
          <w:color w:val="FFFFFF" w:themeColor="background1"/>
          <w:sz w:val="16"/>
          <w:szCs w:val="16"/>
        </w:rPr>
        <w:t xml:space="preserve">2. </w:t>
      </w:r>
      <w:r>
        <w:rPr>
          <w:color w:val="FFFFFF" w:themeColor="background1"/>
          <w:sz w:val="16"/>
          <w:szCs w:val="16"/>
        </w:rPr>
        <w:t>I</w:t>
      </w:r>
      <w:r w:rsidRPr="00FB2263">
        <w:rPr>
          <w:color w:val="FFFFFF" w:themeColor="background1"/>
          <w:sz w:val="16"/>
          <w:szCs w:val="16"/>
        </w:rPr>
        <w:t>nformation in this case study is reflective of the expectations of the project at the time</w:t>
      </w:r>
      <w:r w:rsidR="00D848C1">
        <w:rPr>
          <w:color w:val="FFFFFF" w:themeColor="background1"/>
          <w:sz w:val="16"/>
          <w:szCs w:val="16"/>
        </w:rPr>
        <w:t xml:space="preserve"> of</w:t>
      </w:r>
      <w:r w:rsidRPr="00FB2263">
        <w:rPr>
          <w:color w:val="FFFFFF" w:themeColor="background1"/>
          <w:sz w:val="16"/>
          <w:szCs w:val="16"/>
        </w:rPr>
        <w:t xml:space="preserve"> </w:t>
      </w:r>
      <w:r w:rsidR="00A276C5">
        <w:rPr>
          <w:color w:val="FFFFFF" w:themeColor="background1"/>
          <w:sz w:val="16"/>
          <w:szCs w:val="16"/>
        </w:rPr>
        <w:t>report publication</w:t>
      </w:r>
      <w:r w:rsidRPr="00FB2263">
        <w:rPr>
          <w:color w:val="FFFFFF" w:themeColor="background1"/>
          <w:sz w:val="16"/>
          <w:szCs w:val="16"/>
        </w:rPr>
        <w:t>. The actual figures may be subject to change through the construction and operation</w:t>
      </w:r>
      <w:r>
        <w:rPr>
          <w:color w:val="FFFFFF" w:themeColor="background1"/>
          <w:sz w:val="16"/>
          <w:szCs w:val="16"/>
        </w:rPr>
        <w:t xml:space="preserve"> of the project.</w:t>
      </w:r>
    </w:p>
    <w:p w14:paraId="072D214A" w14:textId="6C457190" w:rsidR="00AD746E" w:rsidRPr="00FB2263" w:rsidRDefault="00AD746E">
      <w:pPr>
        <w:rPr>
          <w:color w:val="auto"/>
        </w:rPr>
      </w:pPr>
    </w:p>
    <w:p w14:paraId="05E0BA78" w14:textId="397275FB" w:rsidR="00E83190" w:rsidRPr="004F599C" w:rsidRDefault="00E83190" w:rsidP="00115641">
      <w:pPr>
        <w:pStyle w:val="Heading3"/>
        <w:spacing w:before="120" w:after="120"/>
      </w:pPr>
      <w:r w:rsidRPr="004F599C">
        <w:t>Mineral exploration and development</w:t>
      </w:r>
    </w:p>
    <w:p w14:paraId="0FE883BD" w14:textId="1B84DE25" w:rsidR="0059112E" w:rsidRDefault="00E83190" w:rsidP="00115641">
      <w:pPr>
        <w:spacing w:after="200"/>
        <w:rPr>
          <w:color w:val="auto"/>
          <w:szCs w:val="24"/>
        </w:rPr>
      </w:pPr>
      <w:r w:rsidRPr="002A7978">
        <w:rPr>
          <w:noProof/>
          <w:color w:val="auto"/>
          <w:szCs w:val="24"/>
        </w:rPr>
        <mc:AlternateContent>
          <mc:Choice Requires="wpc">
            <w:drawing>
              <wp:anchor distT="0" distB="0" distL="114300" distR="114300" simplePos="0" relativeHeight="251658244" behindDoc="1" locked="0" layoutInCell="1" allowOverlap="1" wp14:anchorId="05E0BAF1" wp14:editId="18C31336">
                <wp:simplePos x="0" y="0"/>
                <wp:positionH relativeFrom="margin">
                  <wp:align>left</wp:align>
                </wp:positionH>
                <wp:positionV relativeFrom="paragraph">
                  <wp:posOffset>51435</wp:posOffset>
                </wp:positionV>
                <wp:extent cx="969645" cy="935355"/>
                <wp:effectExtent l="0" t="0" r="1905" b="0"/>
                <wp:wrapSquare wrapText="bothSides"/>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 name="Oval 47"/>
                        <wps:cNvSpPr>
                          <a:spLocks noChangeAspect="1"/>
                        </wps:cNvSpPr>
                        <wps:spPr>
                          <a:xfrm>
                            <a:off x="31246" y="0"/>
                            <a:ext cx="900000" cy="900000"/>
                          </a:xfrm>
                          <a:prstGeom prst="ellipse">
                            <a:avLst/>
                          </a:prstGeom>
                          <a:solidFill>
                            <a:srgbClr val="A32035"/>
                          </a:solidFill>
                          <a:ln w="25400" cap="flat" cmpd="sng" algn="ctr">
                            <a:solidFill>
                              <a:srgbClr val="E0627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15902" y="136622"/>
                            <a:ext cx="936000" cy="634656"/>
                          </a:xfrm>
                          <a:prstGeom prst="rect">
                            <a:avLst/>
                          </a:prstGeom>
                          <a:noFill/>
                          <a:ln w="6350">
                            <a:noFill/>
                          </a:ln>
                          <a:effectLst/>
                        </wps:spPr>
                        <wps:txbx>
                          <w:txbxContent>
                            <w:p w14:paraId="05E0BB20" w14:textId="1E86C713" w:rsidR="00E56859" w:rsidRPr="002C2D66" w:rsidRDefault="00E56859" w:rsidP="00E83190">
                              <w:pPr>
                                <w:spacing w:after="0"/>
                                <w:jc w:val="center"/>
                                <w:rPr>
                                  <w:b/>
                                  <w:color w:val="FFFFFF" w:themeColor="background1"/>
                                  <w:sz w:val="23"/>
                                </w:rPr>
                              </w:pPr>
                              <w:r w:rsidRPr="002C2D66">
                                <w:rPr>
                                  <w:b/>
                                  <w:color w:val="FFFFFF" w:themeColor="background1"/>
                                  <w:sz w:val="23"/>
                                </w:rPr>
                                <w:t>$17.4b</w:t>
                              </w:r>
                            </w:p>
                            <w:p w14:paraId="05E0BB21" w14:textId="77777777" w:rsidR="00E56859" w:rsidRPr="002C2D66" w:rsidRDefault="00E56859" w:rsidP="00E83190">
                              <w:pPr>
                                <w:spacing w:after="0"/>
                                <w:jc w:val="center"/>
                                <w:rPr>
                                  <w:b/>
                                  <w:color w:val="FFFFFF" w:themeColor="background1"/>
                                  <w:sz w:val="23"/>
                                </w:rPr>
                              </w:pPr>
                              <w:r w:rsidRPr="002C2D66">
                                <w:rPr>
                                  <w:b/>
                                  <w:color w:val="FFFFFF" w:themeColor="background1"/>
                                  <w:sz w:val="23"/>
                                </w:rPr>
                                <w:t>approved</w:t>
                              </w:r>
                            </w:p>
                            <w:p w14:paraId="05E0BB22" w14:textId="77777777" w:rsidR="00E56859" w:rsidRPr="002C2D66" w:rsidRDefault="00E56859" w:rsidP="00E83190">
                              <w:pPr>
                                <w:jc w:val="center"/>
                                <w:rPr>
                                  <w:sz w:val="23"/>
                                </w:rPr>
                              </w:pPr>
                              <w:r w:rsidRPr="002C2D66">
                                <w:rPr>
                                  <w:b/>
                                  <w:color w:val="FFFFFF" w:themeColor="background1"/>
                                  <w:sz w:val="23"/>
                                </w:rPr>
                                <w:t>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50" o:spid="_x0000_s1039" editas="canvas" style="position:absolute;left:0;text-align:left;margin-left:0;margin-top:4.05pt;width:76.35pt;height:73.65pt;z-index:-251658236;mso-position-horizontal:left;mso-position-horizontal-relative:margin" coordsize="9696,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">
                <v:shape id="_x0000_s1040" type="#_x0000_t75" style="position:absolute;width:9696;height:9353;visibility:visible;mso-wrap-style:square">
                  <v:fill o:detectmouseclick="t"/>
                  <v:path o:connecttype="none"/>
                </v:shape>
                <v:oval id="Oval 47" o:spid="_x0000_s1041" style="position:absolute;left:312;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ccMA&#10;AADbAAAADwAAAGRycy9kb3ducmV2LnhtbESPT2vCQBTE70K/w/IK3nRjtX9IXaUKivXWKLTHR/Y1&#10;G8y+Ddk1Jt/eFQSPw8z8hpkvO1uJlhpfOlYwGScgiHOnSy4UHA+b0QcIH5A1Vo5JQU8elounwRxT&#10;7S78Q20WChEh7FNUYEKoUyl9bsiiH7uaOHr/rrEYomwKqRu8RLit5EuSvEmLJccFgzWtDeWn7GwV&#10;tGZqfnUfVtlxT/Lw/Wr/+s1WqeFz9/UJIlAXHuF7e6cVzN7h9iX+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occMAAADbAAAADwAAAAAAAAAAAAAAAACYAgAAZHJzL2Rv&#10;d25yZXYueG1sUEsFBgAAAAAEAAQA9QAAAIgDAAAAAA==&#10;" fillcolor="#a32035" strokecolor="#e06277" strokeweight="2pt">
                  <v:path arrowok="t"/>
                  <o:lock v:ext="edit" aspectratio="t"/>
                </v:oval>
                <v:shape id="Text Box 48" o:spid="_x0000_s1042" type="#_x0000_t202" style="position:absolute;left:159;top:1366;width:9360;height:6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05E0BB20" w14:textId="1E86C713" w:rsidR="00E56859" w:rsidRPr="002C2D66" w:rsidRDefault="00E56859" w:rsidP="00E83190">
                        <w:pPr>
                          <w:spacing w:after="0"/>
                          <w:jc w:val="center"/>
                          <w:rPr>
                            <w:b/>
                            <w:color w:val="FFFFFF" w:themeColor="background1"/>
                            <w:sz w:val="23"/>
                          </w:rPr>
                        </w:pPr>
                        <w:r w:rsidRPr="002C2D66">
                          <w:rPr>
                            <w:b/>
                            <w:color w:val="FFFFFF" w:themeColor="background1"/>
                            <w:sz w:val="23"/>
                          </w:rPr>
                          <w:t>$17.4b</w:t>
                        </w:r>
                      </w:p>
                      <w:p w14:paraId="05E0BB21" w14:textId="77777777" w:rsidR="00E56859" w:rsidRPr="002C2D66" w:rsidRDefault="00E56859" w:rsidP="00E83190">
                        <w:pPr>
                          <w:spacing w:after="0"/>
                          <w:jc w:val="center"/>
                          <w:rPr>
                            <w:b/>
                            <w:color w:val="FFFFFF" w:themeColor="background1"/>
                            <w:sz w:val="23"/>
                          </w:rPr>
                        </w:pPr>
                        <w:r w:rsidRPr="002C2D66">
                          <w:rPr>
                            <w:b/>
                            <w:color w:val="FFFFFF" w:themeColor="background1"/>
                            <w:sz w:val="23"/>
                          </w:rPr>
                          <w:t>approved</w:t>
                        </w:r>
                      </w:p>
                      <w:p w14:paraId="05E0BB22" w14:textId="77777777" w:rsidR="00E56859" w:rsidRPr="002C2D66" w:rsidRDefault="00E56859" w:rsidP="00E83190">
                        <w:pPr>
                          <w:jc w:val="center"/>
                          <w:rPr>
                            <w:sz w:val="23"/>
                          </w:rPr>
                        </w:pPr>
                        <w:r w:rsidRPr="002C2D66">
                          <w:rPr>
                            <w:b/>
                            <w:color w:val="FFFFFF" w:themeColor="background1"/>
                            <w:sz w:val="23"/>
                          </w:rPr>
                          <w:t>investment</w:t>
                        </w:r>
                      </w:p>
                    </w:txbxContent>
                  </v:textbox>
                </v:shape>
                <w10:wrap type="square" anchorx="margin"/>
              </v:group>
            </w:pict>
          </mc:Fallback>
        </mc:AlternateContent>
      </w:r>
      <w:r w:rsidR="00D12C65">
        <w:rPr>
          <w:color w:val="auto"/>
          <w:szCs w:val="24"/>
        </w:rPr>
        <w:t>In 2017–18, t</w:t>
      </w:r>
      <w:r w:rsidRPr="002A7978">
        <w:rPr>
          <w:color w:val="auto"/>
          <w:szCs w:val="24"/>
        </w:rPr>
        <w:t xml:space="preserve">here were </w:t>
      </w:r>
      <w:r w:rsidR="001E6131">
        <w:rPr>
          <w:color w:val="auto"/>
          <w:szCs w:val="24"/>
        </w:rPr>
        <w:t>11</w:t>
      </w:r>
      <w:r w:rsidR="007C1E7F">
        <w:rPr>
          <w:color w:val="auto"/>
          <w:szCs w:val="24"/>
        </w:rPr>
        <w:t>5</w:t>
      </w:r>
      <w:r w:rsidR="00B77897">
        <w:rPr>
          <w:color w:val="auto"/>
          <w:szCs w:val="24"/>
        </w:rPr>
        <w:t xml:space="preserve"> </w:t>
      </w:r>
      <w:r w:rsidR="002D52D5" w:rsidRPr="002A7978">
        <w:rPr>
          <w:color w:val="auto"/>
          <w:szCs w:val="24"/>
        </w:rPr>
        <w:t>approvals</w:t>
      </w:r>
      <w:r w:rsidR="00B77897">
        <w:rPr>
          <w:color w:val="auto"/>
          <w:szCs w:val="24"/>
        </w:rPr>
        <w:t xml:space="preserve"> in the </w:t>
      </w:r>
      <w:r w:rsidRPr="002A7978">
        <w:rPr>
          <w:color w:val="auto"/>
          <w:szCs w:val="24"/>
        </w:rPr>
        <w:t>mineral exploration and development sector</w:t>
      </w:r>
      <w:r w:rsidR="00B77897">
        <w:rPr>
          <w:color w:val="auto"/>
          <w:szCs w:val="24"/>
        </w:rPr>
        <w:t>, with a proposed investment value of $17.4 billion</w:t>
      </w:r>
      <w:r w:rsidRPr="002A7978">
        <w:rPr>
          <w:color w:val="auto"/>
          <w:szCs w:val="24"/>
        </w:rPr>
        <w:t xml:space="preserve">. </w:t>
      </w:r>
      <w:r w:rsidR="00DC113B">
        <w:rPr>
          <w:color w:val="auto"/>
          <w:szCs w:val="24"/>
        </w:rPr>
        <w:t>This was an increase on the value of proposed investment of $</w:t>
      </w:r>
      <w:r w:rsidR="0059112E">
        <w:rPr>
          <w:color w:val="auto"/>
          <w:szCs w:val="24"/>
        </w:rPr>
        <w:t>1</w:t>
      </w:r>
      <w:r w:rsidR="00DC113B">
        <w:rPr>
          <w:color w:val="auto"/>
          <w:szCs w:val="24"/>
        </w:rPr>
        <w:t>.5 billion on 2016–17.</w:t>
      </w:r>
      <w:r w:rsidR="0059112E" w:rsidRPr="0059112E">
        <w:rPr>
          <w:color w:val="auto"/>
          <w:szCs w:val="24"/>
        </w:rPr>
        <w:t xml:space="preserve"> </w:t>
      </w:r>
      <w:r w:rsidR="0059112E">
        <w:rPr>
          <w:color w:val="auto"/>
          <w:szCs w:val="24"/>
        </w:rPr>
        <w:t>T</w:t>
      </w:r>
      <w:r w:rsidR="0059112E" w:rsidRPr="00797680">
        <w:rPr>
          <w:color w:val="auto"/>
          <w:szCs w:val="24"/>
        </w:rPr>
        <w:t xml:space="preserve">he decline in </w:t>
      </w:r>
      <w:r w:rsidR="00D848C1">
        <w:rPr>
          <w:color w:val="auto"/>
          <w:szCs w:val="24"/>
        </w:rPr>
        <w:t xml:space="preserve">the number of </w:t>
      </w:r>
      <w:r w:rsidR="0059112E" w:rsidRPr="00797680">
        <w:rPr>
          <w:color w:val="auto"/>
          <w:szCs w:val="24"/>
        </w:rPr>
        <w:t>applications submitted in the sector</w:t>
      </w:r>
      <w:r w:rsidR="0059112E">
        <w:rPr>
          <w:color w:val="auto"/>
          <w:szCs w:val="24"/>
        </w:rPr>
        <w:t xml:space="preserve"> in recent years</w:t>
      </w:r>
      <w:r w:rsidR="0059112E" w:rsidRPr="00797680">
        <w:rPr>
          <w:color w:val="auto"/>
          <w:szCs w:val="24"/>
        </w:rPr>
        <w:t xml:space="preserve"> is consistent with the broader decline in mining investment in the Australian economy</w:t>
      </w:r>
      <w:r w:rsidR="0059112E">
        <w:rPr>
          <w:color w:val="auto"/>
          <w:szCs w:val="24"/>
        </w:rPr>
        <w:t>.</w:t>
      </w:r>
    </w:p>
    <w:p w14:paraId="7A491552" w14:textId="661294D1" w:rsidR="001E6131" w:rsidRDefault="00B77897" w:rsidP="00115641">
      <w:pPr>
        <w:spacing w:after="200"/>
        <w:rPr>
          <w:color w:val="auto"/>
          <w:szCs w:val="24"/>
        </w:rPr>
      </w:pPr>
      <w:r>
        <w:rPr>
          <w:color w:val="auto"/>
          <w:szCs w:val="24"/>
        </w:rPr>
        <w:t>The United S</w:t>
      </w:r>
      <w:r>
        <w:rPr>
          <w:color w:val="auto"/>
        </w:rPr>
        <w:t xml:space="preserve">tates </w:t>
      </w:r>
      <w:r w:rsidR="00670558">
        <w:rPr>
          <w:color w:val="auto"/>
        </w:rPr>
        <w:t>($4.8 billion)</w:t>
      </w:r>
      <w:r w:rsidR="00A30E6E">
        <w:rPr>
          <w:color w:val="auto"/>
        </w:rPr>
        <w:t xml:space="preserve">, </w:t>
      </w:r>
      <w:r>
        <w:rPr>
          <w:color w:val="auto"/>
        </w:rPr>
        <w:t xml:space="preserve">China </w:t>
      </w:r>
      <w:r w:rsidR="00670558">
        <w:rPr>
          <w:color w:val="auto"/>
        </w:rPr>
        <w:t xml:space="preserve">($3.8 billion) </w:t>
      </w:r>
      <w:r w:rsidR="00A30E6E">
        <w:rPr>
          <w:color w:val="auto"/>
        </w:rPr>
        <w:t xml:space="preserve">and Indonesia ($1.8 billion) </w:t>
      </w:r>
      <w:r>
        <w:rPr>
          <w:color w:val="auto"/>
        </w:rPr>
        <w:t>were the largest source countries of investment by value in the sector.</w:t>
      </w:r>
    </w:p>
    <w:p w14:paraId="445DD413" w14:textId="6B09B04F" w:rsidR="0074148D" w:rsidRDefault="00FF689A" w:rsidP="00D73517">
      <w:pPr>
        <w:pStyle w:val="TableHeading"/>
      </w:pPr>
      <w:bookmarkStart w:id="685" w:name="_1548074927"/>
      <w:bookmarkStart w:id="686" w:name="_Toc529545212"/>
      <w:bookmarkStart w:id="687" w:name="_Toc529802466"/>
      <w:bookmarkStart w:id="688" w:name="_Toc529878039"/>
      <w:bookmarkStart w:id="689" w:name="_Toc529879263"/>
      <w:bookmarkStart w:id="690" w:name="_Toc529882528"/>
      <w:bookmarkStart w:id="691" w:name="_Toc529885199"/>
      <w:bookmarkStart w:id="692" w:name="_Toc529890671"/>
      <w:bookmarkStart w:id="693" w:name="_Toc529970042"/>
      <w:bookmarkStart w:id="694" w:name="_Toc529979397"/>
      <w:bookmarkStart w:id="695" w:name="_Toc530050442"/>
      <w:bookmarkStart w:id="696" w:name="_Toc530065521"/>
      <w:bookmarkStart w:id="697" w:name="_Toc530066349"/>
      <w:bookmarkStart w:id="698" w:name="_Toc530145068"/>
      <w:bookmarkStart w:id="699" w:name="_Toc530146038"/>
      <w:bookmarkStart w:id="700" w:name="_Toc530146959"/>
      <w:bookmarkStart w:id="701" w:name="_Toc530148317"/>
      <w:bookmarkStart w:id="702" w:name="_Toc530148518"/>
      <w:bookmarkStart w:id="703" w:name="_Toc530149190"/>
      <w:bookmarkStart w:id="704" w:name="_Toc530149814"/>
      <w:bookmarkStart w:id="705" w:name="_Toc530401666"/>
      <w:bookmarkStart w:id="706" w:name="_Toc530491419"/>
      <w:bookmarkStart w:id="707" w:name="_Toc530495837"/>
      <w:bookmarkStart w:id="708" w:name="_Toc530497740"/>
      <w:bookmarkStart w:id="709" w:name="_Toc530663560"/>
      <w:bookmarkStart w:id="710" w:name="_Toc530753853"/>
      <w:bookmarkStart w:id="711" w:name="_Toc530756422"/>
      <w:bookmarkStart w:id="712" w:name="_Toc530759859"/>
      <w:bookmarkStart w:id="713" w:name="_Toc532223705"/>
      <w:bookmarkStart w:id="714" w:name="_Toc532224164"/>
      <w:bookmarkStart w:id="715" w:name="_Toc532226643"/>
      <w:bookmarkStart w:id="716" w:name="_Toc536029345"/>
      <w:bookmarkStart w:id="717" w:name="_Toc1054885"/>
      <w:bookmarkEnd w:id="685"/>
      <w:r w:rsidRPr="00980705">
        <w:t>Table</w:t>
      </w:r>
      <w:r w:rsidR="00FE0B08">
        <w:t xml:space="preserve"> </w:t>
      </w:r>
      <w:r w:rsidR="00E10BA2">
        <w:t>3</w:t>
      </w:r>
      <w:r w:rsidR="00E83190" w:rsidRPr="00980705">
        <w:t>.6:</w:t>
      </w:r>
      <w:r w:rsidR="00665F25">
        <w:t xml:space="preserve"> </w:t>
      </w:r>
      <w:r w:rsidR="00E83190" w:rsidRPr="00980705">
        <w:t>Mineral exploration an</w:t>
      </w:r>
      <w:r w:rsidR="00E83190">
        <w:t>d development sector approvals:</w:t>
      </w:r>
      <w:r w:rsidR="00665F25">
        <w:t xml:space="preserve"> </w:t>
      </w:r>
      <w:r w:rsidRPr="00980705">
        <w:t>201</w:t>
      </w:r>
      <w:r>
        <w:t>4</w:t>
      </w:r>
      <w:r w:rsidR="00E83190">
        <w:t>–</w:t>
      </w:r>
      <w:r w:rsidRPr="00980705">
        <w:t>1</w:t>
      </w:r>
      <w:r>
        <w:t>5</w:t>
      </w:r>
      <w:r w:rsidRPr="00980705">
        <w:t xml:space="preserve"> </w:t>
      </w:r>
      <w:r w:rsidR="00E83190" w:rsidRPr="00980705">
        <w:t xml:space="preserve">to </w:t>
      </w:r>
      <w:r w:rsidRPr="00980705">
        <w:t>201</w:t>
      </w:r>
      <w:r>
        <w:t>7</w:t>
      </w:r>
      <w:r w:rsidR="00E83190">
        <w:t>–</w:t>
      </w:r>
      <w:r w:rsidRPr="00980705">
        <w:t>1</w:t>
      </w:r>
      <w:r>
        <w:t>8</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49A4B3E8" w14:textId="0741CDFA" w:rsidR="004147F2" w:rsidRPr="004147F2" w:rsidRDefault="00F669F3" w:rsidP="00EB5236">
      <w:pPr>
        <w:pStyle w:val="TableGraphic"/>
      </w:pPr>
      <w:r w:rsidDel="00F669F3">
        <w:fldChar w:fldCharType="begin"/>
      </w:r>
      <w:r w:rsidDel="00F669F3">
        <w:fldChar w:fldCharType="end"/>
      </w:r>
      <w:r w:rsidR="00CA6C4B">
        <w:object w:dxaOrig="7695" w:dyaOrig="5677" w14:anchorId="4CBE60DC">
          <v:shape id="_x0000_i1031" type="#_x0000_t75" alt="Table shows the number and total value of Mineral Exploration and Development Sector approvals during a financial year for the four financial years ending in 2017-18 and categorises by group or class. The five groups are coal, oil &amp; gas extraction, metallic minerals, non-metallic minerals and quarrying, and exploration, other mining support services. A further breakdown is provided by class for metallic minerals, and exploration, other mining support services. &#10;All groups except for oil and gas extraction saw a decrease in the number of approvals in 2017-18 from 2016-17. Coal overtook metallic minerals as the most valuable sector for approvals in 2017-18, as its value of approvals rose from $5.5 billion to $8.5 billion. The value of approvals in the metallic minerals group peaked in 2016-17 at $6.3 billion before reducing to $4.9 billion in 2017-18." style="width:384.75pt;height:283.85pt" o:ole="">
            <v:imagedata r:id="rId71" o:title=""/>
          </v:shape>
          <o:OLEObject Type="Link" ProgID="Excel.Sheet.12" ShapeID="_x0000_i1031" DrawAspect="Content" r:id="rId72" UpdateMode="Always">
            <o:LinkType>EnhancedMetaFile</o:LinkType>
            <o:LockedField>false</o:LockedField>
          </o:OLEObject>
        </w:object>
      </w:r>
    </w:p>
    <w:p w14:paraId="7D5981F0" w14:textId="73E0254F" w:rsidR="00903DB3" w:rsidRDefault="00547D45" w:rsidP="00397941">
      <w:pPr>
        <w:pStyle w:val="ChartandTableFootnoteAlpha"/>
        <w:numPr>
          <w:ilvl w:val="0"/>
          <w:numId w:val="23"/>
        </w:numPr>
      </w:pPr>
      <w:r w:rsidRPr="002A2C33">
        <w:t>Comprises:</w:t>
      </w:r>
      <w:r w:rsidR="00FD5EAA">
        <w:t xml:space="preserve"> </w:t>
      </w:r>
      <w:r w:rsidR="00903DB3">
        <w:t>mining of ores (antimony, beryllium, bismuth, manganese,</w:t>
      </w:r>
      <w:r w:rsidR="00903DB3" w:rsidRPr="00903DB3">
        <w:t xml:space="preserve"> </w:t>
      </w:r>
      <w:r w:rsidR="00903DB3">
        <w:t xml:space="preserve">tin, tungsten, </w:t>
      </w:r>
      <w:r w:rsidR="0068163E">
        <w:t>and uranium</w:t>
      </w:r>
      <w:r w:rsidR="00903DB3">
        <w:t xml:space="preserve">), iron pyrite, </w:t>
      </w:r>
      <w:proofErr w:type="spellStart"/>
      <w:r w:rsidR="00903DB3">
        <w:t>molybdenite</w:t>
      </w:r>
      <w:proofErr w:type="spellEnd"/>
      <w:r w:rsidR="00903DB3">
        <w:t>, tantalite, platinum group metal and other metallic ore mining.</w:t>
      </w:r>
    </w:p>
    <w:p w14:paraId="50350942" w14:textId="4C2C179D" w:rsidR="00D14BDB" w:rsidRDefault="00E83190" w:rsidP="00135346">
      <w:pPr>
        <w:pStyle w:val="ChartorTableNote"/>
        <w:tabs>
          <w:tab w:val="left" w:pos="567"/>
        </w:tabs>
        <w:ind w:left="567" w:hanging="567"/>
      </w:pPr>
      <w:r w:rsidRPr="002A2C33">
        <w:t>Notes:</w:t>
      </w:r>
      <w:r w:rsidRPr="002A2C33">
        <w:tab/>
      </w:r>
      <w:r w:rsidR="00D14BDB">
        <w:t xml:space="preserve">Time series includes amended data from earlier publication reflecting </w:t>
      </w:r>
      <w:r w:rsidR="000C5CDF">
        <w:t>a methodology change</w:t>
      </w:r>
      <w:r w:rsidR="00D14BDB">
        <w:t xml:space="preserve"> and </w:t>
      </w:r>
      <w:r w:rsidR="00C93EBC">
        <w:t xml:space="preserve">greater alignment </w:t>
      </w:r>
      <w:r w:rsidR="00D14BDB">
        <w:t>with the Australian and New Zealand Standard Industrial Classification (ANZSIC</w:t>
      </w:r>
      <w:r w:rsidR="00E47DBF">
        <w:t>,</w:t>
      </w:r>
      <w:r w:rsidR="00D14BDB">
        <w:t xml:space="preserve"> 2006).</w:t>
      </w:r>
    </w:p>
    <w:p w14:paraId="736584F4" w14:textId="2D211518" w:rsidR="00407BAC" w:rsidRDefault="00D14BDB" w:rsidP="00135346">
      <w:pPr>
        <w:pStyle w:val="ChartorTableNote"/>
        <w:tabs>
          <w:tab w:val="left" w:pos="567"/>
        </w:tabs>
        <w:ind w:left="567" w:hanging="567"/>
      </w:pPr>
      <w:r>
        <w:tab/>
      </w:r>
      <w:r w:rsidR="00E83190" w:rsidRPr="002A2C33">
        <w:t>Totals m</w:t>
      </w:r>
      <w:r w:rsidR="004435B6">
        <w:t>ay not add due to rounding.</w:t>
      </w:r>
    </w:p>
    <w:p w14:paraId="05E0BA7E" w14:textId="529A1564" w:rsidR="00E83190" w:rsidRDefault="00407BAC" w:rsidP="00135346">
      <w:pPr>
        <w:pStyle w:val="ChartorTableNote"/>
        <w:tabs>
          <w:tab w:val="left" w:pos="567"/>
        </w:tabs>
        <w:ind w:left="567" w:hanging="567"/>
      </w:pPr>
      <w:r>
        <w:tab/>
      </w:r>
      <w:r w:rsidR="00E83190" w:rsidRPr="002A2C33">
        <w:t>Excludes corporate reorganisations</w:t>
      </w:r>
      <w:r w:rsidR="00CD1E0E">
        <w:t xml:space="preserve"> and new businesses</w:t>
      </w:r>
      <w:r w:rsidR="00E83190" w:rsidRPr="002A2C33">
        <w:t>.</w:t>
      </w:r>
    </w:p>
    <w:p w14:paraId="64347ED4" w14:textId="4F3A1B98" w:rsidR="00135346" w:rsidRPr="003577DA" w:rsidRDefault="00407BAC" w:rsidP="00166388">
      <w:pPr>
        <w:pStyle w:val="ChartorTableNote"/>
        <w:tabs>
          <w:tab w:val="left" w:pos="567"/>
        </w:tabs>
        <w:ind w:left="567"/>
      </w:pPr>
      <w:r>
        <w:t xml:space="preserve">Data for </w:t>
      </w:r>
      <w:r w:rsidRPr="004A3335">
        <w:t>2015</w:t>
      </w:r>
      <w:r>
        <w:t>–</w:t>
      </w:r>
      <w:r w:rsidRPr="004A3335">
        <w:t xml:space="preserve">16 </w:t>
      </w:r>
      <w:r>
        <w:t xml:space="preserve">onwards was </w:t>
      </w:r>
      <w:r w:rsidRPr="004A3335">
        <w:t>impacted by the 1</w:t>
      </w:r>
      <w:r>
        <w:t> </w:t>
      </w:r>
      <w:r w:rsidRPr="004A3335">
        <w:t>December 2015 reforms</w:t>
      </w:r>
      <w:r>
        <w:t>. Data from 2017</w:t>
      </w:r>
      <w:r>
        <w:noBreakHyphen/>
        <w:t>18 was impacted by the reforms announced in the 2017</w:t>
      </w:r>
      <w:r>
        <w:noBreakHyphen/>
        <w:t xml:space="preserve">18 Budget, which were given effect on 1 July 2017. </w:t>
      </w:r>
      <w:r w:rsidR="00F81758">
        <w:t>Thes</w:t>
      </w:r>
      <w:r>
        <w:t xml:space="preserve">e reforms </w:t>
      </w:r>
      <w:r w:rsidRPr="004A3335">
        <w:t>may affect data comparability</w:t>
      </w:r>
      <w:r w:rsidR="00221663">
        <w:t xml:space="preserve"> across time</w:t>
      </w:r>
      <w:r w:rsidRPr="004A3335">
        <w:t>.</w:t>
      </w:r>
    </w:p>
    <w:p w14:paraId="05E0BA80" w14:textId="20855262" w:rsidR="00E83190" w:rsidRPr="004F599C" w:rsidRDefault="00E83190" w:rsidP="00AF5EA5">
      <w:pPr>
        <w:pStyle w:val="Heading3"/>
      </w:pPr>
      <w:r w:rsidRPr="00AF5EA5">
        <w:t>Services</w:t>
      </w:r>
    </w:p>
    <w:p w14:paraId="59F8C7F9" w14:textId="79043B03" w:rsidR="00E83190" w:rsidRDefault="00E83190" w:rsidP="00115641">
      <w:pPr>
        <w:spacing w:after="200"/>
        <w:rPr>
          <w:color w:val="auto"/>
          <w:szCs w:val="24"/>
        </w:rPr>
      </w:pPr>
      <w:r w:rsidRPr="00BD4DB6">
        <w:rPr>
          <w:noProof/>
          <w:color w:val="auto"/>
        </w:rPr>
        <mc:AlternateContent>
          <mc:Choice Requires="wpc">
            <w:drawing>
              <wp:anchor distT="0" distB="0" distL="114300" distR="114300" simplePos="0" relativeHeight="251658245" behindDoc="1" locked="0" layoutInCell="1" allowOverlap="1" wp14:anchorId="05E0BAF4" wp14:editId="2DCDB332">
                <wp:simplePos x="0" y="0"/>
                <wp:positionH relativeFrom="margin">
                  <wp:align>left</wp:align>
                </wp:positionH>
                <wp:positionV relativeFrom="paragraph">
                  <wp:posOffset>67310</wp:posOffset>
                </wp:positionV>
                <wp:extent cx="969645" cy="946150"/>
                <wp:effectExtent l="0" t="0" r="1905" b="6350"/>
                <wp:wrapSquare wrapText="bothSides"/>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3" name="Oval 13"/>
                        <wps:cNvSpPr/>
                        <wps:spPr>
                          <a:xfrm>
                            <a:off x="37256" y="0"/>
                            <a:ext cx="900000" cy="900000"/>
                          </a:xfrm>
                          <a:prstGeom prst="ellipse">
                            <a:avLst/>
                          </a:prstGeom>
                          <a:solidFill>
                            <a:srgbClr val="A32035"/>
                          </a:solidFill>
                          <a:ln w="25400" cap="flat" cmpd="sng" algn="ctr">
                            <a:solidFill>
                              <a:srgbClr val="E0627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5109" y="122595"/>
                            <a:ext cx="936000" cy="656634"/>
                          </a:xfrm>
                          <a:prstGeom prst="rect">
                            <a:avLst/>
                          </a:prstGeom>
                          <a:noFill/>
                          <a:ln w="6350">
                            <a:noFill/>
                          </a:ln>
                          <a:effectLst/>
                        </wps:spPr>
                        <wps:txbx>
                          <w:txbxContent>
                            <w:p w14:paraId="05E0BB24" w14:textId="57A70A6D" w:rsidR="00E56859" w:rsidRPr="002C2D66" w:rsidRDefault="00E56859" w:rsidP="00E83190">
                              <w:pPr>
                                <w:spacing w:after="0"/>
                                <w:jc w:val="center"/>
                                <w:rPr>
                                  <w:b/>
                                  <w:color w:val="FFFFFF" w:themeColor="background1"/>
                                  <w:sz w:val="23"/>
                                </w:rPr>
                              </w:pPr>
                              <w:r w:rsidRPr="002C2D66">
                                <w:rPr>
                                  <w:b/>
                                  <w:color w:val="FFFFFF" w:themeColor="background1"/>
                                  <w:sz w:val="23"/>
                                </w:rPr>
                                <w:t>$</w:t>
                              </w:r>
                              <w:r>
                                <w:rPr>
                                  <w:b/>
                                  <w:color w:val="FFFFFF" w:themeColor="background1"/>
                                  <w:sz w:val="23"/>
                                </w:rPr>
                                <w:t>63</w:t>
                              </w:r>
                              <w:r w:rsidRPr="002C2D66">
                                <w:rPr>
                                  <w:b/>
                                  <w:color w:val="FFFFFF" w:themeColor="background1"/>
                                  <w:sz w:val="23"/>
                                </w:rPr>
                                <w:t>.2b approved</w:t>
                              </w:r>
                            </w:p>
                            <w:p w14:paraId="05E0BB25" w14:textId="77777777" w:rsidR="00E56859" w:rsidRPr="002C2D66" w:rsidRDefault="00E56859" w:rsidP="00E83190">
                              <w:pPr>
                                <w:jc w:val="center"/>
                                <w:rPr>
                                  <w:sz w:val="23"/>
                                </w:rPr>
                              </w:pPr>
                              <w:r w:rsidRPr="002C2D66">
                                <w:rPr>
                                  <w:b/>
                                  <w:color w:val="FFFFFF" w:themeColor="background1"/>
                                  <w:sz w:val="23"/>
                                </w:rPr>
                                <w:t>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27" o:spid="_x0000_s1043" editas="canvas" style="position:absolute;left:0;text-align:left;margin-left:0;margin-top:5.3pt;width:76.35pt;height:74.5pt;z-index:-251658235;mso-position-horizontal:left;mso-position-horizontal-relative:margin" coordsize="9696,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">
                <v:shape id="_x0000_s1044" type="#_x0000_t75" style="position:absolute;width:9696;height:9461;visibility:visible;mso-wrap-style:square">
                  <v:fill o:detectmouseclick="t"/>
                  <v:path o:connecttype="none"/>
                </v:shape>
                <v:oval id="Oval 13" o:spid="_x0000_s1045" style="position:absolute;left:372;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h7sIA&#10;AADbAAAADwAAAGRycy9kb3ducmV2LnhtbERPS4vCMBC+L/gfwix4WTTVXcStRhG1IPTk47DHsZlN&#10;i82kNFHrv98IC97m43vOfNnZWtyo9ZVjBaNhAoK4cLpio+B0zAZTED4ga6wdk4IHeVguem9zTLW7&#10;855uh2BEDGGfooIyhCaV0hclWfRD1xBH7te1FkOErZG6xXsMt7UcJ8lEWqw4NpTY0Lqk4nK4WgVm&#10;+22yzcfPcWUu+XR7+sr3WX5Wqv/erWYgAnXhJf5373Sc/wnP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uHuwgAAANsAAAAPAAAAAAAAAAAAAAAAAJgCAABkcnMvZG93&#10;bnJldi54bWxQSwUGAAAAAAQABAD1AAAAhwMAAAAA&#10;" fillcolor="#a32035" strokecolor="#e06277" strokeweight="2pt"/>
                <v:shape id="Text Box 15" o:spid="_x0000_s1046" type="#_x0000_t202" style="position:absolute;left:251;top:1225;width:9360;height:6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05E0BB24" w14:textId="57A70A6D" w:rsidR="00E56859" w:rsidRPr="002C2D66" w:rsidRDefault="00E56859" w:rsidP="00E83190">
                        <w:pPr>
                          <w:spacing w:after="0"/>
                          <w:jc w:val="center"/>
                          <w:rPr>
                            <w:b/>
                            <w:color w:val="FFFFFF" w:themeColor="background1"/>
                            <w:sz w:val="23"/>
                          </w:rPr>
                        </w:pPr>
                        <w:r w:rsidRPr="002C2D66">
                          <w:rPr>
                            <w:b/>
                            <w:color w:val="FFFFFF" w:themeColor="background1"/>
                            <w:sz w:val="23"/>
                          </w:rPr>
                          <w:t>$</w:t>
                        </w:r>
                        <w:r>
                          <w:rPr>
                            <w:b/>
                            <w:color w:val="FFFFFF" w:themeColor="background1"/>
                            <w:sz w:val="23"/>
                          </w:rPr>
                          <w:t>63</w:t>
                        </w:r>
                        <w:r w:rsidRPr="002C2D66">
                          <w:rPr>
                            <w:b/>
                            <w:color w:val="FFFFFF" w:themeColor="background1"/>
                            <w:sz w:val="23"/>
                          </w:rPr>
                          <w:t>.2b approved</w:t>
                        </w:r>
                      </w:p>
                      <w:p w14:paraId="05E0BB25" w14:textId="77777777" w:rsidR="00E56859" w:rsidRPr="002C2D66" w:rsidRDefault="00E56859" w:rsidP="00E83190">
                        <w:pPr>
                          <w:jc w:val="center"/>
                          <w:rPr>
                            <w:sz w:val="23"/>
                          </w:rPr>
                        </w:pPr>
                        <w:r w:rsidRPr="002C2D66">
                          <w:rPr>
                            <w:b/>
                            <w:color w:val="FFFFFF" w:themeColor="background1"/>
                            <w:sz w:val="23"/>
                          </w:rPr>
                          <w:t>investment</w:t>
                        </w:r>
                      </w:p>
                    </w:txbxContent>
                  </v:textbox>
                </v:shape>
                <w10:wrap type="square" anchorx="margin"/>
              </v:group>
            </w:pict>
          </mc:Fallback>
        </mc:AlternateContent>
      </w:r>
      <w:r w:rsidRPr="00BD4DB6">
        <w:rPr>
          <w:color w:val="auto"/>
        </w:rPr>
        <w:t xml:space="preserve">There were </w:t>
      </w:r>
      <w:r w:rsidR="007B65C1">
        <w:rPr>
          <w:color w:val="auto"/>
        </w:rPr>
        <w:t>1</w:t>
      </w:r>
      <w:r w:rsidR="007C1E7F">
        <w:rPr>
          <w:color w:val="auto"/>
        </w:rPr>
        <w:t>85</w:t>
      </w:r>
      <w:r w:rsidR="005C1D44">
        <w:rPr>
          <w:color w:val="auto"/>
        </w:rPr>
        <w:t> </w:t>
      </w:r>
      <w:r w:rsidRPr="00BD4DB6">
        <w:rPr>
          <w:color w:val="auto"/>
        </w:rPr>
        <w:t xml:space="preserve">approvals for proposed investment in the services sector in </w:t>
      </w:r>
      <w:r w:rsidR="005C1D44" w:rsidRPr="00BD4DB6">
        <w:rPr>
          <w:color w:val="auto"/>
        </w:rPr>
        <w:t>201</w:t>
      </w:r>
      <w:r w:rsidR="005C1D44">
        <w:rPr>
          <w:color w:val="auto"/>
        </w:rPr>
        <w:t>7</w:t>
      </w:r>
      <w:r>
        <w:rPr>
          <w:color w:val="auto"/>
        </w:rPr>
        <w:t>–</w:t>
      </w:r>
      <w:r w:rsidR="005C1D44" w:rsidRPr="00BD4DB6">
        <w:rPr>
          <w:color w:val="auto"/>
        </w:rPr>
        <w:t>1</w:t>
      </w:r>
      <w:r w:rsidR="005C1D44">
        <w:rPr>
          <w:color w:val="auto"/>
        </w:rPr>
        <w:t>8</w:t>
      </w:r>
      <w:r w:rsidRPr="00BD4DB6">
        <w:rPr>
          <w:color w:val="auto"/>
        </w:rPr>
        <w:t>, a</w:t>
      </w:r>
      <w:r w:rsidR="007B65C1">
        <w:rPr>
          <w:color w:val="auto"/>
        </w:rPr>
        <w:t xml:space="preserve"> decrease </w:t>
      </w:r>
      <w:r w:rsidRPr="00BD4DB6">
        <w:rPr>
          <w:color w:val="auto"/>
        </w:rPr>
        <w:t xml:space="preserve">of </w:t>
      </w:r>
      <w:r w:rsidR="00133BE2">
        <w:rPr>
          <w:color w:val="auto"/>
        </w:rPr>
        <w:t>30</w:t>
      </w:r>
      <w:r w:rsidR="005C1D44">
        <w:rPr>
          <w:color w:val="auto"/>
        </w:rPr>
        <w:t> </w:t>
      </w:r>
      <w:r w:rsidRPr="00BD4DB6">
        <w:rPr>
          <w:color w:val="auto"/>
        </w:rPr>
        <w:t>approvals on the previous year.</w:t>
      </w:r>
    </w:p>
    <w:p w14:paraId="68FCC6F3" w14:textId="4A80D66B" w:rsidR="00873DBE" w:rsidRDefault="002E5A6A" w:rsidP="00AC1D21">
      <w:pPr>
        <w:spacing w:after="220"/>
        <w:rPr>
          <w:color w:val="auto"/>
        </w:rPr>
      </w:pPr>
      <w:r>
        <w:rPr>
          <w:color w:val="auto"/>
        </w:rPr>
        <w:t>In 2017–18, t</w:t>
      </w:r>
      <w:r w:rsidR="007B65C1">
        <w:rPr>
          <w:color w:val="auto"/>
        </w:rPr>
        <w:t xml:space="preserve">he United States was the largest source country of </w:t>
      </w:r>
      <w:r w:rsidR="00D848C1">
        <w:rPr>
          <w:color w:val="auto"/>
        </w:rPr>
        <w:t xml:space="preserve">proposed </w:t>
      </w:r>
      <w:r w:rsidR="007B65C1">
        <w:rPr>
          <w:color w:val="auto"/>
        </w:rPr>
        <w:t>investment by value in the services sector with $1</w:t>
      </w:r>
      <w:r w:rsidR="00B1716A">
        <w:rPr>
          <w:color w:val="auto"/>
        </w:rPr>
        <w:t>9.</w:t>
      </w:r>
      <w:r w:rsidR="00133BE2">
        <w:rPr>
          <w:color w:val="auto"/>
        </w:rPr>
        <w:t>7</w:t>
      </w:r>
      <w:r w:rsidR="007B65C1">
        <w:rPr>
          <w:color w:val="auto"/>
        </w:rPr>
        <w:t xml:space="preserve"> billion of </w:t>
      </w:r>
      <w:r w:rsidR="00D848C1">
        <w:rPr>
          <w:color w:val="auto"/>
        </w:rPr>
        <w:t>proposed investment</w:t>
      </w:r>
      <w:r w:rsidR="00276D33">
        <w:rPr>
          <w:color w:val="auto"/>
        </w:rPr>
        <w:t xml:space="preserve">. This was </w:t>
      </w:r>
      <w:r w:rsidR="00C93EBC">
        <w:rPr>
          <w:color w:val="auto"/>
        </w:rPr>
        <w:t xml:space="preserve">nearly </w:t>
      </w:r>
      <w:r w:rsidR="007B65C1">
        <w:rPr>
          <w:color w:val="auto"/>
        </w:rPr>
        <w:t xml:space="preserve">double the value of the </w:t>
      </w:r>
      <w:r w:rsidR="00276D33">
        <w:rPr>
          <w:color w:val="auto"/>
        </w:rPr>
        <w:t xml:space="preserve">second </w:t>
      </w:r>
      <w:r w:rsidR="007B65C1">
        <w:rPr>
          <w:color w:val="auto"/>
        </w:rPr>
        <w:t>largest source country</w:t>
      </w:r>
      <w:r w:rsidR="00276D33">
        <w:rPr>
          <w:color w:val="auto"/>
        </w:rPr>
        <w:t xml:space="preserve">, </w:t>
      </w:r>
      <w:r w:rsidR="007B65C1">
        <w:rPr>
          <w:color w:val="auto"/>
        </w:rPr>
        <w:t>the United</w:t>
      </w:r>
      <w:r w:rsidR="00115641">
        <w:rPr>
          <w:color w:val="auto"/>
        </w:rPr>
        <w:t> </w:t>
      </w:r>
      <w:r w:rsidR="007B65C1">
        <w:rPr>
          <w:color w:val="auto"/>
        </w:rPr>
        <w:t>Kingdom</w:t>
      </w:r>
      <w:r w:rsidR="00276D33">
        <w:rPr>
          <w:color w:val="auto"/>
        </w:rPr>
        <w:t>,</w:t>
      </w:r>
      <w:r w:rsidR="007B65C1">
        <w:rPr>
          <w:color w:val="auto"/>
        </w:rPr>
        <w:t xml:space="preserve"> with $</w:t>
      </w:r>
      <w:r w:rsidR="00B1716A">
        <w:rPr>
          <w:color w:val="auto"/>
        </w:rPr>
        <w:t>10.0</w:t>
      </w:r>
      <w:r w:rsidR="007B65C1">
        <w:rPr>
          <w:color w:val="auto"/>
        </w:rPr>
        <w:t xml:space="preserve"> billion </w:t>
      </w:r>
      <w:r>
        <w:rPr>
          <w:color w:val="auto"/>
        </w:rPr>
        <w:t>in</w:t>
      </w:r>
      <w:r w:rsidR="007B65C1">
        <w:rPr>
          <w:color w:val="auto"/>
        </w:rPr>
        <w:t xml:space="preserve"> proposed investment</w:t>
      </w:r>
      <w:r w:rsidR="00A30E6E">
        <w:rPr>
          <w:color w:val="auto"/>
        </w:rPr>
        <w:t xml:space="preserve"> in the services sector</w:t>
      </w:r>
      <w:r w:rsidR="007B65C1">
        <w:rPr>
          <w:color w:val="auto"/>
        </w:rPr>
        <w:t>.</w:t>
      </w:r>
    </w:p>
    <w:p w14:paraId="5FE5028E" w14:textId="456F2CDE" w:rsidR="00135346" w:rsidRPr="00115641" w:rsidDel="0004782A" w:rsidRDefault="00E83190" w:rsidP="002229ED">
      <w:pPr>
        <w:spacing w:after="220"/>
        <w:rPr>
          <w:color w:val="auto"/>
          <w:szCs w:val="24"/>
        </w:rPr>
      </w:pPr>
      <w:r w:rsidRPr="000E22BE">
        <w:rPr>
          <w:color w:val="auto"/>
        </w:rPr>
        <w:t xml:space="preserve">The </w:t>
      </w:r>
      <w:r w:rsidRPr="000E22BE">
        <w:rPr>
          <w:color w:val="auto"/>
          <w:szCs w:val="24"/>
        </w:rPr>
        <w:t>services sector approval</w:t>
      </w:r>
      <w:r>
        <w:rPr>
          <w:color w:val="auto"/>
          <w:szCs w:val="24"/>
        </w:rPr>
        <w:t>s</w:t>
      </w:r>
      <w:r w:rsidRPr="000E22BE">
        <w:rPr>
          <w:color w:val="auto"/>
          <w:szCs w:val="24"/>
        </w:rPr>
        <w:t xml:space="preserve"> data is typically affected by large one</w:t>
      </w:r>
      <w:r w:rsidRPr="000E22BE">
        <w:rPr>
          <w:color w:val="auto"/>
          <w:szCs w:val="24"/>
        </w:rPr>
        <w:noBreakHyphen/>
        <w:t xml:space="preserve">off transactions. </w:t>
      </w:r>
      <w:r w:rsidR="0094294B">
        <w:rPr>
          <w:color w:val="auto"/>
          <w:szCs w:val="24"/>
        </w:rPr>
        <w:t>In</w:t>
      </w:r>
      <w:r w:rsidR="00DC52C1" w:rsidDel="00AA22C3">
        <w:rPr>
          <w:color w:val="auto"/>
          <w:szCs w:val="24"/>
        </w:rPr>
        <w:t xml:space="preserve"> </w:t>
      </w:r>
      <w:r w:rsidR="00AA22C3">
        <w:rPr>
          <w:color w:val="auto"/>
          <w:szCs w:val="24"/>
        </w:rPr>
        <w:t>June </w:t>
      </w:r>
      <w:r w:rsidR="00DC52C1">
        <w:rPr>
          <w:color w:val="auto"/>
          <w:szCs w:val="24"/>
        </w:rPr>
        <w:t>2018</w:t>
      </w:r>
      <w:r w:rsidR="0094294B">
        <w:rPr>
          <w:color w:val="auto"/>
          <w:szCs w:val="24"/>
        </w:rPr>
        <w:t xml:space="preserve">, </w:t>
      </w:r>
      <w:r w:rsidR="00825515">
        <w:rPr>
          <w:color w:val="auto"/>
          <w:szCs w:val="24"/>
        </w:rPr>
        <w:t>the Paris-based commercial real estate company</w:t>
      </w:r>
      <w:r w:rsidR="00DC52C1">
        <w:rPr>
          <w:color w:val="auto"/>
          <w:szCs w:val="24"/>
        </w:rPr>
        <w:t>,</w:t>
      </w:r>
      <w:r w:rsidR="00825515">
        <w:rPr>
          <w:color w:val="auto"/>
          <w:szCs w:val="24"/>
        </w:rPr>
        <w:t xml:space="preserve"> </w:t>
      </w:r>
      <w:proofErr w:type="spellStart"/>
      <w:r w:rsidR="0094294B">
        <w:rPr>
          <w:color w:val="auto"/>
          <w:szCs w:val="24"/>
        </w:rPr>
        <w:t>Unibail-Rodamco</w:t>
      </w:r>
      <w:proofErr w:type="spellEnd"/>
      <w:r w:rsidR="00DC52C1">
        <w:rPr>
          <w:color w:val="auto"/>
          <w:szCs w:val="24"/>
        </w:rPr>
        <w:t>,</w:t>
      </w:r>
      <w:r w:rsidR="0094294B">
        <w:rPr>
          <w:color w:val="auto"/>
          <w:szCs w:val="24"/>
        </w:rPr>
        <w:t xml:space="preserve"> </w:t>
      </w:r>
      <w:r w:rsidR="00035390">
        <w:rPr>
          <w:color w:val="auto"/>
          <w:szCs w:val="24"/>
        </w:rPr>
        <w:t xml:space="preserve">merged with </w:t>
      </w:r>
      <w:r w:rsidR="009F3361">
        <w:rPr>
          <w:color w:val="auto"/>
          <w:szCs w:val="24"/>
        </w:rPr>
        <w:t xml:space="preserve">the Australian </w:t>
      </w:r>
      <w:r w:rsidR="00EB5540">
        <w:rPr>
          <w:color w:val="auto"/>
          <w:szCs w:val="24"/>
        </w:rPr>
        <w:t>based shopping centre operator</w:t>
      </w:r>
      <w:r w:rsidR="00DC52C1">
        <w:rPr>
          <w:color w:val="auto"/>
          <w:szCs w:val="24"/>
        </w:rPr>
        <w:t>,</w:t>
      </w:r>
      <w:r w:rsidR="009F3361">
        <w:rPr>
          <w:color w:val="auto"/>
          <w:szCs w:val="24"/>
        </w:rPr>
        <w:t xml:space="preserve"> </w:t>
      </w:r>
      <w:r w:rsidR="0094294B">
        <w:rPr>
          <w:color w:val="auto"/>
          <w:szCs w:val="24"/>
        </w:rPr>
        <w:t>Westfield</w:t>
      </w:r>
      <w:r w:rsidR="00EB5540">
        <w:rPr>
          <w:color w:val="auto"/>
          <w:szCs w:val="24"/>
        </w:rPr>
        <w:t xml:space="preserve"> Corporation</w:t>
      </w:r>
      <w:r w:rsidR="00DC52C1">
        <w:rPr>
          <w:color w:val="auto"/>
          <w:szCs w:val="24"/>
        </w:rPr>
        <w:t>,</w:t>
      </w:r>
      <w:r w:rsidR="0094294B">
        <w:rPr>
          <w:color w:val="auto"/>
          <w:szCs w:val="24"/>
        </w:rPr>
        <w:t xml:space="preserve"> for a proposed investment value of </w:t>
      </w:r>
      <w:r w:rsidR="00A30E6E">
        <w:rPr>
          <w:color w:val="auto"/>
          <w:szCs w:val="24"/>
        </w:rPr>
        <w:t xml:space="preserve">over </w:t>
      </w:r>
      <w:r w:rsidR="0094294B">
        <w:rPr>
          <w:color w:val="auto"/>
          <w:szCs w:val="24"/>
        </w:rPr>
        <w:t>$2</w:t>
      </w:r>
      <w:r w:rsidR="00A30E6E">
        <w:rPr>
          <w:color w:val="auto"/>
          <w:szCs w:val="24"/>
        </w:rPr>
        <w:t>8</w:t>
      </w:r>
      <w:r w:rsidR="0094294B">
        <w:rPr>
          <w:color w:val="auto"/>
          <w:szCs w:val="24"/>
        </w:rPr>
        <w:t xml:space="preserve"> billion. </w:t>
      </w:r>
      <w:r w:rsidR="00C93EBC">
        <w:rPr>
          <w:color w:val="auto"/>
          <w:szCs w:val="24"/>
        </w:rPr>
        <w:t>This approval</w:t>
      </w:r>
      <w:r w:rsidR="00D35D95">
        <w:rPr>
          <w:color w:val="auto"/>
          <w:szCs w:val="24"/>
        </w:rPr>
        <w:t xml:space="preserve"> </w:t>
      </w:r>
      <w:r w:rsidR="009F3361">
        <w:rPr>
          <w:color w:val="auto"/>
          <w:szCs w:val="24"/>
        </w:rPr>
        <w:t>largely explains the increase in the value of proposed acquisitions in property and business services from $700 million in 2016–17 to $</w:t>
      </w:r>
      <w:r w:rsidR="006048A3">
        <w:rPr>
          <w:color w:val="auto"/>
          <w:szCs w:val="24"/>
        </w:rPr>
        <w:t>35.</w:t>
      </w:r>
      <w:r w:rsidR="004B4EB4">
        <w:rPr>
          <w:color w:val="auto"/>
          <w:szCs w:val="24"/>
        </w:rPr>
        <w:t>1 </w:t>
      </w:r>
      <w:r w:rsidR="009F3361">
        <w:rPr>
          <w:color w:val="auto"/>
          <w:szCs w:val="24"/>
        </w:rPr>
        <w:t xml:space="preserve">billion in 2017–18 (see Table </w:t>
      </w:r>
      <w:r w:rsidR="00E47AEB">
        <w:rPr>
          <w:color w:val="auto"/>
          <w:szCs w:val="24"/>
        </w:rPr>
        <w:t>3</w:t>
      </w:r>
      <w:r w:rsidR="009F3361">
        <w:rPr>
          <w:color w:val="auto"/>
          <w:szCs w:val="24"/>
        </w:rPr>
        <w:t>.7).</w:t>
      </w:r>
    </w:p>
    <w:p w14:paraId="71503F76" w14:textId="30924D22" w:rsidR="007745E5" w:rsidRDefault="008658A2" w:rsidP="002229ED">
      <w:pPr>
        <w:spacing w:after="220"/>
      </w:pPr>
      <w:r>
        <w:rPr>
          <w:color w:val="auto"/>
          <w:szCs w:val="24"/>
        </w:rPr>
        <w:t xml:space="preserve">The other notable aspect of service sector approvals in 2017–18 was the </w:t>
      </w:r>
      <w:r w:rsidR="0087358B">
        <w:rPr>
          <w:color w:val="auto"/>
          <w:szCs w:val="24"/>
        </w:rPr>
        <w:t>high</w:t>
      </w:r>
      <w:r>
        <w:rPr>
          <w:color w:val="auto"/>
          <w:szCs w:val="24"/>
        </w:rPr>
        <w:t xml:space="preserve"> value of </w:t>
      </w:r>
      <w:r w:rsidR="0087358B">
        <w:rPr>
          <w:color w:val="auto"/>
          <w:szCs w:val="24"/>
        </w:rPr>
        <w:t xml:space="preserve">proposed investment </w:t>
      </w:r>
      <w:r>
        <w:rPr>
          <w:color w:val="auto"/>
          <w:szCs w:val="24"/>
        </w:rPr>
        <w:t xml:space="preserve">approvals in </w:t>
      </w:r>
      <w:r w:rsidR="00C24613">
        <w:rPr>
          <w:color w:val="auto"/>
          <w:szCs w:val="24"/>
        </w:rPr>
        <w:t xml:space="preserve">the </w:t>
      </w:r>
      <w:r>
        <w:t xml:space="preserve">health </w:t>
      </w:r>
      <w:r w:rsidR="00C24613">
        <w:t>sector ($</w:t>
      </w:r>
      <w:r>
        <w:t>7.3 billion</w:t>
      </w:r>
      <w:r w:rsidR="00C24613">
        <w:t>)</w:t>
      </w:r>
      <w:r w:rsidR="00750F75">
        <w:t xml:space="preserve"> relative to proposed investment in 2016–17 ($3</w:t>
      </w:r>
      <w:r w:rsidR="00C24613">
        <w:t>.6 billion</w:t>
      </w:r>
      <w:r w:rsidR="00750F75">
        <w:t>)</w:t>
      </w:r>
      <w:r w:rsidR="00C24613">
        <w:t>.</w:t>
      </w:r>
      <w:r>
        <w:t xml:space="preserve"> In </w:t>
      </w:r>
      <w:r w:rsidR="003D6A01">
        <w:t>2017–18, t</w:t>
      </w:r>
      <w:r w:rsidR="0087358B">
        <w:t xml:space="preserve">here were </w:t>
      </w:r>
      <w:r w:rsidR="003D6A01">
        <w:t xml:space="preserve">the following </w:t>
      </w:r>
      <w:r w:rsidR="0087358B">
        <w:t>two</w:t>
      </w:r>
      <w:r w:rsidR="00135346">
        <w:t> </w:t>
      </w:r>
      <w:r w:rsidR="0087358B">
        <w:t xml:space="preserve">significant investment proposals </w:t>
      </w:r>
      <w:r w:rsidR="00C24613">
        <w:t>in Australia’s health sector</w:t>
      </w:r>
      <w:r w:rsidR="003D6A01">
        <w:t>:</w:t>
      </w:r>
    </w:p>
    <w:p w14:paraId="12DC2D5F" w14:textId="0C376387" w:rsidR="007745E5" w:rsidRPr="00135346" w:rsidRDefault="007745E5" w:rsidP="002229ED">
      <w:pPr>
        <w:pStyle w:val="Bullet"/>
        <w:spacing w:after="220"/>
      </w:pPr>
      <w:r w:rsidRPr="00135346">
        <w:t>the $1.</w:t>
      </w:r>
      <w:r w:rsidR="00A43019" w:rsidRPr="00135346">
        <w:t>6</w:t>
      </w:r>
      <w:r w:rsidRPr="00135346">
        <w:t xml:space="preserve"> billion proposed takeover of Australian </w:t>
      </w:r>
      <w:r w:rsidR="00C24613" w:rsidRPr="00135346">
        <w:t>medical device company</w:t>
      </w:r>
      <w:r w:rsidRPr="00135346">
        <w:t xml:space="preserve">, </w:t>
      </w:r>
      <w:proofErr w:type="spellStart"/>
      <w:r w:rsidRPr="00135346">
        <w:t>Sirtex</w:t>
      </w:r>
      <w:proofErr w:type="spellEnd"/>
      <w:r w:rsidRPr="00135346">
        <w:t xml:space="preserve"> Medical, by </w:t>
      </w:r>
      <w:r w:rsidR="00C24613" w:rsidRPr="00135346">
        <w:t>Varian Medical Systems, a</w:t>
      </w:r>
      <w:r w:rsidRPr="00135346">
        <w:t xml:space="preserve"> United State</w:t>
      </w:r>
      <w:r w:rsidR="00C24613" w:rsidRPr="00135346">
        <w:t>s</w:t>
      </w:r>
      <w:r w:rsidRPr="00135346">
        <w:t xml:space="preserve"> </w:t>
      </w:r>
      <w:r w:rsidR="00C24613" w:rsidRPr="00135346">
        <w:t>company specialising in radiation and oncology treatments</w:t>
      </w:r>
      <w:r w:rsidRPr="00135346">
        <w:t>;</w:t>
      </w:r>
      <w:r w:rsidR="00D848C1">
        <w:t xml:space="preserve"> and</w:t>
      </w:r>
    </w:p>
    <w:p w14:paraId="62FF7C0B" w14:textId="6EDD52C9" w:rsidR="00166388" w:rsidRDefault="008658A2" w:rsidP="00166388">
      <w:pPr>
        <w:pStyle w:val="Bullet"/>
        <w:spacing w:after="220"/>
      </w:pPr>
      <w:r w:rsidRPr="00135346">
        <w:t>the</w:t>
      </w:r>
      <w:r w:rsidR="005C58A4">
        <w:t xml:space="preserve">re were competing bids for the </w:t>
      </w:r>
      <w:r w:rsidRPr="00135346">
        <w:t>acquisition of Australia’s largest diagnostic imaging provider,</w:t>
      </w:r>
      <w:r w:rsidR="005C58A4">
        <w:t xml:space="preserve"> </w:t>
      </w:r>
      <w:r w:rsidRPr="00135346">
        <w:t>I</w:t>
      </w:r>
      <w:r w:rsidR="00404BC2">
        <w:noBreakHyphen/>
      </w:r>
      <w:r w:rsidRPr="00135346">
        <w:t>MED Radiology</w:t>
      </w:r>
      <w:r w:rsidR="00404BC2">
        <w:t xml:space="preserve"> Network</w:t>
      </w:r>
      <w:r w:rsidR="005C58A4">
        <w:t xml:space="preserve">. </w:t>
      </w:r>
      <w:r w:rsidR="00E10BA2" w:rsidRPr="00135346">
        <w:t xml:space="preserve">Details of </w:t>
      </w:r>
      <w:proofErr w:type="spellStart"/>
      <w:r w:rsidR="00E10BA2" w:rsidRPr="00135346">
        <w:t>Permira’s</w:t>
      </w:r>
      <w:proofErr w:type="spellEnd"/>
      <w:r w:rsidR="00E10BA2" w:rsidRPr="00135346">
        <w:t xml:space="preserve"> </w:t>
      </w:r>
      <w:r w:rsidR="00C93EBC">
        <w:t xml:space="preserve">subsequent </w:t>
      </w:r>
      <w:r w:rsidR="00E10BA2" w:rsidRPr="00135346">
        <w:t>a</w:t>
      </w:r>
      <w:r w:rsidR="00A43019" w:rsidRPr="00135346">
        <w:t>cquisition</w:t>
      </w:r>
      <w:r w:rsidR="00F121BF" w:rsidRPr="00135346">
        <w:t xml:space="preserve"> are on page</w:t>
      </w:r>
      <w:r w:rsidR="00404BC2">
        <w:t> </w:t>
      </w:r>
      <w:r w:rsidR="00AA00A9">
        <w:t>36</w:t>
      </w:r>
      <w:r w:rsidR="00F121BF" w:rsidRPr="00135346">
        <w:t>.</w:t>
      </w:r>
      <w:r w:rsidR="00166388">
        <w:br w:type="page"/>
      </w:r>
    </w:p>
    <w:p w14:paraId="05E0BA84" w14:textId="4047D181" w:rsidR="00E83190" w:rsidRDefault="00367E4F" w:rsidP="00FE0B08">
      <w:pPr>
        <w:pStyle w:val="TableHeading"/>
      </w:pPr>
      <w:bookmarkStart w:id="718" w:name="_1548074929"/>
      <w:bookmarkStart w:id="719" w:name="_Toc529545213"/>
      <w:bookmarkStart w:id="720" w:name="_Toc529802467"/>
      <w:bookmarkStart w:id="721" w:name="_Toc529878040"/>
      <w:bookmarkStart w:id="722" w:name="_Toc529879264"/>
      <w:bookmarkStart w:id="723" w:name="_Toc529882529"/>
      <w:bookmarkStart w:id="724" w:name="_Toc529885200"/>
      <w:bookmarkStart w:id="725" w:name="_Toc529890672"/>
      <w:bookmarkStart w:id="726" w:name="_Toc529970043"/>
      <w:bookmarkStart w:id="727" w:name="_Toc529979398"/>
      <w:bookmarkStart w:id="728" w:name="_Toc530050443"/>
      <w:bookmarkStart w:id="729" w:name="_Toc530065522"/>
      <w:bookmarkStart w:id="730" w:name="_Toc530066350"/>
      <w:bookmarkStart w:id="731" w:name="_Toc530145069"/>
      <w:bookmarkStart w:id="732" w:name="_Toc530146039"/>
      <w:bookmarkStart w:id="733" w:name="_Toc530146960"/>
      <w:bookmarkStart w:id="734" w:name="_Toc530148318"/>
      <w:bookmarkStart w:id="735" w:name="_Toc530148519"/>
      <w:bookmarkStart w:id="736" w:name="_Toc530149191"/>
      <w:bookmarkStart w:id="737" w:name="_Toc530149815"/>
      <w:bookmarkStart w:id="738" w:name="_Toc530401667"/>
      <w:bookmarkStart w:id="739" w:name="_Toc530491420"/>
      <w:bookmarkStart w:id="740" w:name="_Toc530495838"/>
      <w:bookmarkStart w:id="741" w:name="_Toc530497741"/>
      <w:bookmarkStart w:id="742" w:name="_Toc530663561"/>
      <w:bookmarkStart w:id="743" w:name="_Toc530753854"/>
      <w:bookmarkStart w:id="744" w:name="_Toc530756423"/>
      <w:bookmarkStart w:id="745" w:name="_Toc530759860"/>
      <w:bookmarkStart w:id="746" w:name="_Toc532223706"/>
      <w:bookmarkStart w:id="747" w:name="_Toc532224165"/>
      <w:bookmarkStart w:id="748" w:name="_Toc532226644"/>
      <w:bookmarkStart w:id="749" w:name="_Toc536029346"/>
      <w:bookmarkStart w:id="750" w:name="_Toc1054886"/>
      <w:bookmarkEnd w:id="718"/>
      <w:r>
        <w:t>Table</w:t>
      </w:r>
      <w:r w:rsidR="00FE0B08">
        <w:t xml:space="preserve"> </w:t>
      </w:r>
      <w:r w:rsidR="00E10BA2">
        <w:t>3</w:t>
      </w:r>
      <w:r w:rsidR="00E83190" w:rsidRPr="001C2112">
        <w:t>.7:</w:t>
      </w:r>
      <w:r w:rsidR="00665F25">
        <w:t xml:space="preserve"> </w:t>
      </w:r>
      <w:r w:rsidR="00E83190" w:rsidRPr="001C2112">
        <w:t xml:space="preserve">Services sector approvals: </w:t>
      </w:r>
      <w:r w:rsidRPr="001C2112">
        <w:t>201</w:t>
      </w:r>
      <w:r>
        <w:t>4</w:t>
      </w:r>
      <w:r w:rsidR="00E83190">
        <w:t>–</w:t>
      </w:r>
      <w:r w:rsidRPr="001C2112">
        <w:t>1</w:t>
      </w:r>
      <w:r>
        <w:t>5</w:t>
      </w:r>
      <w:r w:rsidRPr="001C2112">
        <w:t xml:space="preserve"> </w:t>
      </w:r>
      <w:r w:rsidR="00E83190" w:rsidRPr="001C2112">
        <w:t xml:space="preserve">to </w:t>
      </w:r>
      <w:r w:rsidRPr="001C2112">
        <w:t>201</w:t>
      </w:r>
      <w:r>
        <w:t>7</w:t>
      </w:r>
      <w:r w:rsidR="00E83190">
        <w:t>–</w:t>
      </w:r>
      <w:r w:rsidRPr="001C2112">
        <w:t>1</w:t>
      </w:r>
      <w:r>
        <w:t>8</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05E0BA85" w14:textId="3EC146A1" w:rsidR="00E83190" w:rsidRPr="001C2112" w:rsidRDefault="00CA6C4B" w:rsidP="00EB0856">
      <w:pPr>
        <w:pStyle w:val="TableGraphic"/>
      </w:pPr>
      <w:r>
        <w:object w:dxaOrig="7719" w:dyaOrig="3195" w14:anchorId="3C95BA29">
          <v:shape id="_x0000_i1032" type="#_x0000_t75" alt="Table shows the number and total value of service sector approvals during a financial year for the four financial years ending in 2017-18 and categorises these by group.&#10;The groups are accommodation food and beverage, arts and recreation, communications, construction, health, property and business services, trade, transport, and other. &#10;Property and business services and Health experienced the largest increase in value of approvals from 2016-17 to 2017-18. Construction experienced the largest decline by both value and number of approvals from a peak in 2016-17 to decline to 14 approvals for $1.3 billion in 2017-18." style="width:385.95pt;height:159.75pt" o:ole="">
            <v:imagedata r:id="rId73" o:title=""/>
          </v:shape>
          <o:OLEObject Type="Link" ProgID="Excel.Sheet.12" ShapeID="_x0000_i1032" DrawAspect="Content" r:id="rId74" UpdateMode="Always">
            <o:LinkType>EnhancedMetaFile</o:LinkType>
            <o:LockedField>false</o:LockedField>
          </o:OLEObject>
        </w:object>
      </w:r>
    </w:p>
    <w:p w14:paraId="05E0BA86" w14:textId="77777777" w:rsidR="00E83190" w:rsidRDefault="00E83190" w:rsidP="00397941">
      <w:pPr>
        <w:pStyle w:val="ChartandTableFootnoteAlpha"/>
        <w:numPr>
          <w:ilvl w:val="0"/>
          <w:numId w:val="25"/>
        </w:numPr>
      </w:pPr>
      <w:r w:rsidRPr="00135346">
        <w:t>Comprises: accommodation; food and beverage services.</w:t>
      </w:r>
    </w:p>
    <w:p w14:paraId="641375D5" w14:textId="266B6676" w:rsidR="001A5AB1" w:rsidRDefault="00A57F1E" w:rsidP="001A59C3">
      <w:pPr>
        <w:pStyle w:val="ChartandTableFootnoteAlpha"/>
        <w:ind w:left="284" w:hanging="284"/>
      </w:pPr>
      <w:r>
        <w:t xml:space="preserve">Comprises: </w:t>
      </w:r>
      <w:r w:rsidR="0046199D">
        <w:t>h</w:t>
      </w:r>
      <w:r>
        <w:t>eritage activities</w:t>
      </w:r>
      <w:r w:rsidR="00C136B5">
        <w:t xml:space="preserve">; </w:t>
      </w:r>
      <w:r>
        <w:t>creative and performing arts</w:t>
      </w:r>
      <w:r w:rsidR="00C136B5">
        <w:t xml:space="preserve">; </w:t>
      </w:r>
      <w:r>
        <w:t>sports and recreation and gambling.</w:t>
      </w:r>
    </w:p>
    <w:p w14:paraId="05E0BA87" w14:textId="01468853" w:rsidR="00E83190" w:rsidRPr="00135346" w:rsidRDefault="00E83190" w:rsidP="001A59C3">
      <w:pPr>
        <w:pStyle w:val="ChartandTableFootnoteAlpha"/>
        <w:ind w:left="284" w:hanging="284"/>
      </w:pPr>
      <w:r w:rsidRPr="00135346">
        <w:t>Comprises: publishing (including internet); motion picture and sound recording activities; broadcasting (including internet); and telecommunication services (including internet).</w:t>
      </w:r>
    </w:p>
    <w:p w14:paraId="05E0BA88" w14:textId="77777777" w:rsidR="00E83190" w:rsidRPr="00135346" w:rsidRDefault="00E83190" w:rsidP="001A59C3">
      <w:pPr>
        <w:pStyle w:val="ChartandTableFootnoteAlpha"/>
        <w:ind w:left="284" w:hanging="284"/>
      </w:pPr>
      <w:r w:rsidRPr="00135346">
        <w:t>Comprises: building construction; heavy and civil engineering construction and services to construction.</w:t>
      </w:r>
    </w:p>
    <w:p w14:paraId="05E0BA89" w14:textId="77777777" w:rsidR="00E83190" w:rsidRPr="00135346" w:rsidRDefault="00E83190" w:rsidP="001A59C3">
      <w:pPr>
        <w:pStyle w:val="ChartandTableFootnoteAlpha"/>
        <w:ind w:left="284" w:hanging="284"/>
      </w:pPr>
      <w:r w:rsidRPr="00135346">
        <w:t>Comprises: hospitals; medical and other health care services; residential and social assistance services.</w:t>
      </w:r>
    </w:p>
    <w:p w14:paraId="05E0BA8A" w14:textId="77777777" w:rsidR="00E83190" w:rsidRPr="00135346" w:rsidRDefault="00E83190" w:rsidP="001A59C3">
      <w:pPr>
        <w:pStyle w:val="ChartandTableFootnoteAlpha"/>
        <w:ind w:left="284" w:hanging="284"/>
      </w:pPr>
      <w:r w:rsidRPr="00135346">
        <w:t>Comprises: property and real estate operators; professional, scientific and technical services; computer system design services; and administrative services.</w:t>
      </w:r>
    </w:p>
    <w:p w14:paraId="05E0BA8B" w14:textId="12D4E5D6" w:rsidR="00E83190" w:rsidRPr="00135346" w:rsidRDefault="00E83190" w:rsidP="001A59C3">
      <w:pPr>
        <w:pStyle w:val="ChartandTableFootnoteAlpha"/>
        <w:ind w:left="284" w:hanging="284"/>
      </w:pPr>
      <w:r w:rsidRPr="00135346">
        <w:t>Comprises: wholesaling of basic material, machinery and equipment, grocery, liquor and tobacco products; and retailing of fuel, food and other store based retailing.</w:t>
      </w:r>
    </w:p>
    <w:p w14:paraId="05E0BA8C" w14:textId="77777777" w:rsidR="00E83190" w:rsidRPr="00135346" w:rsidRDefault="00E83190" w:rsidP="001A59C3">
      <w:pPr>
        <w:pStyle w:val="ChartandTableFootnoteAlpha"/>
        <w:ind w:left="284" w:hanging="284"/>
      </w:pPr>
      <w:r w:rsidRPr="00135346">
        <w:t>Comprises: road, rail, water, air and space, postal and courier (pickup and delivery), warehousing and storage; and transport support services.</w:t>
      </w:r>
    </w:p>
    <w:p w14:paraId="05E0BA8D" w14:textId="77777777" w:rsidR="00E83190" w:rsidRPr="00135346" w:rsidRDefault="00E83190" w:rsidP="00BD62F3">
      <w:pPr>
        <w:pStyle w:val="ChartandTableFootnoteAlpha"/>
        <w:ind w:left="284" w:hanging="284"/>
      </w:pPr>
      <w:r w:rsidRPr="00135346">
        <w:t>Comprises: repair and maintenance; public administration; defence; and education related services.</w:t>
      </w:r>
    </w:p>
    <w:p w14:paraId="6E8972F8" w14:textId="70121EE1" w:rsidR="00307D00" w:rsidRDefault="00E83190" w:rsidP="00135346">
      <w:pPr>
        <w:pStyle w:val="ChartorTableNote"/>
        <w:tabs>
          <w:tab w:val="left" w:pos="567"/>
        </w:tabs>
        <w:ind w:left="567" w:hanging="567"/>
      </w:pPr>
      <w:r w:rsidRPr="002A2C33">
        <w:t>Note</w:t>
      </w:r>
      <w:r w:rsidR="00FF214E">
        <w:t>s</w:t>
      </w:r>
      <w:r w:rsidRPr="002A2C33">
        <w:t>:</w:t>
      </w:r>
      <w:r w:rsidRPr="002A2C33">
        <w:tab/>
      </w:r>
      <w:r w:rsidR="00307D00">
        <w:t xml:space="preserve">Time series includes amended data from earlier publication reflecting </w:t>
      </w:r>
      <w:r w:rsidR="000C5CDF">
        <w:t xml:space="preserve">a </w:t>
      </w:r>
      <w:r w:rsidR="00307D00">
        <w:t xml:space="preserve">methodology change and that </w:t>
      </w:r>
      <w:r w:rsidR="00C93EBC">
        <w:t>a</w:t>
      </w:r>
      <w:r w:rsidR="00307D00">
        <w:t xml:space="preserve">rts and recreation services, which was previously </w:t>
      </w:r>
      <w:r w:rsidR="00475E18">
        <w:t xml:space="preserve">separately </w:t>
      </w:r>
      <w:r w:rsidR="00307D00">
        <w:t xml:space="preserve">reported as </w:t>
      </w:r>
      <w:r w:rsidR="00832E8E">
        <w:t>t</w:t>
      </w:r>
      <w:r w:rsidR="00307D00">
        <w:t xml:space="preserve">ourism, has been included in this table as of </w:t>
      </w:r>
      <w:r w:rsidR="00792814">
        <w:t>this report</w:t>
      </w:r>
      <w:r w:rsidR="000C5CDF">
        <w:t xml:space="preserve"> so </w:t>
      </w:r>
      <w:r w:rsidR="00832E8E">
        <w:t xml:space="preserve">there </w:t>
      </w:r>
      <w:r w:rsidR="000C5CDF">
        <w:t xml:space="preserve">is </w:t>
      </w:r>
      <w:r w:rsidR="00832E8E">
        <w:t>greater</w:t>
      </w:r>
      <w:r w:rsidR="000C5CDF">
        <w:t xml:space="preserve"> </w:t>
      </w:r>
      <w:r w:rsidR="00832E8E">
        <w:t xml:space="preserve">alignment </w:t>
      </w:r>
      <w:r w:rsidR="000C5CDF">
        <w:t xml:space="preserve">with the Australian and </w:t>
      </w:r>
      <w:r w:rsidR="000B4CB0">
        <w:t>New </w:t>
      </w:r>
      <w:r w:rsidR="000C5CDF">
        <w:t>Zealand Standard Industria</w:t>
      </w:r>
      <w:r w:rsidR="00A57F1E">
        <w:t>l Classification (ANZSIC</w:t>
      </w:r>
      <w:r w:rsidR="00E47DBF">
        <w:t>,</w:t>
      </w:r>
      <w:r w:rsidR="00A57F1E">
        <w:t xml:space="preserve"> 2006)</w:t>
      </w:r>
      <w:r w:rsidR="00307D00">
        <w:t>.</w:t>
      </w:r>
    </w:p>
    <w:p w14:paraId="5852CF9E" w14:textId="0E482FB5" w:rsidR="00FF214E" w:rsidRDefault="00307D00" w:rsidP="00135346">
      <w:pPr>
        <w:pStyle w:val="ChartorTableNote"/>
        <w:tabs>
          <w:tab w:val="left" w:pos="567"/>
        </w:tabs>
        <w:ind w:left="567" w:hanging="567"/>
      </w:pPr>
      <w:r>
        <w:tab/>
      </w:r>
      <w:r w:rsidR="00E83190" w:rsidRPr="002A2C33">
        <w:t>Totals may not add due to rounding.</w:t>
      </w:r>
      <w:bookmarkStart w:id="751" w:name="_Ref348507478"/>
    </w:p>
    <w:p w14:paraId="05E0BA8E" w14:textId="673C45A9" w:rsidR="00E83190" w:rsidRDefault="00FF214E" w:rsidP="00135346">
      <w:pPr>
        <w:pStyle w:val="ChartorTableNote"/>
        <w:tabs>
          <w:tab w:val="left" w:pos="567"/>
        </w:tabs>
        <w:ind w:left="567" w:hanging="567"/>
      </w:pPr>
      <w:r>
        <w:tab/>
      </w:r>
      <w:r w:rsidR="00E83190" w:rsidRPr="002A2C33">
        <w:t>Excludes corporate reorganisations</w:t>
      </w:r>
      <w:r w:rsidR="00CD1E0E">
        <w:t xml:space="preserve"> and new businesses</w:t>
      </w:r>
      <w:r w:rsidR="00E83190" w:rsidRPr="002A2C33">
        <w:t>.</w:t>
      </w:r>
    </w:p>
    <w:p w14:paraId="63378DC2" w14:textId="7E53D7E9" w:rsidR="007963C4" w:rsidRDefault="00FF214E" w:rsidP="00AF5EA5">
      <w:pPr>
        <w:pStyle w:val="ChartorTableNote"/>
        <w:tabs>
          <w:tab w:val="left" w:pos="567"/>
        </w:tabs>
        <w:ind w:left="567" w:hanging="567"/>
      </w:pPr>
      <w:r>
        <w:tab/>
        <w:t xml:space="preserve">Data for </w:t>
      </w:r>
      <w:r w:rsidRPr="004A3335">
        <w:t>2015</w:t>
      </w:r>
      <w:r>
        <w:t>–</w:t>
      </w:r>
      <w:r w:rsidRPr="004A3335">
        <w:t xml:space="preserve">16 </w:t>
      </w:r>
      <w:r>
        <w:t xml:space="preserve">onwards was </w:t>
      </w:r>
      <w:r w:rsidRPr="004A3335">
        <w:t>impacted by the 1</w:t>
      </w:r>
      <w:r>
        <w:t> </w:t>
      </w:r>
      <w:r w:rsidRPr="004A3335">
        <w:t>December 2015 reforms</w:t>
      </w:r>
      <w:r>
        <w:t>. Data from 2017</w:t>
      </w:r>
      <w:r>
        <w:noBreakHyphen/>
        <w:t>18 was impacted by the reforms announced in the 2017</w:t>
      </w:r>
      <w:r>
        <w:noBreakHyphen/>
        <w:t>18 Budget, which were given effect on 1 July 2017. The</w:t>
      </w:r>
      <w:r w:rsidR="00CB6510">
        <w:t>s</w:t>
      </w:r>
      <w:r>
        <w:t xml:space="preserve">e reforms </w:t>
      </w:r>
      <w:r w:rsidRPr="004A3335">
        <w:t>may affect data comparability</w:t>
      </w:r>
      <w:r w:rsidR="00221663">
        <w:t xml:space="preserve"> across time</w:t>
      </w:r>
      <w:r w:rsidRPr="004A3335">
        <w:t>.</w:t>
      </w:r>
      <w:bookmarkEnd w:id="751"/>
      <w:r w:rsidR="007963C4">
        <w:br w:type="page"/>
      </w:r>
    </w:p>
    <w:tbl>
      <w:tblPr>
        <w:tblW w:w="0" w:type="auto"/>
        <w:tblLook w:val="04A0" w:firstRow="1" w:lastRow="0" w:firstColumn="1" w:lastColumn="0" w:noHBand="0" w:noVBand="1"/>
      </w:tblPr>
      <w:tblGrid>
        <w:gridCol w:w="7927"/>
      </w:tblGrid>
      <w:tr w:rsidR="007963C4" w14:paraId="4886DADB" w14:textId="77777777" w:rsidTr="007963C4">
        <w:tc>
          <w:tcPr>
            <w:tcW w:w="7927" w:type="dxa"/>
          </w:tcPr>
          <w:bookmarkStart w:id="752" w:name="_Toc1054873"/>
          <w:p w14:paraId="0B5ED8C4" w14:textId="03D32AC4" w:rsidR="007963C4" w:rsidRPr="005A683F" w:rsidRDefault="007963C4" w:rsidP="007963C4">
            <w:pPr>
              <w:pStyle w:val="CaseStudyHeading"/>
            </w:pPr>
            <w:r w:rsidRPr="00503AF6">
              <w:rPr>
                <w:noProof/>
                <w:sz w:val="2"/>
                <w:szCs w:val="2"/>
              </w:rPr>
              <mc:AlternateContent>
                <mc:Choice Requires="wps">
                  <w:drawing>
                    <wp:anchor distT="0" distB="0" distL="114300" distR="114300" simplePos="0" relativeHeight="251658251" behindDoc="1" locked="0" layoutInCell="1" allowOverlap="1" wp14:anchorId="13722F8A" wp14:editId="2DA6C888">
                      <wp:simplePos x="0" y="0"/>
                      <wp:positionH relativeFrom="column">
                        <wp:posOffset>-67973</wp:posOffset>
                      </wp:positionH>
                      <wp:positionV relativeFrom="paragraph">
                        <wp:posOffset>8448</wp:posOffset>
                      </wp:positionV>
                      <wp:extent cx="5029200" cy="5804452"/>
                      <wp:effectExtent l="0" t="0" r="0" b="6350"/>
                      <wp:wrapNone/>
                      <wp:docPr id="24" name="Rounded Rectangle 292"/>
                      <wp:cNvGraphicFramePr/>
                      <a:graphic xmlns:a="http://schemas.openxmlformats.org/drawingml/2006/main">
                        <a:graphicData uri="http://schemas.microsoft.com/office/word/2010/wordprocessingShape">
                          <wps:wsp>
                            <wps:cNvSpPr/>
                            <wps:spPr>
                              <a:xfrm>
                                <a:off x="0" y="0"/>
                                <a:ext cx="5029200" cy="5804452"/>
                              </a:xfrm>
                              <a:custGeom>
                                <a:avLst/>
                                <a:gdLst>
                                  <a:gd name="connsiteX0" fmla="*/ 0 w 1345565"/>
                                  <a:gd name="connsiteY0" fmla="*/ 250141 h 1492250"/>
                                  <a:gd name="connsiteX1" fmla="*/ 250141 w 1345565"/>
                                  <a:gd name="connsiteY1" fmla="*/ 0 h 1492250"/>
                                  <a:gd name="connsiteX2" fmla="*/ 1095424 w 1345565"/>
                                  <a:gd name="connsiteY2" fmla="*/ 0 h 1492250"/>
                                  <a:gd name="connsiteX3" fmla="*/ 1345565 w 1345565"/>
                                  <a:gd name="connsiteY3" fmla="*/ 250141 h 1492250"/>
                                  <a:gd name="connsiteX4" fmla="*/ 1345565 w 1345565"/>
                                  <a:gd name="connsiteY4" fmla="*/ 1242109 h 1492250"/>
                                  <a:gd name="connsiteX5" fmla="*/ 1095424 w 1345565"/>
                                  <a:gd name="connsiteY5" fmla="*/ 1492250 h 1492250"/>
                                  <a:gd name="connsiteX6" fmla="*/ 250141 w 1345565"/>
                                  <a:gd name="connsiteY6" fmla="*/ 1492250 h 1492250"/>
                                  <a:gd name="connsiteX7" fmla="*/ 0 w 1345565"/>
                                  <a:gd name="connsiteY7" fmla="*/ 1242109 h 1492250"/>
                                  <a:gd name="connsiteX8" fmla="*/ 0 w 1345565"/>
                                  <a:gd name="connsiteY8" fmla="*/ 250141 h 1492250"/>
                                  <a:gd name="connsiteX0" fmla="*/ 0 w 1345565"/>
                                  <a:gd name="connsiteY0" fmla="*/ 250141 h 1553649"/>
                                  <a:gd name="connsiteX1" fmla="*/ 250141 w 1345565"/>
                                  <a:gd name="connsiteY1" fmla="*/ 0 h 1553649"/>
                                  <a:gd name="connsiteX2" fmla="*/ 1095424 w 1345565"/>
                                  <a:gd name="connsiteY2" fmla="*/ 0 h 1553649"/>
                                  <a:gd name="connsiteX3" fmla="*/ 1345565 w 1345565"/>
                                  <a:gd name="connsiteY3" fmla="*/ 250141 h 1553649"/>
                                  <a:gd name="connsiteX4" fmla="*/ 1345565 w 1345565"/>
                                  <a:gd name="connsiteY4" fmla="*/ 1242109 h 1553649"/>
                                  <a:gd name="connsiteX5" fmla="*/ 1095424 w 1345565"/>
                                  <a:gd name="connsiteY5" fmla="*/ 1492250 h 1553649"/>
                                  <a:gd name="connsiteX6" fmla="*/ 250141 w 1345565"/>
                                  <a:gd name="connsiteY6" fmla="*/ 1492250 h 1553649"/>
                                  <a:gd name="connsiteX7" fmla="*/ 0 w 1345565"/>
                                  <a:gd name="connsiteY7" fmla="*/ 1492250 h 1553649"/>
                                  <a:gd name="connsiteX8" fmla="*/ 0 w 1345565"/>
                                  <a:gd name="connsiteY8" fmla="*/ 250141 h 1553649"/>
                                  <a:gd name="connsiteX0" fmla="*/ 61399 w 1406964"/>
                                  <a:gd name="connsiteY0" fmla="*/ 250141 h 1553759"/>
                                  <a:gd name="connsiteX1" fmla="*/ 311540 w 1406964"/>
                                  <a:gd name="connsiteY1" fmla="*/ 0 h 1553759"/>
                                  <a:gd name="connsiteX2" fmla="*/ 1156823 w 1406964"/>
                                  <a:gd name="connsiteY2" fmla="*/ 0 h 1553759"/>
                                  <a:gd name="connsiteX3" fmla="*/ 1406964 w 1406964"/>
                                  <a:gd name="connsiteY3" fmla="*/ 250141 h 1553759"/>
                                  <a:gd name="connsiteX4" fmla="*/ 1406964 w 1406964"/>
                                  <a:gd name="connsiteY4" fmla="*/ 1242109 h 1553759"/>
                                  <a:gd name="connsiteX5" fmla="*/ 1156823 w 1406964"/>
                                  <a:gd name="connsiteY5" fmla="*/ 1492250 h 1553759"/>
                                  <a:gd name="connsiteX6" fmla="*/ 61399 w 1406964"/>
                                  <a:gd name="connsiteY6" fmla="*/ 1492672 h 1553759"/>
                                  <a:gd name="connsiteX7" fmla="*/ 61399 w 1406964"/>
                                  <a:gd name="connsiteY7" fmla="*/ 1492250 h 1553759"/>
                                  <a:gd name="connsiteX8" fmla="*/ 61399 w 1406964"/>
                                  <a:gd name="connsiteY8" fmla="*/ 250141 h 1553759"/>
                                  <a:gd name="connsiteX0" fmla="*/ 498 w 1346063"/>
                                  <a:gd name="connsiteY0" fmla="*/ 250141 h 1553216"/>
                                  <a:gd name="connsiteX1" fmla="*/ 250639 w 1346063"/>
                                  <a:gd name="connsiteY1" fmla="*/ 0 h 1553216"/>
                                  <a:gd name="connsiteX2" fmla="*/ 1095922 w 1346063"/>
                                  <a:gd name="connsiteY2" fmla="*/ 0 h 1553216"/>
                                  <a:gd name="connsiteX3" fmla="*/ 1346063 w 1346063"/>
                                  <a:gd name="connsiteY3" fmla="*/ 250141 h 1553216"/>
                                  <a:gd name="connsiteX4" fmla="*/ 1346063 w 1346063"/>
                                  <a:gd name="connsiteY4" fmla="*/ 1242109 h 1553216"/>
                                  <a:gd name="connsiteX5" fmla="*/ 1095922 w 1346063"/>
                                  <a:gd name="connsiteY5" fmla="*/ 1492250 h 1553216"/>
                                  <a:gd name="connsiteX6" fmla="*/ 498 w 1346063"/>
                                  <a:gd name="connsiteY6" fmla="*/ 1492672 h 1553216"/>
                                  <a:gd name="connsiteX7" fmla="*/ 498 w 1346063"/>
                                  <a:gd name="connsiteY7" fmla="*/ 1492250 h 1553216"/>
                                  <a:gd name="connsiteX8" fmla="*/ 498 w 1346063"/>
                                  <a:gd name="connsiteY8" fmla="*/ 250141 h 1553216"/>
                                  <a:gd name="connsiteX0" fmla="*/ 200 w 1345765"/>
                                  <a:gd name="connsiteY0" fmla="*/ 250141 h 1492672"/>
                                  <a:gd name="connsiteX1" fmla="*/ 250341 w 1345765"/>
                                  <a:gd name="connsiteY1" fmla="*/ 0 h 1492672"/>
                                  <a:gd name="connsiteX2" fmla="*/ 1095624 w 1345765"/>
                                  <a:gd name="connsiteY2" fmla="*/ 0 h 1492672"/>
                                  <a:gd name="connsiteX3" fmla="*/ 1345765 w 1345765"/>
                                  <a:gd name="connsiteY3" fmla="*/ 250141 h 1492672"/>
                                  <a:gd name="connsiteX4" fmla="*/ 1345765 w 1345765"/>
                                  <a:gd name="connsiteY4" fmla="*/ 1242109 h 1492672"/>
                                  <a:gd name="connsiteX5" fmla="*/ 1095624 w 1345765"/>
                                  <a:gd name="connsiteY5" fmla="*/ 1492250 h 1492672"/>
                                  <a:gd name="connsiteX6" fmla="*/ 200 w 1345765"/>
                                  <a:gd name="connsiteY6" fmla="*/ 1492672 h 1492672"/>
                                  <a:gd name="connsiteX7" fmla="*/ 200 w 1345765"/>
                                  <a:gd name="connsiteY7" fmla="*/ 1492250 h 1492672"/>
                                  <a:gd name="connsiteX8" fmla="*/ 200 w 1345765"/>
                                  <a:gd name="connsiteY8" fmla="*/ 250141 h 1492672"/>
                                  <a:gd name="connsiteX0" fmla="*/ 200 w 1407164"/>
                                  <a:gd name="connsiteY0" fmla="*/ 250141 h 1492672"/>
                                  <a:gd name="connsiteX1" fmla="*/ 250341 w 1407164"/>
                                  <a:gd name="connsiteY1" fmla="*/ 0 h 1492672"/>
                                  <a:gd name="connsiteX2" fmla="*/ 1095624 w 1407164"/>
                                  <a:gd name="connsiteY2" fmla="*/ 0 h 1492672"/>
                                  <a:gd name="connsiteX3" fmla="*/ 1345765 w 1407164"/>
                                  <a:gd name="connsiteY3" fmla="*/ 250141 h 1492672"/>
                                  <a:gd name="connsiteX4" fmla="*/ 1345765 w 1407164"/>
                                  <a:gd name="connsiteY4" fmla="*/ 1242109 h 1492672"/>
                                  <a:gd name="connsiteX5" fmla="*/ 1345765 w 1407164"/>
                                  <a:gd name="connsiteY5" fmla="*/ 1492672 h 1492672"/>
                                  <a:gd name="connsiteX6" fmla="*/ 200 w 1407164"/>
                                  <a:gd name="connsiteY6" fmla="*/ 1492672 h 1492672"/>
                                  <a:gd name="connsiteX7" fmla="*/ 200 w 1407164"/>
                                  <a:gd name="connsiteY7" fmla="*/ 1492250 h 1492672"/>
                                  <a:gd name="connsiteX8" fmla="*/ 200 w 1407164"/>
                                  <a:gd name="connsiteY8" fmla="*/ 250141 h 1492672"/>
                                  <a:gd name="connsiteX0" fmla="*/ 200 w 1407947"/>
                                  <a:gd name="connsiteY0" fmla="*/ 250141 h 1554071"/>
                                  <a:gd name="connsiteX1" fmla="*/ 250341 w 1407947"/>
                                  <a:gd name="connsiteY1" fmla="*/ 0 h 1554071"/>
                                  <a:gd name="connsiteX2" fmla="*/ 1095624 w 1407947"/>
                                  <a:gd name="connsiteY2" fmla="*/ 0 h 1554071"/>
                                  <a:gd name="connsiteX3" fmla="*/ 1345765 w 1407947"/>
                                  <a:gd name="connsiteY3" fmla="*/ 250141 h 1554071"/>
                                  <a:gd name="connsiteX4" fmla="*/ 1348747 w 1407947"/>
                                  <a:gd name="connsiteY4" fmla="*/ 1492672 h 1554071"/>
                                  <a:gd name="connsiteX5" fmla="*/ 1345765 w 1407947"/>
                                  <a:gd name="connsiteY5" fmla="*/ 1492672 h 1554071"/>
                                  <a:gd name="connsiteX6" fmla="*/ 200 w 1407947"/>
                                  <a:gd name="connsiteY6" fmla="*/ 1492672 h 1554071"/>
                                  <a:gd name="connsiteX7" fmla="*/ 200 w 1407947"/>
                                  <a:gd name="connsiteY7" fmla="*/ 1492250 h 1554071"/>
                                  <a:gd name="connsiteX8" fmla="*/ 200 w 1407947"/>
                                  <a:gd name="connsiteY8" fmla="*/ 250141 h 1554071"/>
                                  <a:gd name="connsiteX0" fmla="*/ 200 w 1406648"/>
                                  <a:gd name="connsiteY0" fmla="*/ 250141 h 1493274"/>
                                  <a:gd name="connsiteX1" fmla="*/ 250341 w 1406648"/>
                                  <a:gd name="connsiteY1" fmla="*/ 0 h 1493274"/>
                                  <a:gd name="connsiteX2" fmla="*/ 1095624 w 1406648"/>
                                  <a:gd name="connsiteY2" fmla="*/ 0 h 1493274"/>
                                  <a:gd name="connsiteX3" fmla="*/ 1345765 w 1406648"/>
                                  <a:gd name="connsiteY3" fmla="*/ 250141 h 1493274"/>
                                  <a:gd name="connsiteX4" fmla="*/ 1348747 w 1406648"/>
                                  <a:gd name="connsiteY4" fmla="*/ 1492672 h 1493274"/>
                                  <a:gd name="connsiteX5" fmla="*/ 1345765 w 1406648"/>
                                  <a:gd name="connsiteY5" fmla="*/ 1492672 h 1493274"/>
                                  <a:gd name="connsiteX6" fmla="*/ 200 w 1406648"/>
                                  <a:gd name="connsiteY6" fmla="*/ 1492672 h 1493274"/>
                                  <a:gd name="connsiteX7" fmla="*/ 200 w 1406648"/>
                                  <a:gd name="connsiteY7" fmla="*/ 1492250 h 1493274"/>
                                  <a:gd name="connsiteX8" fmla="*/ 200 w 1406648"/>
                                  <a:gd name="connsiteY8" fmla="*/ 250141 h 1493274"/>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0 w 1348747"/>
                                  <a:gd name="connsiteY0" fmla="*/ 165456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65456 h 1493370"/>
                                  <a:gd name="connsiteX0" fmla="*/ 0 w 1348747"/>
                                  <a:gd name="connsiteY0" fmla="*/ 191920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0 w 1348747"/>
                                  <a:gd name="connsiteY8" fmla="*/ 119398 h 1494831"/>
                                  <a:gd name="connsiteX0" fmla="*/ 0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0 w 1348747"/>
                                  <a:gd name="connsiteY8" fmla="*/ 119398 h 1494831"/>
                                  <a:gd name="connsiteX0" fmla="*/ 23507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23507 w 1348747"/>
                                  <a:gd name="connsiteY8" fmla="*/ 119398 h 1494831"/>
                                  <a:gd name="connsiteX0" fmla="*/ 0 w 1348747"/>
                                  <a:gd name="connsiteY0" fmla="*/ 117360 h 1495238"/>
                                  <a:gd name="connsiteX1" fmla="*/ 156313 w 1348747"/>
                                  <a:gd name="connsiteY1" fmla="*/ 1868 h 1495238"/>
                                  <a:gd name="connsiteX2" fmla="*/ 1235646 w 1348747"/>
                                  <a:gd name="connsiteY2" fmla="*/ 1868 h 1495238"/>
                                  <a:gd name="connsiteX3" fmla="*/ 1348747 w 1348747"/>
                                  <a:gd name="connsiteY3" fmla="*/ 119665 h 1495238"/>
                                  <a:gd name="connsiteX4" fmla="*/ 1348747 w 1348747"/>
                                  <a:gd name="connsiteY4" fmla="*/ 1494540 h 1495238"/>
                                  <a:gd name="connsiteX5" fmla="*/ 1345765 w 1348747"/>
                                  <a:gd name="connsiteY5" fmla="*/ 1494540 h 1495238"/>
                                  <a:gd name="connsiteX6" fmla="*/ 200 w 1348747"/>
                                  <a:gd name="connsiteY6" fmla="*/ 1494540 h 1495238"/>
                                  <a:gd name="connsiteX7" fmla="*/ 200 w 1348747"/>
                                  <a:gd name="connsiteY7" fmla="*/ 1494118 h 1495238"/>
                                  <a:gd name="connsiteX8" fmla="*/ 0 w 1348747"/>
                                  <a:gd name="connsiteY8" fmla="*/ 117360 h 1495238"/>
                                  <a:gd name="connsiteX0" fmla="*/ 0 w 1348747"/>
                                  <a:gd name="connsiteY0" fmla="*/ 118912 h 1496790"/>
                                  <a:gd name="connsiteX1" fmla="*/ 105025 w 1348747"/>
                                  <a:gd name="connsiteY1" fmla="*/ 1552 h 1496790"/>
                                  <a:gd name="connsiteX2" fmla="*/ 1235646 w 1348747"/>
                                  <a:gd name="connsiteY2" fmla="*/ 3420 h 1496790"/>
                                  <a:gd name="connsiteX3" fmla="*/ 1348747 w 1348747"/>
                                  <a:gd name="connsiteY3" fmla="*/ 121217 h 1496790"/>
                                  <a:gd name="connsiteX4" fmla="*/ 1348747 w 1348747"/>
                                  <a:gd name="connsiteY4" fmla="*/ 1496092 h 1496790"/>
                                  <a:gd name="connsiteX5" fmla="*/ 1345765 w 1348747"/>
                                  <a:gd name="connsiteY5" fmla="*/ 1496092 h 1496790"/>
                                  <a:gd name="connsiteX6" fmla="*/ 200 w 1348747"/>
                                  <a:gd name="connsiteY6" fmla="*/ 1496092 h 1496790"/>
                                  <a:gd name="connsiteX7" fmla="*/ 200 w 1348747"/>
                                  <a:gd name="connsiteY7" fmla="*/ 1495670 h 1496790"/>
                                  <a:gd name="connsiteX8" fmla="*/ 0 w 1348747"/>
                                  <a:gd name="connsiteY8" fmla="*/ 118912 h 1496790"/>
                                  <a:gd name="connsiteX0" fmla="*/ 0 w 1348747"/>
                                  <a:gd name="connsiteY0" fmla="*/ 121872 h 1499750"/>
                                  <a:gd name="connsiteX1" fmla="*/ 105025 w 1348747"/>
                                  <a:gd name="connsiteY1" fmla="*/ 4512 h 1499750"/>
                                  <a:gd name="connsiteX2" fmla="*/ 1235646 w 1348747"/>
                                  <a:gd name="connsiteY2" fmla="*/ 6380 h 1499750"/>
                                  <a:gd name="connsiteX3" fmla="*/ 1348747 w 1348747"/>
                                  <a:gd name="connsiteY3" fmla="*/ 124177 h 1499750"/>
                                  <a:gd name="connsiteX4" fmla="*/ 1348747 w 1348747"/>
                                  <a:gd name="connsiteY4" fmla="*/ 1499052 h 1499750"/>
                                  <a:gd name="connsiteX5" fmla="*/ 1345765 w 1348747"/>
                                  <a:gd name="connsiteY5" fmla="*/ 1499052 h 1499750"/>
                                  <a:gd name="connsiteX6" fmla="*/ 200 w 1348747"/>
                                  <a:gd name="connsiteY6" fmla="*/ 1499052 h 1499750"/>
                                  <a:gd name="connsiteX7" fmla="*/ 200 w 1348747"/>
                                  <a:gd name="connsiteY7" fmla="*/ 1498630 h 1499750"/>
                                  <a:gd name="connsiteX8" fmla="*/ 0 w 1348747"/>
                                  <a:gd name="connsiteY8" fmla="*/ 121872 h 1499750"/>
                                  <a:gd name="connsiteX0" fmla="*/ 0 w 1348747"/>
                                  <a:gd name="connsiteY0" fmla="*/ 118913 h 1496791"/>
                                  <a:gd name="connsiteX1" fmla="*/ 105025 w 1348747"/>
                                  <a:gd name="connsiteY1" fmla="*/ 1553 h 1496791"/>
                                  <a:gd name="connsiteX2" fmla="*/ 1235646 w 1348747"/>
                                  <a:gd name="connsiteY2" fmla="*/ 3421 h 1496791"/>
                                  <a:gd name="connsiteX3" fmla="*/ 1348747 w 1348747"/>
                                  <a:gd name="connsiteY3" fmla="*/ 121218 h 1496791"/>
                                  <a:gd name="connsiteX4" fmla="*/ 1348747 w 1348747"/>
                                  <a:gd name="connsiteY4" fmla="*/ 1496093 h 1496791"/>
                                  <a:gd name="connsiteX5" fmla="*/ 1345765 w 1348747"/>
                                  <a:gd name="connsiteY5" fmla="*/ 1496093 h 1496791"/>
                                  <a:gd name="connsiteX6" fmla="*/ 200 w 1348747"/>
                                  <a:gd name="connsiteY6" fmla="*/ 1496093 h 1496791"/>
                                  <a:gd name="connsiteX7" fmla="*/ 200 w 1348747"/>
                                  <a:gd name="connsiteY7" fmla="*/ 1495671 h 1496791"/>
                                  <a:gd name="connsiteX8" fmla="*/ 0 w 1348747"/>
                                  <a:gd name="connsiteY8" fmla="*/ 118913 h 1496791"/>
                                  <a:gd name="connsiteX0" fmla="*/ 0 w 1348747"/>
                                  <a:gd name="connsiteY0" fmla="*/ 118913 h 1496791"/>
                                  <a:gd name="connsiteX1" fmla="*/ 105025 w 1348747"/>
                                  <a:gd name="connsiteY1" fmla="*/ 1553 h 1496791"/>
                                  <a:gd name="connsiteX2" fmla="*/ 1235646 w 1348747"/>
                                  <a:gd name="connsiteY2" fmla="*/ 3421 h 1496791"/>
                                  <a:gd name="connsiteX3" fmla="*/ 1348747 w 1348747"/>
                                  <a:gd name="connsiteY3" fmla="*/ 121218 h 1496791"/>
                                  <a:gd name="connsiteX4" fmla="*/ 1348747 w 1348747"/>
                                  <a:gd name="connsiteY4" fmla="*/ 1496093 h 1496791"/>
                                  <a:gd name="connsiteX5" fmla="*/ 1345765 w 1348747"/>
                                  <a:gd name="connsiteY5" fmla="*/ 1496093 h 1496791"/>
                                  <a:gd name="connsiteX6" fmla="*/ 200 w 1348747"/>
                                  <a:gd name="connsiteY6" fmla="*/ 1496093 h 1496791"/>
                                  <a:gd name="connsiteX7" fmla="*/ 200 w 1348747"/>
                                  <a:gd name="connsiteY7" fmla="*/ 1495671 h 1496791"/>
                                  <a:gd name="connsiteX8" fmla="*/ 0 w 1348747"/>
                                  <a:gd name="connsiteY8" fmla="*/ 118913 h 1496791"/>
                                  <a:gd name="connsiteX0" fmla="*/ 0 w 1348747"/>
                                  <a:gd name="connsiteY0" fmla="*/ 117360 h 1495238"/>
                                  <a:gd name="connsiteX1" fmla="*/ 105025 w 1348747"/>
                                  <a:gd name="connsiteY1" fmla="*/ 0 h 1495238"/>
                                  <a:gd name="connsiteX2" fmla="*/ 1235646 w 1348747"/>
                                  <a:gd name="connsiteY2" fmla="*/ 1868 h 1495238"/>
                                  <a:gd name="connsiteX3" fmla="*/ 1348747 w 1348747"/>
                                  <a:gd name="connsiteY3" fmla="*/ 119665 h 1495238"/>
                                  <a:gd name="connsiteX4" fmla="*/ 1348747 w 1348747"/>
                                  <a:gd name="connsiteY4" fmla="*/ 1494540 h 1495238"/>
                                  <a:gd name="connsiteX5" fmla="*/ 1345765 w 1348747"/>
                                  <a:gd name="connsiteY5" fmla="*/ 1494540 h 1495238"/>
                                  <a:gd name="connsiteX6" fmla="*/ 200 w 1348747"/>
                                  <a:gd name="connsiteY6" fmla="*/ 1494540 h 1495238"/>
                                  <a:gd name="connsiteX7" fmla="*/ 200 w 1348747"/>
                                  <a:gd name="connsiteY7" fmla="*/ 1494118 h 1495238"/>
                                  <a:gd name="connsiteX8" fmla="*/ 0 w 1348747"/>
                                  <a:gd name="connsiteY8" fmla="*/ 117360 h 1495238"/>
                                  <a:gd name="connsiteX0" fmla="*/ 7538 w 1348747"/>
                                  <a:gd name="connsiteY0" fmla="*/ 111354 h 1495270"/>
                                  <a:gd name="connsiteX1" fmla="*/ 105025 w 1348747"/>
                                  <a:gd name="connsiteY1" fmla="*/ 32 h 1495270"/>
                                  <a:gd name="connsiteX2" fmla="*/ 1235646 w 1348747"/>
                                  <a:gd name="connsiteY2" fmla="*/ 1900 h 1495270"/>
                                  <a:gd name="connsiteX3" fmla="*/ 1348747 w 1348747"/>
                                  <a:gd name="connsiteY3" fmla="*/ 119697 h 1495270"/>
                                  <a:gd name="connsiteX4" fmla="*/ 1348747 w 1348747"/>
                                  <a:gd name="connsiteY4" fmla="*/ 1494572 h 1495270"/>
                                  <a:gd name="connsiteX5" fmla="*/ 1345765 w 1348747"/>
                                  <a:gd name="connsiteY5" fmla="*/ 1494572 h 1495270"/>
                                  <a:gd name="connsiteX6" fmla="*/ 200 w 1348747"/>
                                  <a:gd name="connsiteY6" fmla="*/ 1494572 h 1495270"/>
                                  <a:gd name="connsiteX7" fmla="*/ 200 w 1348747"/>
                                  <a:gd name="connsiteY7" fmla="*/ 1494150 h 1495270"/>
                                  <a:gd name="connsiteX8" fmla="*/ 7538 w 1348747"/>
                                  <a:gd name="connsiteY8" fmla="*/ 111354 h 1495270"/>
                                  <a:gd name="connsiteX0" fmla="*/ 0 w 1348747"/>
                                  <a:gd name="connsiteY0" fmla="*/ 114774 h 1495240"/>
                                  <a:gd name="connsiteX1" fmla="*/ 105025 w 1348747"/>
                                  <a:gd name="connsiteY1" fmla="*/ 2 h 1495240"/>
                                  <a:gd name="connsiteX2" fmla="*/ 1235646 w 1348747"/>
                                  <a:gd name="connsiteY2" fmla="*/ 1870 h 1495240"/>
                                  <a:gd name="connsiteX3" fmla="*/ 1348747 w 1348747"/>
                                  <a:gd name="connsiteY3" fmla="*/ 119667 h 1495240"/>
                                  <a:gd name="connsiteX4" fmla="*/ 1348747 w 1348747"/>
                                  <a:gd name="connsiteY4" fmla="*/ 1494542 h 1495240"/>
                                  <a:gd name="connsiteX5" fmla="*/ 1345765 w 1348747"/>
                                  <a:gd name="connsiteY5" fmla="*/ 1494542 h 1495240"/>
                                  <a:gd name="connsiteX6" fmla="*/ 200 w 1348747"/>
                                  <a:gd name="connsiteY6" fmla="*/ 1494542 h 1495240"/>
                                  <a:gd name="connsiteX7" fmla="*/ 200 w 1348747"/>
                                  <a:gd name="connsiteY7" fmla="*/ 1494120 h 1495240"/>
                                  <a:gd name="connsiteX8" fmla="*/ 0 w 1348747"/>
                                  <a:gd name="connsiteY8" fmla="*/ 114774 h 1495240"/>
                                  <a:gd name="connsiteX0" fmla="*/ 5146 w 1353893"/>
                                  <a:gd name="connsiteY0" fmla="*/ 114772 h 1495238"/>
                                  <a:gd name="connsiteX1" fmla="*/ 110171 w 1353893"/>
                                  <a:gd name="connsiteY1" fmla="*/ 0 h 1495238"/>
                                  <a:gd name="connsiteX2" fmla="*/ 1240792 w 1353893"/>
                                  <a:gd name="connsiteY2" fmla="*/ 1868 h 1495238"/>
                                  <a:gd name="connsiteX3" fmla="*/ 1353893 w 1353893"/>
                                  <a:gd name="connsiteY3" fmla="*/ 119665 h 1495238"/>
                                  <a:gd name="connsiteX4" fmla="*/ 1353893 w 1353893"/>
                                  <a:gd name="connsiteY4" fmla="*/ 1494540 h 1495238"/>
                                  <a:gd name="connsiteX5" fmla="*/ 1350911 w 1353893"/>
                                  <a:gd name="connsiteY5" fmla="*/ 1494540 h 1495238"/>
                                  <a:gd name="connsiteX6" fmla="*/ 5346 w 1353893"/>
                                  <a:gd name="connsiteY6" fmla="*/ 1494540 h 1495238"/>
                                  <a:gd name="connsiteX7" fmla="*/ 5346 w 1353893"/>
                                  <a:gd name="connsiteY7" fmla="*/ 1494118 h 1495238"/>
                                  <a:gd name="connsiteX8" fmla="*/ 5146 w 1353893"/>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184 w 1348931"/>
                                  <a:gd name="connsiteY0" fmla="*/ 114772 h 1495238"/>
                                  <a:gd name="connsiteX1" fmla="*/ 105209 w 1348931"/>
                                  <a:gd name="connsiteY1" fmla="*/ 0 h 1495238"/>
                                  <a:gd name="connsiteX2" fmla="*/ 1235830 w 1348931"/>
                                  <a:gd name="connsiteY2" fmla="*/ 1868 h 1495238"/>
                                  <a:gd name="connsiteX3" fmla="*/ 1348931 w 1348931"/>
                                  <a:gd name="connsiteY3" fmla="*/ 119665 h 1495238"/>
                                  <a:gd name="connsiteX4" fmla="*/ 1348931 w 1348931"/>
                                  <a:gd name="connsiteY4" fmla="*/ 1494540 h 1495238"/>
                                  <a:gd name="connsiteX5" fmla="*/ 1345949 w 1348931"/>
                                  <a:gd name="connsiteY5" fmla="*/ 1494540 h 1495238"/>
                                  <a:gd name="connsiteX6" fmla="*/ 384 w 1348931"/>
                                  <a:gd name="connsiteY6" fmla="*/ 1494540 h 1495238"/>
                                  <a:gd name="connsiteX7" fmla="*/ 384 w 1348931"/>
                                  <a:gd name="connsiteY7" fmla="*/ 1494118 h 1495238"/>
                                  <a:gd name="connsiteX8" fmla="*/ 184 w 1348931"/>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0780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0780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0780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0780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8756" h="1495238">
                                    <a:moveTo>
                                      <a:pt x="9" y="114772"/>
                                    </a:moveTo>
                                    <a:cubicBezTo>
                                      <a:pt x="-614" y="45795"/>
                                      <a:pt x="34518" y="1675"/>
                                      <a:pt x="105034" y="0"/>
                                    </a:cubicBezTo>
                                    <a:lnTo>
                                      <a:pt x="1235655" y="0"/>
                                    </a:lnTo>
                                    <a:cubicBezTo>
                                      <a:pt x="1348863" y="106766"/>
                                      <a:pt x="1236002" y="-371"/>
                                      <a:pt x="1348756" y="107808"/>
                                    </a:cubicBezTo>
                                    <a:lnTo>
                                      <a:pt x="1348756" y="1494540"/>
                                    </a:lnTo>
                                    <a:cubicBezTo>
                                      <a:pt x="1342944" y="1495895"/>
                                      <a:pt x="1344051" y="1494929"/>
                                      <a:pt x="1345774" y="1494540"/>
                                    </a:cubicBezTo>
                                    <a:lnTo>
                                      <a:pt x="209" y="1494540"/>
                                    </a:lnTo>
                                    <a:cubicBezTo>
                                      <a:pt x="-910" y="1492088"/>
                                      <a:pt x="3188" y="1495262"/>
                                      <a:pt x="209" y="1494118"/>
                                    </a:cubicBezTo>
                                    <a:cubicBezTo>
                                      <a:pt x="142" y="1051853"/>
                                      <a:pt x="76" y="557037"/>
                                      <a:pt x="9" y="114772"/>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le 292" o:spid="_x0000_s1026" style="position:absolute;margin-left:-5.35pt;margin-top:.65pt;width:396pt;height:457.0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56,14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" path="m9,114772c-614,45795,34518,1675,105034,l1235655,v113208,106766,347,-371,113101,107808l1348756,1494540v-5812,1355,-4705,389,-2982,l209,1494540v-1119,-2452,2979,722,,-422c142,1051853,76,557037,9,114772xe" fillcolor="#a32035 [3204]" stroked="f" strokeweight="2pt">
                      <v:path arrowok="t" o:connecttype="custom" o:connectlocs="34,445540;391648,0;4607472,0;5029200,418506;5029200,5801742;5018081,5801742;779,5801742;779,5800104;34,445540" o:connectangles="0,0,0,0,0,0,0,0,0"/>
                    </v:shape>
                  </w:pict>
                </mc:Fallback>
              </mc:AlternateContent>
            </w:r>
            <w:r w:rsidRPr="00135346">
              <w:t>I-MED Radiology</w:t>
            </w:r>
            <w:r>
              <w:t xml:space="preserve"> Network </w:t>
            </w:r>
            <w:r w:rsidR="00C368FE">
              <w:t>case study</w:t>
            </w:r>
            <w:bookmarkEnd w:id="752"/>
          </w:p>
          <w:p w14:paraId="50AE8775" w14:textId="5F7E03B2" w:rsidR="007963C4" w:rsidRPr="00135346" w:rsidRDefault="007963C4" w:rsidP="007963C4">
            <w:pPr>
              <w:pStyle w:val="CaseStudyText"/>
            </w:pPr>
            <w:r w:rsidRPr="00135346">
              <w:t xml:space="preserve">In 2018 </w:t>
            </w:r>
            <w:r w:rsidR="00D848C1">
              <w:t xml:space="preserve">the </w:t>
            </w:r>
            <w:r w:rsidR="00520E3F">
              <w:t>Board</w:t>
            </w:r>
            <w:r w:rsidRPr="00135346">
              <w:t xml:space="preserve"> reviewed the acquisition of Australia’s largest diagnostic imaging provider, I-MED Radiology</w:t>
            </w:r>
            <w:r>
              <w:t xml:space="preserve"> Network</w:t>
            </w:r>
            <w:r w:rsidRPr="00135346">
              <w:t xml:space="preserve">, by the European private equity firm </w:t>
            </w:r>
            <w:proofErr w:type="spellStart"/>
            <w:r w:rsidRPr="00135346">
              <w:t>Permira</w:t>
            </w:r>
            <w:proofErr w:type="spellEnd"/>
            <w:r w:rsidRPr="00135346">
              <w:t xml:space="preserve"> for $1.25</w:t>
            </w:r>
            <w:r>
              <w:t> </w:t>
            </w:r>
            <w:r w:rsidRPr="00135346">
              <w:t>billion. I-MED’s business included 200 clinics with about 20 per cent of the $3.6</w:t>
            </w:r>
            <w:r>
              <w:t> </w:t>
            </w:r>
            <w:r w:rsidRPr="00135346">
              <w:t>billion a year diagnostic imaging market in Australia.</w:t>
            </w:r>
          </w:p>
          <w:p w14:paraId="528F6C71" w14:textId="1198DFE5" w:rsidR="007963C4" w:rsidRPr="00135346" w:rsidRDefault="007963C4" w:rsidP="007963C4">
            <w:pPr>
              <w:pStyle w:val="CaseStudyText"/>
            </w:pPr>
            <w:proofErr w:type="spellStart"/>
            <w:r w:rsidRPr="00135346">
              <w:t>Permira’s</w:t>
            </w:r>
            <w:proofErr w:type="spellEnd"/>
            <w:r w:rsidRPr="00135346">
              <w:t xml:space="preserve"> acquisition of I-MED provided opportunities for further consolidation, increased capital for investment in advanced technologies and the potential for international expansion. </w:t>
            </w:r>
            <w:proofErr w:type="spellStart"/>
            <w:r w:rsidRPr="00135346">
              <w:t>Permira’s</w:t>
            </w:r>
            <w:proofErr w:type="spellEnd"/>
            <w:r w:rsidRPr="00135346">
              <w:t xml:space="preserve"> intentions are to grow the business and drive operational efficiencies, which would lower overhead costs and reduce fees for consumers. I-MED has subsequently acquired Western Australia’s third largest radiology business </w:t>
            </w:r>
            <w:proofErr w:type="spellStart"/>
            <w:r w:rsidRPr="00135346">
              <w:t>InSight</w:t>
            </w:r>
            <w:proofErr w:type="spellEnd"/>
            <w:r w:rsidRPr="00135346">
              <w:t xml:space="preserve"> Clinical Imaging.</w:t>
            </w:r>
          </w:p>
          <w:p w14:paraId="63401C31" w14:textId="5272F465" w:rsidR="007963C4" w:rsidRPr="00135346" w:rsidRDefault="007963C4" w:rsidP="007963C4">
            <w:pPr>
              <w:pStyle w:val="CaseStudyText"/>
            </w:pPr>
            <w:r w:rsidRPr="00135346">
              <w:t xml:space="preserve">An increasingly important aspect of </w:t>
            </w:r>
            <w:r w:rsidR="00520E3F">
              <w:t>the Board</w:t>
            </w:r>
            <w:r w:rsidRPr="00135346">
              <w:t xml:space="preserve">’s assessment is that of safeguarding Australians’ personal data. Conditions related to access of personal </w:t>
            </w:r>
            <w:r w:rsidR="005E1397">
              <w:t xml:space="preserve">health </w:t>
            </w:r>
            <w:r w:rsidRPr="00135346">
              <w:t xml:space="preserve">data and where that data is stored are </w:t>
            </w:r>
            <w:r>
              <w:t>considered for</w:t>
            </w:r>
            <w:r w:rsidRPr="00135346">
              <w:t xml:space="preserve"> acquisitions in the health sector.</w:t>
            </w:r>
          </w:p>
          <w:p w14:paraId="1FC0F515" w14:textId="43042327" w:rsidR="007963C4" w:rsidRDefault="007963C4" w:rsidP="007963C4">
            <w:pPr>
              <w:pStyle w:val="ChartGraphic"/>
            </w:pPr>
            <w:r w:rsidRPr="00135346">
              <w:rPr>
                <w:noProof/>
              </w:rPr>
              <w:drawing>
                <wp:inline distT="0" distB="0" distL="0" distR="0" wp14:anchorId="10C56723" wp14:editId="779A487A">
                  <wp:extent cx="4558949" cy="2894275"/>
                  <wp:effectExtent l="19050" t="19050" r="1333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4762"/>
                          <a:stretch/>
                        </pic:blipFill>
                        <pic:spPr bwMode="auto">
                          <a:xfrm>
                            <a:off x="0" y="0"/>
                            <a:ext cx="4561941" cy="2896174"/>
                          </a:xfrm>
                          <a:prstGeom prst="rect">
                            <a:avLst/>
                          </a:prstGeom>
                          <a:noFill/>
                          <a:ln w="6350">
                            <a:solidFill>
                              <a:schemeClr val="bg1"/>
                            </a:solidFill>
                          </a:ln>
                          <a:extLst>
                            <a:ext uri="{53640926-AAD7-44D8-BBD7-CCE9431645EC}">
                              <a14:shadowObscured xmlns:a14="http://schemas.microsoft.com/office/drawing/2010/main"/>
                            </a:ext>
                          </a:extLst>
                        </pic:spPr>
                      </pic:pic>
                    </a:graphicData>
                  </a:graphic>
                </wp:inline>
              </w:drawing>
            </w:r>
          </w:p>
        </w:tc>
      </w:tr>
    </w:tbl>
    <w:p w14:paraId="7A666829" w14:textId="77777777" w:rsidR="007963C4" w:rsidRPr="004423F4" w:rsidRDefault="007963C4" w:rsidP="004423F4"/>
    <w:p w14:paraId="44A2DAB0" w14:textId="01B73112" w:rsidR="00135346" w:rsidRPr="007963C4" w:rsidRDefault="00135346" w:rsidP="007963C4">
      <w:r w:rsidRPr="007963C4">
        <w:br w:type="page"/>
      </w:r>
    </w:p>
    <w:p w14:paraId="05E0BA90" w14:textId="774A8AAE" w:rsidR="00E83190" w:rsidRPr="004F599C" w:rsidRDefault="00E83190" w:rsidP="003754B3">
      <w:pPr>
        <w:pStyle w:val="Heading3"/>
        <w:spacing w:before="120"/>
      </w:pPr>
      <w:r w:rsidRPr="004F599C">
        <w:t>Commercial real estate</w:t>
      </w:r>
    </w:p>
    <w:p w14:paraId="05E0BA91" w14:textId="388F6A4E" w:rsidR="00E83190" w:rsidRPr="004160D6" w:rsidRDefault="00E83190" w:rsidP="00E83190">
      <w:pPr>
        <w:rPr>
          <w:color w:val="auto"/>
          <w:szCs w:val="24"/>
        </w:rPr>
      </w:pPr>
      <w:r w:rsidRPr="004160D6">
        <w:rPr>
          <w:noProof/>
          <w:color w:val="auto"/>
          <w:szCs w:val="24"/>
        </w:rPr>
        <mc:AlternateContent>
          <mc:Choice Requires="wpc">
            <w:drawing>
              <wp:anchor distT="0" distB="0" distL="114300" distR="114300" simplePos="0" relativeHeight="251658246" behindDoc="1" locked="0" layoutInCell="1" allowOverlap="1" wp14:anchorId="05E0BAF9" wp14:editId="43875B5A">
                <wp:simplePos x="0" y="0"/>
                <wp:positionH relativeFrom="margin">
                  <wp:align>left</wp:align>
                </wp:positionH>
                <wp:positionV relativeFrom="paragraph">
                  <wp:posOffset>107315</wp:posOffset>
                </wp:positionV>
                <wp:extent cx="969645" cy="946150"/>
                <wp:effectExtent l="0" t="0" r="1905" b="6350"/>
                <wp:wrapSquare wrapText="bothSides"/>
                <wp:docPr id="57" name="Canvas 57"/>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55" name="Oval 55"/>
                        <wps:cNvSpPr>
                          <a:spLocks noChangeAspect="1"/>
                        </wps:cNvSpPr>
                        <wps:spPr>
                          <a:xfrm>
                            <a:off x="37255" y="0"/>
                            <a:ext cx="900000" cy="900000"/>
                          </a:xfrm>
                          <a:prstGeom prst="ellipse">
                            <a:avLst/>
                          </a:prstGeom>
                          <a:solidFill>
                            <a:srgbClr val="A32035"/>
                          </a:solidFill>
                          <a:ln w="25400" cap="flat" cmpd="sng" algn="ctr">
                            <a:solidFill>
                              <a:srgbClr val="E0627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26108" y="140811"/>
                            <a:ext cx="936000" cy="638417"/>
                          </a:xfrm>
                          <a:prstGeom prst="rect">
                            <a:avLst/>
                          </a:prstGeom>
                          <a:noFill/>
                          <a:ln w="6350">
                            <a:noFill/>
                          </a:ln>
                          <a:effectLst/>
                        </wps:spPr>
                        <wps:txbx>
                          <w:txbxContent>
                            <w:p w14:paraId="05E0BB2D" w14:textId="3E47CCB7" w:rsidR="00E56859" w:rsidRPr="002C2D66" w:rsidRDefault="00E56859" w:rsidP="00E83190">
                              <w:pPr>
                                <w:spacing w:after="0"/>
                                <w:jc w:val="center"/>
                                <w:rPr>
                                  <w:b/>
                                  <w:color w:val="FFFFFF" w:themeColor="background1"/>
                                  <w:sz w:val="23"/>
                                </w:rPr>
                              </w:pPr>
                              <w:r w:rsidRPr="002C2D66">
                                <w:rPr>
                                  <w:b/>
                                  <w:color w:val="FFFFFF" w:themeColor="background1"/>
                                  <w:sz w:val="23"/>
                                </w:rPr>
                                <w:t>$</w:t>
                              </w:r>
                              <w:r>
                                <w:rPr>
                                  <w:b/>
                                  <w:color w:val="FFFFFF" w:themeColor="background1"/>
                                  <w:sz w:val="23"/>
                                </w:rPr>
                                <w:t>39.5</w:t>
                              </w:r>
                              <w:r w:rsidRPr="002C2D66">
                                <w:rPr>
                                  <w:b/>
                                  <w:color w:val="FFFFFF" w:themeColor="background1"/>
                                  <w:sz w:val="23"/>
                                </w:rPr>
                                <w:t>b</w:t>
                              </w:r>
                            </w:p>
                            <w:p w14:paraId="05E0BB2E" w14:textId="77777777" w:rsidR="00E56859" w:rsidRPr="002C2D66" w:rsidRDefault="00E56859" w:rsidP="00E83190">
                              <w:pPr>
                                <w:spacing w:after="0"/>
                                <w:jc w:val="center"/>
                                <w:rPr>
                                  <w:b/>
                                  <w:color w:val="FFFFFF" w:themeColor="background1"/>
                                  <w:sz w:val="23"/>
                                </w:rPr>
                              </w:pPr>
                              <w:r w:rsidRPr="002C2D66">
                                <w:rPr>
                                  <w:b/>
                                  <w:color w:val="FFFFFF" w:themeColor="background1"/>
                                  <w:sz w:val="23"/>
                                </w:rPr>
                                <w:t>approved</w:t>
                              </w:r>
                            </w:p>
                            <w:p w14:paraId="05E0BB2F" w14:textId="77777777" w:rsidR="00E56859" w:rsidRPr="002C2D66" w:rsidRDefault="00E56859" w:rsidP="00E83190">
                              <w:pPr>
                                <w:jc w:val="center"/>
                                <w:rPr>
                                  <w:sz w:val="23"/>
                                </w:rPr>
                              </w:pPr>
                              <w:r w:rsidRPr="002C2D66">
                                <w:rPr>
                                  <w:b/>
                                  <w:color w:val="FFFFFF" w:themeColor="background1"/>
                                  <w:sz w:val="23"/>
                                </w:rPr>
                                <w:t>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57" o:spid="_x0000_s1047" editas="canvas" style="position:absolute;left:0;text-align:left;margin-left:0;margin-top:8.45pt;width:76.35pt;height:74.5pt;z-index:-251658234;mso-position-horizontal:left;mso-position-horizontal-relative:margin" coordsize="9696,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">
                <v:shape id="_x0000_s1048" type="#_x0000_t75" style="position:absolute;width:9696;height:9461;visibility:visible;mso-wrap-style:square">
                  <v:fill o:detectmouseclick="t"/>
                  <v:path o:connecttype="none"/>
                </v:shape>
                <v:oval id="Oval 55" o:spid="_x0000_s1049" style="position:absolute;left:372;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FQMMA&#10;AADbAAAADwAAAGRycy9kb3ducmV2LnhtbESPQWvCQBSE74L/YXlCb7qxEimpm6CC0vZmFNrjI/ua&#10;Dc2+DdltTP59t1DocZiZb5hdMdpWDNT7xrGC9SoBQVw53XCt4HY9LZ9A+ICssXVMCibyUOTz2Q4z&#10;7e58oaEMtYgQ9hkqMCF0mZS+MmTRr1xHHL1P11sMUfa11D3eI9y28jFJttJiw3HBYEdHQ9VX+W0V&#10;DGZj3vUUDuXtjeT1NbUf0+ms1MNi3D+DCDSG//Bf+0UrSFP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gFQMMAAADbAAAADwAAAAAAAAAAAAAAAACYAgAAZHJzL2Rv&#10;d25yZXYueG1sUEsFBgAAAAAEAAQA9QAAAIgDAAAAAA==&#10;" fillcolor="#a32035" strokecolor="#e06277" strokeweight="2pt">
                  <v:path arrowok="t"/>
                  <o:lock v:ext="edit" aspectratio="t"/>
                </v:oval>
                <v:shape id="Text Box 56" o:spid="_x0000_s1050" type="#_x0000_t202" style="position:absolute;left:261;top:1408;width:9360;height:6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05E0BB2D" w14:textId="3E47CCB7" w:rsidR="00E56859" w:rsidRPr="002C2D66" w:rsidRDefault="00E56859" w:rsidP="00E83190">
                        <w:pPr>
                          <w:spacing w:after="0"/>
                          <w:jc w:val="center"/>
                          <w:rPr>
                            <w:b/>
                            <w:color w:val="FFFFFF" w:themeColor="background1"/>
                            <w:sz w:val="23"/>
                          </w:rPr>
                        </w:pPr>
                        <w:r w:rsidRPr="002C2D66">
                          <w:rPr>
                            <w:b/>
                            <w:color w:val="FFFFFF" w:themeColor="background1"/>
                            <w:sz w:val="23"/>
                          </w:rPr>
                          <w:t>$</w:t>
                        </w:r>
                        <w:r>
                          <w:rPr>
                            <w:b/>
                            <w:color w:val="FFFFFF" w:themeColor="background1"/>
                            <w:sz w:val="23"/>
                          </w:rPr>
                          <w:t>39.5</w:t>
                        </w:r>
                        <w:r w:rsidRPr="002C2D66">
                          <w:rPr>
                            <w:b/>
                            <w:color w:val="FFFFFF" w:themeColor="background1"/>
                            <w:sz w:val="23"/>
                          </w:rPr>
                          <w:t>b</w:t>
                        </w:r>
                      </w:p>
                      <w:p w14:paraId="05E0BB2E" w14:textId="77777777" w:rsidR="00E56859" w:rsidRPr="002C2D66" w:rsidRDefault="00E56859" w:rsidP="00E83190">
                        <w:pPr>
                          <w:spacing w:after="0"/>
                          <w:jc w:val="center"/>
                          <w:rPr>
                            <w:b/>
                            <w:color w:val="FFFFFF" w:themeColor="background1"/>
                            <w:sz w:val="23"/>
                          </w:rPr>
                        </w:pPr>
                        <w:r w:rsidRPr="002C2D66">
                          <w:rPr>
                            <w:b/>
                            <w:color w:val="FFFFFF" w:themeColor="background1"/>
                            <w:sz w:val="23"/>
                          </w:rPr>
                          <w:t>approved</w:t>
                        </w:r>
                      </w:p>
                      <w:p w14:paraId="05E0BB2F" w14:textId="77777777" w:rsidR="00E56859" w:rsidRPr="002C2D66" w:rsidRDefault="00E56859" w:rsidP="00E83190">
                        <w:pPr>
                          <w:jc w:val="center"/>
                          <w:rPr>
                            <w:sz w:val="23"/>
                          </w:rPr>
                        </w:pPr>
                        <w:r w:rsidRPr="002C2D66">
                          <w:rPr>
                            <w:b/>
                            <w:color w:val="FFFFFF" w:themeColor="background1"/>
                            <w:sz w:val="23"/>
                          </w:rPr>
                          <w:t>investment</w:t>
                        </w:r>
                      </w:p>
                    </w:txbxContent>
                  </v:textbox>
                </v:shape>
                <w10:wrap type="square" anchorx="margin"/>
              </v:group>
            </w:pict>
          </mc:Fallback>
        </mc:AlternateContent>
      </w:r>
      <w:r w:rsidRPr="004160D6">
        <w:rPr>
          <w:color w:val="auto"/>
          <w:szCs w:val="24"/>
        </w:rPr>
        <w:t xml:space="preserve">In </w:t>
      </w:r>
      <w:r w:rsidR="00043E0B" w:rsidRPr="004160D6">
        <w:rPr>
          <w:color w:val="auto"/>
          <w:szCs w:val="24"/>
        </w:rPr>
        <w:t>201</w:t>
      </w:r>
      <w:r w:rsidR="00043E0B">
        <w:rPr>
          <w:color w:val="auto"/>
          <w:szCs w:val="24"/>
        </w:rPr>
        <w:t>7</w:t>
      </w:r>
      <w:r>
        <w:rPr>
          <w:color w:val="auto"/>
          <w:szCs w:val="24"/>
        </w:rPr>
        <w:t>–</w:t>
      </w:r>
      <w:r w:rsidR="00043E0B" w:rsidRPr="004160D6">
        <w:rPr>
          <w:color w:val="auto"/>
          <w:szCs w:val="24"/>
        </w:rPr>
        <w:t>1</w:t>
      </w:r>
      <w:r w:rsidR="00043E0B">
        <w:rPr>
          <w:color w:val="auto"/>
          <w:szCs w:val="24"/>
        </w:rPr>
        <w:t>8</w:t>
      </w:r>
      <w:r w:rsidR="00F94EB8">
        <w:rPr>
          <w:color w:val="auto"/>
          <w:szCs w:val="24"/>
        </w:rPr>
        <w:t>,</w:t>
      </w:r>
      <w:r w:rsidR="00043E0B" w:rsidRPr="004160D6">
        <w:rPr>
          <w:color w:val="auto"/>
          <w:szCs w:val="24"/>
        </w:rPr>
        <w:t xml:space="preserve"> </w:t>
      </w:r>
      <w:r w:rsidR="002D52D5">
        <w:rPr>
          <w:color w:val="auto"/>
          <w:szCs w:val="24"/>
        </w:rPr>
        <w:t>there were</w:t>
      </w:r>
      <w:r>
        <w:rPr>
          <w:color w:val="auto"/>
          <w:szCs w:val="24"/>
        </w:rPr>
        <w:t xml:space="preserve"> </w:t>
      </w:r>
      <w:r w:rsidR="00F94EB8">
        <w:rPr>
          <w:color w:val="auto"/>
          <w:szCs w:val="24"/>
        </w:rPr>
        <w:t>3</w:t>
      </w:r>
      <w:r w:rsidR="007C1E7F">
        <w:rPr>
          <w:color w:val="auto"/>
          <w:szCs w:val="24"/>
        </w:rPr>
        <w:t>91</w:t>
      </w:r>
      <w:r w:rsidR="00F94EB8">
        <w:rPr>
          <w:color w:val="auto"/>
          <w:szCs w:val="24"/>
        </w:rPr>
        <w:t xml:space="preserve"> </w:t>
      </w:r>
      <w:r w:rsidR="002D52D5">
        <w:rPr>
          <w:color w:val="auto"/>
          <w:szCs w:val="24"/>
        </w:rPr>
        <w:t>approvals for</w:t>
      </w:r>
      <w:r w:rsidRPr="004160D6">
        <w:rPr>
          <w:color w:val="auto"/>
          <w:szCs w:val="24"/>
        </w:rPr>
        <w:t xml:space="preserve"> $</w:t>
      </w:r>
      <w:r w:rsidR="007C1E7F">
        <w:rPr>
          <w:color w:val="auto"/>
          <w:szCs w:val="24"/>
        </w:rPr>
        <w:t>39.5</w:t>
      </w:r>
      <w:r w:rsidR="00F94EB8">
        <w:rPr>
          <w:color w:val="auto"/>
          <w:szCs w:val="24"/>
        </w:rPr>
        <w:t xml:space="preserve"> </w:t>
      </w:r>
      <w:r w:rsidRPr="004160D6">
        <w:rPr>
          <w:color w:val="auto"/>
          <w:szCs w:val="24"/>
        </w:rPr>
        <w:t xml:space="preserve">billion </w:t>
      </w:r>
      <w:r w:rsidR="002D52D5">
        <w:rPr>
          <w:color w:val="auto"/>
          <w:szCs w:val="24"/>
        </w:rPr>
        <w:t xml:space="preserve">of proposed investment </w:t>
      </w:r>
      <w:r w:rsidRPr="004160D6">
        <w:rPr>
          <w:color w:val="auto"/>
          <w:szCs w:val="24"/>
        </w:rPr>
        <w:t>in the commercial real estate sector</w:t>
      </w:r>
      <w:r w:rsidR="007C6C5A">
        <w:rPr>
          <w:color w:val="auto"/>
          <w:szCs w:val="24"/>
        </w:rPr>
        <w:t xml:space="preserve">. This compares with 465 </w:t>
      </w:r>
      <w:r w:rsidR="002D52D5">
        <w:rPr>
          <w:color w:val="auto"/>
          <w:szCs w:val="24"/>
        </w:rPr>
        <w:t>approvals for</w:t>
      </w:r>
      <w:r w:rsidRPr="004160D6">
        <w:rPr>
          <w:color w:val="auto"/>
          <w:szCs w:val="24"/>
        </w:rPr>
        <w:t xml:space="preserve"> $</w:t>
      </w:r>
      <w:r w:rsidR="00043E0B" w:rsidRPr="004160D6">
        <w:rPr>
          <w:color w:val="auto"/>
          <w:szCs w:val="24"/>
        </w:rPr>
        <w:t>43.</w:t>
      </w:r>
      <w:r w:rsidR="00043E0B">
        <w:rPr>
          <w:color w:val="auto"/>
          <w:szCs w:val="24"/>
        </w:rPr>
        <w:t>7</w:t>
      </w:r>
      <w:r w:rsidR="007C6C5A">
        <w:rPr>
          <w:color w:val="auto"/>
          <w:szCs w:val="24"/>
        </w:rPr>
        <w:t xml:space="preserve"> </w:t>
      </w:r>
      <w:r w:rsidRPr="004160D6">
        <w:rPr>
          <w:color w:val="auto"/>
          <w:szCs w:val="24"/>
        </w:rPr>
        <w:t>billion</w:t>
      </w:r>
      <w:r w:rsidR="002D52D5">
        <w:rPr>
          <w:color w:val="auto"/>
          <w:szCs w:val="24"/>
        </w:rPr>
        <w:t xml:space="preserve"> in proposed investment</w:t>
      </w:r>
      <w:r w:rsidRPr="004160D6">
        <w:rPr>
          <w:color w:val="auto"/>
          <w:szCs w:val="24"/>
        </w:rPr>
        <w:t xml:space="preserve"> in </w:t>
      </w:r>
      <w:r w:rsidR="00043E0B" w:rsidRPr="004160D6">
        <w:rPr>
          <w:color w:val="auto"/>
          <w:szCs w:val="24"/>
        </w:rPr>
        <w:t>201</w:t>
      </w:r>
      <w:r w:rsidR="00043E0B">
        <w:rPr>
          <w:color w:val="auto"/>
          <w:szCs w:val="24"/>
        </w:rPr>
        <w:t>6</w:t>
      </w:r>
      <w:r>
        <w:rPr>
          <w:color w:val="auto"/>
          <w:szCs w:val="24"/>
        </w:rPr>
        <w:t>–</w:t>
      </w:r>
      <w:r w:rsidR="00043E0B" w:rsidRPr="004160D6">
        <w:rPr>
          <w:color w:val="auto"/>
          <w:szCs w:val="24"/>
        </w:rPr>
        <w:t>1</w:t>
      </w:r>
      <w:r w:rsidR="00043E0B">
        <w:rPr>
          <w:color w:val="auto"/>
          <w:szCs w:val="24"/>
        </w:rPr>
        <w:t>7</w:t>
      </w:r>
      <w:r w:rsidRPr="004160D6">
        <w:rPr>
          <w:color w:val="auto"/>
          <w:szCs w:val="24"/>
        </w:rPr>
        <w:t>.</w:t>
      </w:r>
    </w:p>
    <w:p w14:paraId="0121591F" w14:textId="73BE44BD" w:rsidR="001B2778" w:rsidRDefault="00E83190" w:rsidP="00E83190">
      <w:pPr>
        <w:rPr>
          <w:color w:val="auto"/>
          <w:szCs w:val="24"/>
        </w:rPr>
      </w:pPr>
      <w:r w:rsidRPr="004160D6">
        <w:rPr>
          <w:color w:val="auto"/>
          <w:szCs w:val="24"/>
        </w:rPr>
        <w:t xml:space="preserve">The </w:t>
      </w:r>
      <w:r w:rsidRPr="001B2778">
        <w:rPr>
          <w:color w:val="auto"/>
        </w:rPr>
        <w:t xml:space="preserve">decline in value was due to </w:t>
      </w:r>
      <w:r w:rsidR="001B2778">
        <w:rPr>
          <w:color w:val="auto"/>
          <w:szCs w:val="24"/>
        </w:rPr>
        <w:t>fewer</w:t>
      </w:r>
      <w:r>
        <w:rPr>
          <w:color w:val="auto"/>
        </w:rPr>
        <w:t xml:space="preserve"> </w:t>
      </w:r>
      <w:r w:rsidR="00D52FDE">
        <w:rPr>
          <w:color w:val="auto"/>
        </w:rPr>
        <w:t xml:space="preserve">existing </w:t>
      </w:r>
      <w:r>
        <w:rPr>
          <w:color w:val="auto"/>
        </w:rPr>
        <w:t>commercial property</w:t>
      </w:r>
      <w:r w:rsidR="001B2778">
        <w:rPr>
          <w:color w:val="auto"/>
          <w:szCs w:val="24"/>
        </w:rPr>
        <w:t xml:space="preserve"> </w:t>
      </w:r>
      <w:r w:rsidRPr="001B2778">
        <w:rPr>
          <w:color w:val="auto"/>
          <w:szCs w:val="24"/>
        </w:rPr>
        <w:t>approvals.</w:t>
      </w:r>
      <w:r w:rsidRPr="001B2778">
        <w:rPr>
          <w:color w:val="auto"/>
        </w:rPr>
        <w:t xml:space="preserve"> </w:t>
      </w:r>
      <w:r>
        <w:rPr>
          <w:color w:val="auto"/>
        </w:rPr>
        <w:t xml:space="preserve">This </w:t>
      </w:r>
      <w:r w:rsidR="001B2778">
        <w:rPr>
          <w:color w:val="auto"/>
          <w:szCs w:val="24"/>
        </w:rPr>
        <w:t xml:space="preserve">trend was </w:t>
      </w:r>
      <w:r w:rsidR="002B04F4">
        <w:rPr>
          <w:color w:val="auto"/>
          <w:szCs w:val="24"/>
        </w:rPr>
        <w:t xml:space="preserve">also </w:t>
      </w:r>
      <w:r w:rsidR="001B2778">
        <w:rPr>
          <w:color w:val="auto"/>
          <w:szCs w:val="24"/>
        </w:rPr>
        <w:t xml:space="preserve">observed in 2016–17. </w:t>
      </w:r>
      <w:r w:rsidR="005736CE">
        <w:rPr>
          <w:color w:val="auto"/>
        </w:rPr>
        <w:t xml:space="preserve">It may also reflect that as of 1 December 2015, exemption certificates have been able to be granted for periods longer than 12 months, which could lead to a trend of less frequent higher value exemption certificates impacting the data. </w:t>
      </w:r>
      <w:r w:rsidR="00750F75">
        <w:rPr>
          <w:color w:val="auto"/>
          <w:szCs w:val="24"/>
        </w:rPr>
        <w:t>T</w:t>
      </w:r>
      <w:r w:rsidR="001B2778">
        <w:rPr>
          <w:color w:val="auto"/>
          <w:szCs w:val="24"/>
        </w:rPr>
        <w:t xml:space="preserve">he 2017–18 data on commercial property </w:t>
      </w:r>
      <w:r w:rsidRPr="001B2778">
        <w:rPr>
          <w:color w:val="auto"/>
          <w:szCs w:val="24"/>
        </w:rPr>
        <w:t xml:space="preserve">may </w:t>
      </w:r>
      <w:r w:rsidR="00832E8E">
        <w:rPr>
          <w:color w:val="auto"/>
          <w:szCs w:val="24"/>
        </w:rPr>
        <w:t xml:space="preserve">also </w:t>
      </w:r>
      <w:r w:rsidR="001B2778">
        <w:rPr>
          <w:color w:val="auto"/>
          <w:szCs w:val="24"/>
        </w:rPr>
        <w:t>p</w:t>
      </w:r>
      <w:r w:rsidRPr="001B2778">
        <w:rPr>
          <w:color w:val="auto"/>
          <w:szCs w:val="24"/>
        </w:rPr>
        <w:t>art</w:t>
      </w:r>
      <w:r w:rsidR="001B2778">
        <w:rPr>
          <w:color w:val="auto"/>
          <w:szCs w:val="24"/>
        </w:rPr>
        <w:t>ly</w:t>
      </w:r>
      <w:r w:rsidRPr="001B2778">
        <w:rPr>
          <w:color w:val="auto"/>
          <w:szCs w:val="24"/>
        </w:rPr>
        <w:t xml:space="preserve"> re</w:t>
      </w:r>
      <w:r w:rsidR="001B2778">
        <w:rPr>
          <w:color w:val="auto"/>
          <w:szCs w:val="24"/>
        </w:rPr>
        <w:t>f</w:t>
      </w:r>
      <w:r w:rsidRPr="001B2778">
        <w:rPr>
          <w:color w:val="auto"/>
          <w:szCs w:val="24"/>
        </w:rPr>
        <w:t>lect</w:t>
      </w:r>
      <w:r w:rsidRPr="001B2778">
        <w:rPr>
          <w:color w:val="auto"/>
        </w:rPr>
        <w:t xml:space="preserve"> a higher foreign investment screening threshold for Chinese investors as a result of the China</w:t>
      </w:r>
      <w:r w:rsidRPr="001B2778">
        <w:rPr>
          <w:color w:val="auto"/>
        </w:rPr>
        <w:noBreakHyphen/>
        <w:t>Australia Free Trade Agreement (</w:t>
      </w:r>
      <w:proofErr w:type="spellStart"/>
      <w:r w:rsidRPr="001B2778">
        <w:rPr>
          <w:color w:val="auto"/>
        </w:rPr>
        <w:t>ChAFTA</w:t>
      </w:r>
      <w:proofErr w:type="spellEnd"/>
      <w:r w:rsidRPr="001B2778">
        <w:rPr>
          <w:color w:val="auto"/>
          <w:szCs w:val="24"/>
        </w:rPr>
        <w:t>)</w:t>
      </w:r>
      <w:r w:rsidR="00135346">
        <w:rPr>
          <w:color w:val="auto"/>
          <w:szCs w:val="24"/>
        </w:rPr>
        <w:t>.</w:t>
      </w:r>
    </w:p>
    <w:p w14:paraId="05E0BA92" w14:textId="41B95599" w:rsidR="00E83190" w:rsidRDefault="001B2778" w:rsidP="002229ED">
      <w:pPr>
        <w:spacing w:after="180"/>
        <w:rPr>
          <w:color w:val="auto"/>
        </w:rPr>
      </w:pPr>
      <w:proofErr w:type="spellStart"/>
      <w:r>
        <w:rPr>
          <w:color w:val="auto"/>
          <w:szCs w:val="24"/>
        </w:rPr>
        <w:t>ChAFTA</w:t>
      </w:r>
      <w:proofErr w:type="spellEnd"/>
      <w:r w:rsidR="00E83190">
        <w:rPr>
          <w:color w:val="auto"/>
        </w:rPr>
        <w:t xml:space="preserve"> </w:t>
      </w:r>
      <w:r w:rsidR="00E83190" w:rsidRPr="001B2778">
        <w:rPr>
          <w:color w:val="auto"/>
        </w:rPr>
        <w:t xml:space="preserve">came into </w:t>
      </w:r>
      <w:r>
        <w:rPr>
          <w:color w:val="auto"/>
          <w:szCs w:val="24"/>
        </w:rPr>
        <w:t>effect</w:t>
      </w:r>
      <w:r w:rsidR="00E83190">
        <w:rPr>
          <w:color w:val="auto"/>
        </w:rPr>
        <w:t xml:space="preserve"> </w:t>
      </w:r>
      <w:r w:rsidR="00E83190" w:rsidRPr="001B2778">
        <w:rPr>
          <w:color w:val="auto"/>
        </w:rPr>
        <w:t xml:space="preserve">on 20 December 2015. </w:t>
      </w:r>
      <w:r w:rsidR="00B5190D">
        <w:rPr>
          <w:color w:val="auto"/>
        </w:rPr>
        <w:t>As of this date</w:t>
      </w:r>
      <w:r w:rsidR="00E83190" w:rsidRPr="001B2778">
        <w:rPr>
          <w:color w:val="auto"/>
        </w:rPr>
        <w:t xml:space="preserve">, Chinese investors </w:t>
      </w:r>
      <w:r w:rsidR="00E72AAE">
        <w:rPr>
          <w:color w:val="auto"/>
        </w:rPr>
        <w:t xml:space="preserve">(other than foreign government investors) </w:t>
      </w:r>
      <w:r w:rsidR="00E83190" w:rsidRPr="001B2778">
        <w:rPr>
          <w:color w:val="auto"/>
        </w:rPr>
        <w:t xml:space="preserve">are only required to obtain investment approval before purchasing developed commercial property valued </w:t>
      </w:r>
      <w:r w:rsidR="00B5190D">
        <w:rPr>
          <w:color w:val="auto"/>
        </w:rPr>
        <w:t>above</w:t>
      </w:r>
      <w:r w:rsidR="00B5190D" w:rsidRPr="001B2778">
        <w:rPr>
          <w:color w:val="auto"/>
        </w:rPr>
        <w:t xml:space="preserve"> </w:t>
      </w:r>
      <w:r w:rsidR="00E83190" w:rsidRPr="001B2778">
        <w:rPr>
          <w:color w:val="auto"/>
        </w:rPr>
        <w:t xml:space="preserve">$1,094 million </w:t>
      </w:r>
      <w:r w:rsidR="00B5190D">
        <w:rPr>
          <w:color w:val="auto"/>
        </w:rPr>
        <w:t>indexed annually</w:t>
      </w:r>
      <w:r w:rsidR="00E83190" w:rsidRPr="001B2778">
        <w:rPr>
          <w:color w:val="auto"/>
        </w:rPr>
        <w:t xml:space="preserve"> (previously $252 million</w:t>
      </w:r>
      <w:r w:rsidR="002B04F4">
        <w:rPr>
          <w:color w:val="auto"/>
        </w:rPr>
        <w:t xml:space="preserve"> indexed annually</w:t>
      </w:r>
      <w:r w:rsidR="00E83190" w:rsidRPr="001B2778">
        <w:rPr>
          <w:color w:val="auto"/>
        </w:rPr>
        <w:t xml:space="preserve">). This is consistent with screening thresholds for many other </w:t>
      </w:r>
      <w:r w:rsidR="007F5A67">
        <w:rPr>
          <w:color w:val="auto"/>
        </w:rPr>
        <w:t>foreign persons</w:t>
      </w:r>
      <w:r w:rsidR="007F5A67" w:rsidRPr="001B2778">
        <w:rPr>
          <w:color w:val="auto"/>
        </w:rPr>
        <w:t xml:space="preserve"> </w:t>
      </w:r>
      <w:r w:rsidR="00E83190" w:rsidRPr="001B2778">
        <w:rPr>
          <w:color w:val="auto"/>
        </w:rPr>
        <w:t>from countries with which Australia has established free trade agreements.</w:t>
      </w:r>
    </w:p>
    <w:p w14:paraId="14A3C582" w14:textId="14D33E3A" w:rsidR="00D52FDE" w:rsidRPr="004160D6" w:rsidRDefault="00D52FDE" w:rsidP="002229ED">
      <w:pPr>
        <w:spacing w:after="180"/>
        <w:rPr>
          <w:color w:val="auto"/>
          <w:szCs w:val="24"/>
        </w:rPr>
      </w:pPr>
      <w:r>
        <w:rPr>
          <w:color w:val="auto"/>
          <w:szCs w:val="24"/>
        </w:rPr>
        <w:t>In contrast to the downward trend by value for developed commercial property, proposed investment in commercial real estate for development</w:t>
      </w:r>
      <w:r w:rsidR="002B04F4">
        <w:rPr>
          <w:color w:val="auto"/>
          <w:szCs w:val="24"/>
        </w:rPr>
        <w:t>, where no threshold applies,</w:t>
      </w:r>
      <w:r>
        <w:rPr>
          <w:color w:val="auto"/>
          <w:szCs w:val="24"/>
        </w:rPr>
        <w:t xml:space="preserve"> is trending upwards.</w:t>
      </w:r>
    </w:p>
    <w:p w14:paraId="05E0BA94" w14:textId="69FA49F3" w:rsidR="00E83190" w:rsidRPr="00DD127F" w:rsidRDefault="00043E0B" w:rsidP="00FE0B08">
      <w:pPr>
        <w:pStyle w:val="TableHeading"/>
      </w:pPr>
      <w:bookmarkStart w:id="753" w:name="_1548074931"/>
      <w:bookmarkStart w:id="754" w:name="_Toc529545214"/>
      <w:bookmarkStart w:id="755" w:name="_Toc529802468"/>
      <w:bookmarkStart w:id="756" w:name="_Toc529878041"/>
      <w:bookmarkStart w:id="757" w:name="_Toc529879265"/>
      <w:bookmarkStart w:id="758" w:name="_Toc529882530"/>
      <w:bookmarkStart w:id="759" w:name="_Toc529885201"/>
      <w:bookmarkStart w:id="760" w:name="_Toc529890673"/>
      <w:bookmarkStart w:id="761" w:name="_Toc529970044"/>
      <w:bookmarkStart w:id="762" w:name="_Toc529979399"/>
      <w:bookmarkStart w:id="763" w:name="_Toc530050444"/>
      <w:bookmarkStart w:id="764" w:name="_Toc530065523"/>
      <w:bookmarkStart w:id="765" w:name="_Toc530066351"/>
      <w:bookmarkStart w:id="766" w:name="_Toc530145070"/>
      <w:bookmarkStart w:id="767" w:name="_Toc530146040"/>
      <w:bookmarkStart w:id="768" w:name="_Toc530146961"/>
      <w:bookmarkStart w:id="769" w:name="_Toc530148319"/>
      <w:bookmarkStart w:id="770" w:name="_Toc530148520"/>
      <w:bookmarkStart w:id="771" w:name="_Toc530149192"/>
      <w:bookmarkStart w:id="772" w:name="_Toc530149816"/>
      <w:bookmarkStart w:id="773" w:name="_Toc530401668"/>
      <w:bookmarkStart w:id="774" w:name="_Toc530491421"/>
      <w:bookmarkStart w:id="775" w:name="_Toc530495839"/>
      <w:bookmarkStart w:id="776" w:name="_Toc530497742"/>
      <w:bookmarkStart w:id="777" w:name="_Toc530663562"/>
      <w:bookmarkStart w:id="778" w:name="_Toc530753855"/>
      <w:bookmarkStart w:id="779" w:name="_Toc530756424"/>
      <w:bookmarkStart w:id="780" w:name="_Toc530759861"/>
      <w:bookmarkStart w:id="781" w:name="_Toc532223707"/>
      <w:bookmarkStart w:id="782" w:name="_Toc532224166"/>
      <w:bookmarkStart w:id="783" w:name="_Toc532226645"/>
      <w:bookmarkStart w:id="784" w:name="_Toc536029347"/>
      <w:bookmarkStart w:id="785" w:name="_Toc1054887"/>
      <w:bookmarkEnd w:id="753"/>
      <w:r w:rsidRPr="00DD127F">
        <w:t>Table</w:t>
      </w:r>
      <w:r w:rsidR="00FE0B08">
        <w:t xml:space="preserve"> </w:t>
      </w:r>
      <w:r w:rsidR="00E10BA2">
        <w:t>3</w:t>
      </w:r>
      <w:r w:rsidR="00E83190" w:rsidRPr="00DD127F">
        <w:t>.8:</w:t>
      </w:r>
      <w:r w:rsidR="00665F25">
        <w:t xml:space="preserve"> </w:t>
      </w:r>
      <w:r w:rsidR="00E83190">
        <w:t>C</w:t>
      </w:r>
      <w:r w:rsidR="00E83190" w:rsidRPr="00DD127F">
        <w:t xml:space="preserve">ommercial real estate </w:t>
      </w:r>
      <w:r w:rsidR="00E83190">
        <w:t xml:space="preserve">approvals, </w:t>
      </w:r>
      <w:r w:rsidR="00E83190" w:rsidRPr="00DD127F">
        <w:t xml:space="preserve">by type: </w:t>
      </w:r>
      <w:r w:rsidRPr="00DD127F">
        <w:t>201</w:t>
      </w:r>
      <w:r>
        <w:t>4</w:t>
      </w:r>
      <w:r w:rsidR="00E83190">
        <w:t>–</w:t>
      </w:r>
      <w:r w:rsidRPr="00DD127F">
        <w:t>1</w:t>
      </w:r>
      <w:r>
        <w:t>5</w:t>
      </w:r>
      <w:r w:rsidRPr="00DD127F">
        <w:t xml:space="preserve"> </w:t>
      </w:r>
      <w:r w:rsidR="00E83190" w:rsidRPr="00DD127F">
        <w:t xml:space="preserve">to </w:t>
      </w:r>
      <w:r w:rsidRPr="00DD127F">
        <w:t>201</w:t>
      </w:r>
      <w:r>
        <w:t>7</w:t>
      </w:r>
      <w:r w:rsidR="00E83190">
        <w:t>–</w:t>
      </w:r>
      <w:r w:rsidRPr="00DD127F">
        <w:t>1</w:t>
      </w:r>
      <w:r>
        <w:t>8</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00E83190" w:rsidRPr="00DD127F">
        <w:fldChar w:fldCharType="begin"/>
      </w:r>
      <w:r w:rsidR="00E83190" w:rsidRPr="00DD127F">
        <w:instrText xml:space="preserve"> LINK </w:instrText>
      </w:r>
      <w:r w:rsidR="00E83190">
        <w:instrText xml:space="preserve">Excel.Sheet.12 http://tweb/sites/mg/fitpd/Lfirbannualrport/2016-17/Data%20Tables/Report%20tables/Table%204.8-CRE%20by%20type%20and%20number.xlsx "Final Table!R3C1:R14C15" </w:instrText>
      </w:r>
      <w:r w:rsidR="00E83190" w:rsidRPr="00DD127F">
        <w:instrText xml:space="preserve">\a \f 4 \h  \* MERGEFORMAT </w:instrText>
      </w:r>
      <w:r w:rsidR="00E83190" w:rsidRPr="00DD127F">
        <w:fldChar w:fldCharType="separate"/>
      </w:r>
    </w:p>
    <w:p w14:paraId="05E0BA95" w14:textId="36A607DF" w:rsidR="00E83190" w:rsidRPr="003077ED" w:rsidRDefault="00E83190" w:rsidP="00EB0856">
      <w:pPr>
        <w:pStyle w:val="TableGraphic"/>
      </w:pPr>
      <w:r w:rsidRPr="00DD127F">
        <w:fldChar w:fldCharType="end"/>
      </w:r>
      <w:r w:rsidR="008C1DA2">
        <w:object w:dxaOrig="7734" w:dyaOrig="2731" w14:anchorId="1A88D59F">
          <v:shape id="_x0000_i1033" type="#_x0000_t75" alt="Table shows the number and total value of commercial real estate approvals during a financial year for the four financial years ending in 2017-18 and categorises these as either developed or for development.&#10;The decline in the value of total commercial real estate approvals in 2017-18 compared to 2016-17 is primarily due to a decrease in the number of and value of developed commercial real estate approvals which peaked during the four year period in 2015-16. The value of approvals for development has reached its highest level over the four year period in 2017-18 with $14 billion of approvals." style="width:387.45pt;height:136.4pt" o:ole="">
            <v:imagedata r:id="rId76" o:title=""/>
          </v:shape>
          <o:OLEObject Type="Link" ProgID="Excel.Sheet.12" ShapeID="_x0000_i1033" DrawAspect="Content" r:id="rId77" UpdateMode="Always">
            <o:LinkType>EnhancedMetaFile</o:LinkType>
            <o:LockedField>false</o:LockedField>
          </o:OLEObject>
        </w:object>
      </w:r>
    </w:p>
    <w:p w14:paraId="05E0BA96" w14:textId="41F3CBF7" w:rsidR="00E83190" w:rsidRPr="003077ED" w:rsidRDefault="00E83190" w:rsidP="00397941">
      <w:pPr>
        <w:pStyle w:val="ChartandTableFootnoteAlpha"/>
        <w:numPr>
          <w:ilvl w:val="0"/>
          <w:numId w:val="26"/>
        </w:numPr>
      </w:pPr>
      <w:r w:rsidRPr="003077ED">
        <w:t xml:space="preserve">From 1 December 2015, annual programs under the new provisions in the Act are known as </w:t>
      </w:r>
      <w:r w:rsidR="00832E8E">
        <w:t>e</w:t>
      </w:r>
      <w:r w:rsidRPr="003077ED">
        <w:t xml:space="preserve">xemption </w:t>
      </w:r>
      <w:r w:rsidR="006071EF">
        <w:t>c</w:t>
      </w:r>
      <w:r w:rsidRPr="003077ED">
        <w:t>ertificates</w:t>
      </w:r>
      <w:r w:rsidR="006071EF">
        <w:t xml:space="preserve"> for foreign persons</w:t>
      </w:r>
      <w:r w:rsidR="00FF214E">
        <w:t xml:space="preserve">. They are no longer limited to </w:t>
      </w:r>
      <w:r w:rsidR="006071EF">
        <w:t>a 12 month period</w:t>
      </w:r>
      <w:r w:rsidR="00FF214E">
        <w:t>.</w:t>
      </w:r>
    </w:p>
    <w:p w14:paraId="05E0BA97" w14:textId="77777777" w:rsidR="00E83190" w:rsidRPr="002A2C33" w:rsidRDefault="00E83190" w:rsidP="00974C1D">
      <w:pPr>
        <w:pStyle w:val="ChartorTableNote"/>
        <w:tabs>
          <w:tab w:val="left" w:pos="567"/>
        </w:tabs>
        <w:ind w:left="567" w:hanging="567"/>
      </w:pPr>
      <w:r w:rsidRPr="00D86D24">
        <w:t>Notes:</w:t>
      </w:r>
      <w:r w:rsidRPr="002A2C33">
        <w:tab/>
        <w:t>Totals may not add due to rounding.</w:t>
      </w:r>
    </w:p>
    <w:p w14:paraId="05E0BA98" w14:textId="1668B01B" w:rsidR="00E83190" w:rsidRDefault="00E83190" w:rsidP="00974C1D">
      <w:pPr>
        <w:pStyle w:val="ChartorTableNote"/>
        <w:tabs>
          <w:tab w:val="left" w:pos="567"/>
        </w:tabs>
        <w:ind w:left="567" w:hanging="567"/>
      </w:pPr>
      <w:r w:rsidRPr="002A2C33">
        <w:tab/>
        <w:t xml:space="preserve">Excludes </w:t>
      </w:r>
      <w:r w:rsidR="002B04F4">
        <w:t xml:space="preserve">individual approvals for </w:t>
      </w:r>
      <w:r w:rsidRPr="002A2C33">
        <w:t>corporate reorganisations</w:t>
      </w:r>
      <w:r w:rsidR="002B04F4">
        <w:t xml:space="preserve"> (some corporate reorganisations may be covered by exemption certificates)</w:t>
      </w:r>
      <w:r w:rsidRPr="002A2C33">
        <w:t>.</w:t>
      </w:r>
    </w:p>
    <w:p w14:paraId="384DD7B0" w14:textId="43AFC807" w:rsidR="00FF214E" w:rsidRPr="00FF214E" w:rsidRDefault="00FF214E" w:rsidP="00361BFB">
      <w:pPr>
        <w:pStyle w:val="ChartorTableNote"/>
        <w:tabs>
          <w:tab w:val="left" w:pos="567"/>
        </w:tabs>
        <w:ind w:left="567"/>
      </w:pPr>
      <w:r>
        <w:t xml:space="preserve">Data for </w:t>
      </w:r>
      <w:r w:rsidRPr="004A3335">
        <w:t>2015</w:t>
      </w:r>
      <w:r>
        <w:t>–</w:t>
      </w:r>
      <w:r w:rsidRPr="004A3335">
        <w:t xml:space="preserve">16 </w:t>
      </w:r>
      <w:r>
        <w:t xml:space="preserve">onwards was </w:t>
      </w:r>
      <w:r w:rsidRPr="004A3335">
        <w:t>impacted by the 1</w:t>
      </w:r>
      <w:r>
        <w:t> </w:t>
      </w:r>
      <w:r w:rsidRPr="004A3335">
        <w:t>December 2015 reforms</w:t>
      </w:r>
      <w:r>
        <w:t>. Data from 2017</w:t>
      </w:r>
      <w:r>
        <w:noBreakHyphen/>
        <w:t>18 was impacted by the reforms announced in the 2017</w:t>
      </w:r>
      <w:r>
        <w:noBreakHyphen/>
        <w:t>18 Budget, which were given effect on 1 July 2017. The</w:t>
      </w:r>
      <w:r w:rsidR="005A2683">
        <w:t>s</w:t>
      </w:r>
      <w:r>
        <w:t xml:space="preserve">e reforms </w:t>
      </w:r>
      <w:r w:rsidRPr="004A3335">
        <w:t>may affect data comparability</w:t>
      </w:r>
      <w:r w:rsidR="00221663">
        <w:t xml:space="preserve"> across time</w:t>
      </w:r>
      <w:r w:rsidRPr="004A3335">
        <w:t>.</w:t>
      </w:r>
    </w:p>
    <w:p w14:paraId="61982F16" w14:textId="77777777" w:rsidR="008D13B4" w:rsidRPr="002229ED" w:rsidRDefault="008D13B4" w:rsidP="002229ED">
      <w:pPr>
        <w:pStyle w:val="SingleParagraph"/>
        <w:spacing w:line="240" w:lineRule="auto"/>
        <w:rPr>
          <w:sz w:val="10"/>
        </w:rPr>
      </w:pPr>
    </w:p>
    <w:p w14:paraId="05E0BA9A" w14:textId="40E490A8" w:rsidR="00E83190" w:rsidRPr="006A6448" w:rsidRDefault="00043E0B" w:rsidP="00FE0B08">
      <w:pPr>
        <w:pStyle w:val="TableHeading"/>
      </w:pPr>
      <w:bookmarkStart w:id="786" w:name="_Toc529545215"/>
      <w:bookmarkStart w:id="787" w:name="_Toc529802469"/>
      <w:bookmarkStart w:id="788" w:name="_Toc529878042"/>
      <w:bookmarkStart w:id="789" w:name="_Toc529879266"/>
      <w:bookmarkStart w:id="790" w:name="_Toc529882531"/>
      <w:bookmarkStart w:id="791" w:name="_Toc529885202"/>
      <w:bookmarkStart w:id="792" w:name="_Toc529890674"/>
      <w:bookmarkStart w:id="793" w:name="_Toc529970045"/>
      <w:bookmarkStart w:id="794" w:name="_Toc529979400"/>
      <w:bookmarkStart w:id="795" w:name="_Toc530050445"/>
      <w:bookmarkStart w:id="796" w:name="_Toc530065524"/>
      <w:bookmarkStart w:id="797" w:name="_Toc530066352"/>
      <w:bookmarkStart w:id="798" w:name="_Toc530145071"/>
      <w:bookmarkStart w:id="799" w:name="_Toc530146041"/>
      <w:bookmarkStart w:id="800" w:name="_Toc530146962"/>
      <w:bookmarkStart w:id="801" w:name="_Toc530148320"/>
      <w:bookmarkStart w:id="802" w:name="_Toc530148521"/>
      <w:bookmarkStart w:id="803" w:name="_Toc530149193"/>
      <w:bookmarkStart w:id="804" w:name="_Toc530149817"/>
      <w:bookmarkStart w:id="805" w:name="_Toc530401669"/>
      <w:bookmarkStart w:id="806" w:name="_Toc530491422"/>
      <w:bookmarkStart w:id="807" w:name="_Toc530495840"/>
      <w:bookmarkStart w:id="808" w:name="_Toc530497743"/>
      <w:bookmarkStart w:id="809" w:name="_Toc530663563"/>
      <w:bookmarkStart w:id="810" w:name="_Toc530753856"/>
      <w:bookmarkStart w:id="811" w:name="_Toc530756425"/>
      <w:bookmarkStart w:id="812" w:name="_Toc530759862"/>
      <w:bookmarkStart w:id="813" w:name="_Toc532223708"/>
      <w:bookmarkStart w:id="814" w:name="_Toc532224167"/>
      <w:bookmarkStart w:id="815" w:name="_Toc532226646"/>
      <w:bookmarkStart w:id="816" w:name="_Toc536029348"/>
      <w:bookmarkStart w:id="817" w:name="_Toc1054888"/>
      <w:r w:rsidRPr="006A6448">
        <w:t>Table</w:t>
      </w:r>
      <w:r w:rsidR="00FE0B08">
        <w:t xml:space="preserve"> </w:t>
      </w:r>
      <w:r w:rsidR="00E10BA2">
        <w:t>3</w:t>
      </w:r>
      <w:r w:rsidR="00E83190">
        <w:t>.9</w:t>
      </w:r>
      <w:r w:rsidR="00E83190" w:rsidRPr="006A6448">
        <w:t>:</w:t>
      </w:r>
      <w:r w:rsidR="00665F25">
        <w:t xml:space="preserve"> </w:t>
      </w:r>
      <w:r w:rsidR="00E83190" w:rsidRPr="006A6448">
        <w:t xml:space="preserve">State and territory distribution of proposed investment in commercial real estate in </w:t>
      </w:r>
      <w:r w:rsidRPr="006A6448">
        <w:t>201</w:t>
      </w:r>
      <w:r>
        <w:t>7</w:t>
      </w:r>
      <w:r w:rsidR="00E83190">
        <w:t>–</w:t>
      </w:r>
      <w:r w:rsidRPr="006A6448">
        <w:t>1</w:t>
      </w:r>
      <w:r>
        <w:t>8</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bookmarkStart w:id="818" w:name="_1548074932"/>
    <w:bookmarkEnd w:id="818"/>
    <w:p w14:paraId="05E0BA9B" w14:textId="76237BC3" w:rsidR="00E83190" w:rsidRDefault="00781A67" w:rsidP="00EB0856">
      <w:pPr>
        <w:pStyle w:val="TableGraphic"/>
      </w:pPr>
      <w:r>
        <w:object w:dxaOrig="7681" w:dyaOrig="2957" w14:anchorId="518D3A36">
          <v:shape id="_x0000_i1034" type="#_x0000_t75" alt="Table shows the number and value of commercial real estate approvals in 2017-18 and categorises these as either developed or for development and by the state or territory of the real estate. Proposed commercial real estate investments that are in more than one state or territory are categorised as various. &#10;Approved real estate for various locations accounted for around 43 per cent of the total. Where the approval was specific to one state or territory, New South Wales had both the highest number of approvals by number and proposed investment. There were no commercial property approvals specific to either the Australian Capital Territory or the Northern Territory." style="width:384.05pt;height:147.4pt;mso-position-vertical:absolute" o:ole="">
            <v:imagedata r:id="rId78" o:title=""/>
          </v:shape>
          <o:OLEObject Type="Link" ProgID="Excel.Sheet.12" ShapeID="_x0000_i1034" DrawAspect="Content" r:id="rId79" UpdateMode="Always">
            <o:LinkType>EnhancedMetaFile</o:LinkType>
            <o:LockedField>false</o:LockedField>
          </o:OLEObject>
        </w:object>
      </w:r>
    </w:p>
    <w:p w14:paraId="05E0BA9C" w14:textId="68FB7C40" w:rsidR="00E83190" w:rsidRPr="002A2C33" w:rsidRDefault="00E83190" w:rsidP="00397941">
      <w:pPr>
        <w:pStyle w:val="ChartandTableFootnoteAlpha"/>
        <w:numPr>
          <w:ilvl w:val="0"/>
          <w:numId w:val="27"/>
        </w:numPr>
      </w:pPr>
      <w:r w:rsidRPr="002A2C33">
        <w:t xml:space="preserve">Comprises </w:t>
      </w:r>
      <w:r w:rsidR="002D52D5">
        <w:t>approvals</w:t>
      </w:r>
      <w:r w:rsidRPr="002A2C33">
        <w:t xml:space="preserve"> where the proposed investment is to be undertaken in more than one state or territory.</w:t>
      </w:r>
    </w:p>
    <w:p w14:paraId="05E0BA9D" w14:textId="77777777" w:rsidR="00E83190" w:rsidRDefault="00E83190" w:rsidP="00E83190">
      <w:pPr>
        <w:pStyle w:val="StyleChartorTableNoteLeft0cmHanging1cm"/>
      </w:pPr>
      <w:r w:rsidRPr="007824DC">
        <w:t>Note</w:t>
      </w:r>
      <w:r>
        <w:t>s</w:t>
      </w:r>
      <w:r w:rsidRPr="007824DC">
        <w:t>:</w:t>
      </w:r>
      <w:r w:rsidRPr="007824DC">
        <w:tab/>
        <w:t>Totals may not add due to rounding.</w:t>
      </w:r>
    </w:p>
    <w:p w14:paraId="2CDA5116" w14:textId="4B6D3083" w:rsidR="002B04F4" w:rsidRDefault="00E83190" w:rsidP="00E83190">
      <w:pPr>
        <w:pStyle w:val="StyleChartorTableNoteLeft0cmHanging1cm"/>
      </w:pPr>
      <w:r>
        <w:tab/>
      </w:r>
      <w:r w:rsidRPr="007824DC">
        <w:t xml:space="preserve">Excludes </w:t>
      </w:r>
      <w:r w:rsidR="002B04F4">
        <w:t xml:space="preserve">individual approvals for </w:t>
      </w:r>
      <w:r w:rsidRPr="007824DC">
        <w:t>corporate reorganisations</w:t>
      </w:r>
      <w:r w:rsidR="002B04F4">
        <w:t xml:space="preserve"> (some corporate reorganisations may be covered by exemption certificates).</w:t>
      </w:r>
    </w:p>
    <w:p w14:paraId="05E0BA9E" w14:textId="03B432E3" w:rsidR="00E83190" w:rsidRPr="007824DC" w:rsidRDefault="002B04F4" w:rsidP="00E83190">
      <w:pPr>
        <w:pStyle w:val="StyleChartorTableNoteLeft0cmHanging1cm"/>
      </w:pPr>
      <w:r>
        <w:tab/>
        <w:t>I</w:t>
      </w:r>
      <w:r w:rsidR="00E83190" w:rsidRPr="007824DC">
        <w:t>ncludes exemption certificates.</w:t>
      </w:r>
    </w:p>
    <w:p w14:paraId="05E0BA9F" w14:textId="41FE3302" w:rsidR="00E83190" w:rsidRPr="007824DC" w:rsidRDefault="00E83190" w:rsidP="00E83190">
      <w:pPr>
        <w:pStyle w:val="StyleChartorTableNoteLeft0cmHanging1cm"/>
      </w:pPr>
      <w:r w:rsidRPr="007824DC">
        <w:tab/>
      </w:r>
      <w:r w:rsidRPr="00863CB4">
        <w:t>‘</w:t>
      </w:r>
      <w:r w:rsidR="00863CB4" w:rsidRPr="00863CB4">
        <w:t>0.0</w:t>
      </w:r>
      <w:r w:rsidR="00863CB4">
        <w:t>’</w:t>
      </w:r>
      <w:r w:rsidRPr="00863CB4">
        <w:t xml:space="preserve"> indicates a figure of zero or a figure less than $</w:t>
      </w:r>
      <w:r w:rsidR="00863CB4" w:rsidRPr="00863CB4">
        <w:t>5</w:t>
      </w:r>
      <w:r w:rsidR="00043E0B" w:rsidRPr="00863CB4">
        <w:t>0 </w:t>
      </w:r>
      <w:r w:rsidRPr="00863CB4">
        <w:t>million.</w:t>
      </w:r>
    </w:p>
    <w:p w14:paraId="3113CB04" w14:textId="5725E1A7" w:rsidR="00AD746E" w:rsidRPr="007824DC" w:rsidRDefault="00C951D8" w:rsidP="00AF5EA5">
      <w:pPr>
        <w:pStyle w:val="StyleChartorTableNoteLeft0cmHanging1cm"/>
        <w:spacing w:after="0"/>
        <w:ind w:firstLine="0"/>
      </w:pPr>
      <w:r w:rsidRPr="006071EF">
        <w:t>The 2017</w:t>
      </w:r>
      <w:r w:rsidRPr="006071EF">
        <w:noBreakHyphen/>
        <w:t>18 figures were impacted by the reforms announced in the 2017</w:t>
      </w:r>
      <w:r w:rsidRPr="006071EF">
        <w:noBreakHyphen/>
        <w:t>18 Budget, which were given effect on 1 July 2017. The reforms may affect data comparability.</w:t>
      </w:r>
    </w:p>
    <w:p w14:paraId="05E0BAA1" w14:textId="77777777" w:rsidR="00E83190" w:rsidRPr="003840CD" w:rsidRDefault="00E83190" w:rsidP="008C4B15">
      <w:pPr>
        <w:pStyle w:val="Heading3"/>
      </w:pPr>
      <w:r w:rsidRPr="00974C1D">
        <w:t>Residential</w:t>
      </w:r>
      <w:r w:rsidRPr="006A6448">
        <w:t xml:space="preserve"> real </w:t>
      </w:r>
      <w:r w:rsidRPr="00AF5EA5">
        <w:t>estate</w:t>
      </w:r>
    </w:p>
    <w:p w14:paraId="1E754C5E" w14:textId="385DAFC9" w:rsidR="00A44DBD" w:rsidRDefault="002C17B9" w:rsidP="002E3830">
      <w:pPr>
        <w:rPr>
          <w:rFonts w:ascii="Calibri" w:hAnsi="Calibri"/>
          <w:color w:val="auto"/>
          <w:szCs w:val="24"/>
        </w:rPr>
      </w:pPr>
      <w:r w:rsidRPr="004160D6">
        <w:rPr>
          <w:noProof/>
          <w:color w:val="auto"/>
          <w:szCs w:val="24"/>
        </w:rPr>
        <mc:AlternateContent>
          <mc:Choice Requires="wpc">
            <w:drawing>
              <wp:anchor distT="0" distB="0" distL="114300" distR="114300" simplePos="0" relativeHeight="251658247" behindDoc="1" locked="0" layoutInCell="1" allowOverlap="1" wp14:anchorId="17ACDFCE" wp14:editId="777F055D">
                <wp:simplePos x="0" y="0"/>
                <wp:positionH relativeFrom="margin">
                  <wp:posOffset>2540</wp:posOffset>
                </wp:positionH>
                <wp:positionV relativeFrom="paragraph">
                  <wp:posOffset>66675</wp:posOffset>
                </wp:positionV>
                <wp:extent cx="969645" cy="946150"/>
                <wp:effectExtent l="0" t="0" r="1905" b="6350"/>
                <wp:wrapSquare wrapText="bothSides"/>
                <wp:docPr id="295" name="Canvas 295"/>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93" name="Oval 293"/>
                        <wps:cNvSpPr>
                          <a:spLocks noChangeAspect="1"/>
                        </wps:cNvSpPr>
                        <wps:spPr>
                          <a:xfrm>
                            <a:off x="37255" y="0"/>
                            <a:ext cx="900000" cy="900000"/>
                          </a:xfrm>
                          <a:prstGeom prst="ellipse">
                            <a:avLst/>
                          </a:prstGeom>
                          <a:solidFill>
                            <a:srgbClr val="A32035"/>
                          </a:solidFill>
                          <a:ln w="25400" cap="flat" cmpd="sng" algn="ctr">
                            <a:solidFill>
                              <a:srgbClr val="E0627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18"/>
                        <wps:cNvSpPr txBox="1"/>
                        <wps:spPr>
                          <a:xfrm>
                            <a:off x="26108" y="124339"/>
                            <a:ext cx="936000" cy="612000"/>
                          </a:xfrm>
                          <a:prstGeom prst="rect">
                            <a:avLst/>
                          </a:prstGeom>
                          <a:noFill/>
                          <a:ln w="6350">
                            <a:noFill/>
                          </a:ln>
                          <a:effectLst/>
                        </wps:spPr>
                        <wps:txbx>
                          <w:txbxContent>
                            <w:p w14:paraId="530A1DDC" w14:textId="5555DFDF" w:rsidR="00E56859" w:rsidRDefault="00E56859" w:rsidP="002C17B9">
                              <w:pPr>
                                <w:pStyle w:val="NormalWeb"/>
                                <w:jc w:val="center"/>
                              </w:pPr>
                              <w:r>
                                <w:rPr>
                                  <w:rFonts w:ascii="Calibri" w:hAnsi="Calibri"/>
                                  <w:b/>
                                  <w:bCs/>
                                  <w:color w:val="FFFFFF"/>
                                  <w:sz w:val="23"/>
                                  <w:szCs w:val="23"/>
                                </w:rPr>
                                <w:t>$12.5b approved investment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295" o:spid="_x0000_s1051" editas="canvas" style="position:absolute;left:0;text-align:left;margin-left:.2pt;margin-top:5.25pt;width:76.35pt;height:74.5pt;z-index:-251658233;mso-position-horizontal-relative:margin" coordsize="9696,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">
                <v:shape id="_x0000_s1052" type="#_x0000_t75" style="position:absolute;width:9696;height:9461;visibility:visible;mso-wrap-style:square">
                  <v:fill o:detectmouseclick="t"/>
                  <v:path o:connecttype="none"/>
                </v:shape>
                <v:oval id="Oval 293" o:spid="_x0000_s1053" style="position:absolute;left:372;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Zu8MA&#10;AADcAAAADwAAAGRycy9kb3ducmV2LnhtbESPQWvCQBSE7wX/w/IEb3WjYqnRVWzBUntrFPT4yD6z&#10;wezbkF1j8u9dodDjMDPfMKtNZyvRUuNLxwom4wQEce50yYWC42H3+g7CB2SNlWNS0JOHzXrwssJU&#10;uzv/UpuFQkQI+xQVmBDqVEqfG7Lox64mjt7FNRZDlE0hdYP3CLeVnCbJm7RYclwwWNOnofya3ayC&#10;1szMSffhIzv+kDzs5/bc776UGg277RJEoC78h//a31rBdDGD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WZu8MAAADcAAAADwAAAAAAAAAAAAAAAACYAgAAZHJzL2Rv&#10;d25yZXYueG1sUEsFBgAAAAAEAAQA9QAAAIgDAAAAAA==&#10;" fillcolor="#a32035" strokecolor="#e06277" strokeweight="2pt">
                  <v:path arrowok="t"/>
                  <o:lock v:ext="edit" aspectratio="t"/>
                </v:oval>
                <v:shape id="Text Box 18" o:spid="_x0000_s1054" type="#_x0000_t202" style="position:absolute;left:261;top:1243;width:936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530A1DDC" w14:textId="5555DFDF" w:rsidR="00E56859" w:rsidRDefault="00E56859" w:rsidP="002C17B9">
                        <w:pPr>
                          <w:pStyle w:val="NormalWeb"/>
                          <w:jc w:val="center"/>
                        </w:pPr>
                        <w:r>
                          <w:rPr>
                            <w:rFonts w:ascii="Calibri" w:hAnsi="Calibri"/>
                            <w:b/>
                            <w:bCs/>
                            <w:color w:val="FFFFFF"/>
                            <w:sz w:val="23"/>
                            <w:szCs w:val="23"/>
                          </w:rPr>
                          <w:t>$12.5b approved investment</w:t>
                        </w:r>
                      </w:p>
                    </w:txbxContent>
                  </v:textbox>
                </v:shape>
                <w10:wrap type="square" anchorx="margin"/>
              </v:group>
            </w:pict>
          </mc:Fallback>
        </mc:AlternateContent>
      </w:r>
      <w:r w:rsidR="00E10BA2">
        <w:rPr>
          <w:rFonts w:ascii="Calibri" w:hAnsi="Calibri"/>
          <w:color w:val="auto"/>
          <w:szCs w:val="24"/>
        </w:rPr>
        <w:t>In</w:t>
      </w:r>
      <w:r w:rsidR="00E10BA2" w:rsidRPr="00475729">
        <w:rPr>
          <w:rFonts w:ascii="Calibri" w:hAnsi="Calibri"/>
          <w:color w:val="auto"/>
          <w:szCs w:val="24"/>
        </w:rPr>
        <w:t xml:space="preserve"> 2017–18, a total of 10,0</w:t>
      </w:r>
      <w:r w:rsidR="00E10BA2">
        <w:rPr>
          <w:rFonts w:ascii="Calibri" w:hAnsi="Calibri"/>
          <w:color w:val="auto"/>
          <w:szCs w:val="24"/>
        </w:rPr>
        <w:t>3</w:t>
      </w:r>
      <w:r w:rsidR="006E5B6A">
        <w:rPr>
          <w:rFonts w:ascii="Calibri" w:hAnsi="Calibri"/>
          <w:color w:val="auto"/>
          <w:szCs w:val="24"/>
        </w:rPr>
        <w:t>6</w:t>
      </w:r>
      <w:r w:rsidR="00E10BA2">
        <w:rPr>
          <w:rFonts w:ascii="Calibri" w:hAnsi="Calibri"/>
          <w:color w:val="auto"/>
          <w:szCs w:val="24"/>
        </w:rPr>
        <w:t xml:space="preserve"> </w:t>
      </w:r>
      <w:r w:rsidR="00E10BA2" w:rsidRPr="00475729">
        <w:rPr>
          <w:rFonts w:ascii="Calibri" w:hAnsi="Calibri"/>
          <w:color w:val="auto"/>
          <w:szCs w:val="24"/>
        </w:rPr>
        <w:t xml:space="preserve">residential real estate applications </w:t>
      </w:r>
      <w:r w:rsidR="00451BF7">
        <w:rPr>
          <w:rFonts w:ascii="Calibri" w:hAnsi="Calibri"/>
          <w:color w:val="auto"/>
          <w:szCs w:val="24"/>
        </w:rPr>
        <w:t>were</w:t>
      </w:r>
      <w:r w:rsidR="00E10BA2" w:rsidRPr="00475729">
        <w:rPr>
          <w:rFonts w:ascii="Calibri" w:hAnsi="Calibri"/>
          <w:color w:val="auto"/>
          <w:szCs w:val="24"/>
        </w:rPr>
        <w:t xml:space="preserve"> approved for proposed investment worth $1</w:t>
      </w:r>
      <w:r w:rsidR="00720E09">
        <w:rPr>
          <w:rFonts w:ascii="Calibri" w:hAnsi="Calibri"/>
          <w:color w:val="auto"/>
          <w:szCs w:val="24"/>
        </w:rPr>
        <w:t>2</w:t>
      </w:r>
      <w:r w:rsidR="00E10BA2" w:rsidRPr="00475729">
        <w:rPr>
          <w:rFonts w:ascii="Calibri" w:hAnsi="Calibri"/>
          <w:color w:val="auto"/>
          <w:szCs w:val="24"/>
        </w:rPr>
        <w:t>.</w:t>
      </w:r>
      <w:r w:rsidR="00720E09">
        <w:rPr>
          <w:rFonts w:ascii="Calibri" w:hAnsi="Calibri"/>
          <w:color w:val="auto"/>
          <w:szCs w:val="24"/>
        </w:rPr>
        <w:t>5</w:t>
      </w:r>
      <w:r w:rsidR="00E10BA2" w:rsidRPr="00475729">
        <w:rPr>
          <w:rFonts w:ascii="Calibri" w:hAnsi="Calibri"/>
          <w:color w:val="auto"/>
          <w:szCs w:val="24"/>
        </w:rPr>
        <w:t xml:space="preserve"> billion. This </w:t>
      </w:r>
      <w:r w:rsidR="00F577F3">
        <w:rPr>
          <w:rFonts w:ascii="Calibri" w:hAnsi="Calibri"/>
          <w:color w:val="auto"/>
          <w:szCs w:val="24"/>
        </w:rPr>
        <w:t>is</w:t>
      </w:r>
      <w:r w:rsidR="00F577F3" w:rsidRPr="00475729">
        <w:rPr>
          <w:rFonts w:ascii="Calibri" w:hAnsi="Calibri"/>
          <w:color w:val="auto"/>
          <w:szCs w:val="24"/>
        </w:rPr>
        <w:t xml:space="preserve"> </w:t>
      </w:r>
      <w:r w:rsidR="00E10BA2" w:rsidRPr="00475729">
        <w:rPr>
          <w:rFonts w:ascii="Calibri" w:hAnsi="Calibri"/>
          <w:color w:val="auto"/>
          <w:szCs w:val="24"/>
        </w:rPr>
        <w:t xml:space="preserve">a </w:t>
      </w:r>
      <w:r w:rsidR="00E10BA2" w:rsidDel="00720E09">
        <w:rPr>
          <w:rFonts w:ascii="Calibri" w:hAnsi="Calibri"/>
          <w:color w:val="auto"/>
          <w:szCs w:val="24"/>
        </w:rPr>
        <w:t>3,1</w:t>
      </w:r>
      <w:r w:rsidR="00531771" w:rsidDel="00720E09">
        <w:rPr>
          <w:rFonts w:ascii="Calibri" w:hAnsi="Calibri"/>
          <w:color w:val="auto"/>
          <w:szCs w:val="24"/>
        </w:rPr>
        <w:t>62</w:t>
      </w:r>
      <w:r w:rsidR="00E10BA2" w:rsidDel="00720E09">
        <w:rPr>
          <w:rFonts w:ascii="Calibri" w:hAnsi="Calibri"/>
          <w:color w:val="auto"/>
          <w:szCs w:val="24"/>
        </w:rPr>
        <w:t xml:space="preserve"> </w:t>
      </w:r>
      <w:r w:rsidR="00F577F3">
        <w:rPr>
          <w:rFonts w:ascii="Calibri" w:hAnsi="Calibri"/>
          <w:color w:val="auto"/>
          <w:szCs w:val="24"/>
        </w:rPr>
        <w:t xml:space="preserve">decline </w:t>
      </w:r>
      <w:r w:rsidR="00E10BA2">
        <w:rPr>
          <w:rFonts w:ascii="Calibri" w:hAnsi="Calibri"/>
          <w:color w:val="auto"/>
          <w:szCs w:val="24"/>
        </w:rPr>
        <w:t>in the n</w:t>
      </w:r>
      <w:r w:rsidR="00E10BA2" w:rsidRPr="00475729">
        <w:rPr>
          <w:rFonts w:ascii="Calibri" w:hAnsi="Calibri"/>
          <w:color w:val="auto"/>
          <w:szCs w:val="24"/>
        </w:rPr>
        <w:t xml:space="preserve">umber of approvals </w:t>
      </w:r>
      <w:r w:rsidR="007E383E">
        <w:rPr>
          <w:rFonts w:ascii="Calibri" w:hAnsi="Calibri"/>
          <w:color w:val="auto"/>
          <w:szCs w:val="24"/>
        </w:rPr>
        <w:t xml:space="preserve">from </w:t>
      </w:r>
      <w:r w:rsidR="00E10BA2">
        <w:rPr>
          <w:rFonts w:ascii="Calibri" w:hAnsi="Calibri"/>
          <w:color w:val="auto"/>
          <w:szCs w:val="24"/>
        </w:rPr>
        <w:t>2016–17,</w:t>
      </w:r>
      <w:r w:rsidR="00E10BA2" w:rsidRPr="00475729">
        <w:rPr>
          <w:rFonts w:ascii="Calibri" w:hAnsi="Calibri"/>
          <w:color w:val="auto"/>
          <w:szCs w:val="24"/>
        </w:rPr>
        <w:t xml:space="preserve"> and </w:t>
      </w:r>
      <w:r w:rsidR="000B4CB0">
        <w:rPr>
          <w:rFonts w:ascii="Calibri" w:hAnsi="Calibri"/>
          <w:color w:val="auto"/>
          <w:szCs w:val="24"/>
        </w:rPr>
        <w:t>a</w:t>
      </w:r>
      <w:r w:rsidR="000B4CB0">
        <w:rPr>
          <w:rFonts w:ascii="Calibri" w:hAnsi="Calibri"/>
          <w:color w:val="auto"/>
          <w:szCs w:val="24"/>
        </w:rPr>
        <w:br/>
      </w:r>
      <w:r w:rsidR="00E10BA2">
        <w:rPr>
          <w:rFonts w:ascii="Calibri" w:hAnsi="Calibri"/>
          <w:color w:val="auto"/>
          <w:szCs w:val="24"/>
        </w:rPr>
        <w:t>$</w:t>
      </w:r>
      <w:r w:rsidR="00720E09">
        <w:rPr>
          <w:rFonts w:ascii="Calibri" w:hAnsi="Calibri"/>
          <w:color w:val="auto"/>
          <w:szCs w:val="24"/>
        </w:rPr>
        <w:t>17.5 </w:t>
      </w:r>
      <w:r w:rsidR="00E10BA2">
        <w:rPr>
          <w:rFonts w:ascii="Calibri" w:hAnsi="Calibri"/>
          <w:color w:val="auto"/>
          <w:szCs w:val="24"/>
        </w:rPr>
        <w:t>billion decline in the value of approvals</w:t>
      </w:r>
      <w:r w:rsidR="008C4B15">
        <w:rPr>
          <w:rFonts w:ascii="Calibri" w:hAnsi="Calibri"/>
          <w:color w:val="auto"/>
          <w:szCs w:val="24"/>
        </w:rPr>
        <w:t>.</w:t>
      </w:r>
    </w:p>
    <w:p w14:paraId="50EF71B9" w14:textId="0B7DB4A6" w:rsidR="00E3149B" w:rsidRDefault="00DF45DB" w:rsidP="00E3149B">
      <w:pPr>
        <w:rPr>
          <w:rFonts w:ascii="Calibri" w:hAnsi="Calibri"/>
          <w:color w:val="auto"/>
          <w:szCs w:val="24"/>
        </w:rPr>
      </w:pPr>
      <w:r w:rsidRPr="0033026E">
        <w:rPr>
          <w:color w:val="auto"/>
        </w:rPr>
        <w:t>There are</w:t>
      </w:r>
      <w:r w:rsidR="00E3149B">
        <w:rPr>
          <w:color w:val="auto"/>
        </w:rPr>
        <w:t xml:space="preserve"> many </w:t>
      </w:r>
      <w:r w:rsidRPr="007D75F2">
        <w:rPr>
          <w:rFonts w:ascii="Calibri" w:hAnsi="Calibri"/>
          <w:color w:val="auto"/>
        </w:rPr>
        <w:t>factors which</w:t>
      </w:r>
      <w:r w:rsidRPr="00BD4C2E">
        <w:rPr>
          <w:rFonts w:ascii="Calibri" w:hAnsi="Calibri"/>
          <w:color w:val="auto"/>
        </w:rPr>
        <w:t>, combined,</w:t>
      </w:r>
      <w:r w:rsidRPr="00C9341A">
        <w:rPr>
          <w:rFonts w:ascii="Calibri" w:hAnsi="Calibri"/>
          <w:color w:val="auto"/>
        </w:rPr>
        <w:t xml:space="preserve"> may explain the fall in the number and the value of residential real estat</w:t>
      </w:r>
      <w:r w:rsidRPr="00D84B97">
        <w:rPr>
          <w:rFonts w:ascii="Calibri" w:hAnsi="Calibri"/>
          <w:color w:val="auto"/>
        </w:rPr>
        <w:t xml:space="preserve">e approvals </w:t>
      </w:r>
      <w:r w:rsidRPr="0061440D">
        <w:rPr>
          <w:rFonts w:ascii="Calibri" w:hAnsi="Calibri"/>
          <w:color w:val="auto"/>
        </w:rPr>
        <w:t>from 2016-17</w:t>
      </w:r>
      <w:r w:rsidRPr="0033026E">
        <w:rPr>
          <w:rFonts w:ascii="Calibri" w:hAnsi="Calibri"/>
          <w:color w:val="auto"/>
        </w:rPr>
        <w:t xml:space="preserve"> to 2017-18</w:t>
      </w:r>
      <w:r w:rsidR="002B04F4">
        <w:rPr>
          <w:rFonts w:ascii="Calibri" w:hAnsi="Calibri"/>
          <w:color w:val="auto"/>
        </w:rPr>
        <w:t>.</w:t>
      </w:r>
      <w:r w:rsidR="00B815A2">
        <w:rPr>
          <w:rStyle w:val="FootnoteReference"/>
          <w:rFonts w:ascii="Calibri" w:hAnsi="Calibri"/>
          <w:color w:val="auto"/>
        </w:rPr>
        <w:footnoteReference w:id="12"/>
      </w:r>
      <w:r w:rsidRPr="007D75F2">
        <w:rPr>
          <w:rFonts w:ascii="Calibri" w:hAnsi="Calibri"/>
          <w:color w:val="auto"/>
          <w:szCs w:val="24"/>
        </w:rPr>
        <w:t xml:space="preserve"> Anecdotal evidence</w:t>
      </w:r>
      <w:r w:rsidRPr="00DA7255">
        <w:rPr>
          <w:rFonts w:ascii="Calibri" w:hAnsi="Calibri"/>
          <w:color w:val="auto"/>
          <w:szCs w:val="24"/>
        </w:rPr>
        <w:t xml:space="preserve"> from Treasury’s business liaison program points to a drop off in demand from overseas buyers. Contacts have cited state taxes </w:t>
      </w:r>
      <w:r>
        <w:rPr>
          <w:rFonts w:ascii="Calibri" w:hAnsi="Calibri"/>
          <w:color w:val="auto"/>
          <w:szCs w:val="24"/>
        </w:rPr>
        <w:t xml:space="preserve">and </w:t>
      </w:r>
      <w:r w:rsidRPr="00475729">
        <w:rPr>
          <w:rFonts w:ascii="Calibri" w:hAnsi="Calibri"/>
          <w:color w:val="auto"/>
          <w:szCs w:val="24"/>
        </w:rPr>
        <w:t>foreign resident stamp duty increases</w:t>
      </w:r>
      <w:r w:rsidR="002B04F4">
        <w:rPr>
          <w:rFonts w:ascii="Calibri" w:hAnsi="Calibri"/>
          <w:color w:val="auto"/>
          <w:szCs w:val="24"/>
        </w:rPr>
        <w:t>,</w:t>
      </w:r>
      <w:r>
        <w:rPr>
          <w:rStyle w:val="FootnoteReference"/>
          <w:rFonts w:ascii="Calibri" w:hAnsi="Calibri"/>
          <w:color w:val="auto"/>
          <w:szCs w:val="24"/>
        </w:rPr>
        <w:footnoteReference w:id="13"/>
      </w:r>
      <w:r w:rsidRPr="00DA7255">
        <w:rPr>
          <w:rFonts w:ascii="Calibri" w:hAnsi="Calibri"/>
          <w:color w:val="auto"/>
          <w:szCs w:val="24"/>
        </w:rPr>
        <w:t xml:space="preserve"> </w:t>
      </w:r>
      <w:r>
        <w:rPr>
          <w:rFonts w:ascii="Calibri" w:hAnsi="Calibri"/>
          <w:color w:val="auto"/>
          <w:szCs w:val="24"/>
        </w:rPr>
        <w:t>foreign investment</w:t>
      </w:r>
      <w:r w:rsidRPr="00DA7255">
        <w:rPr>
          <w:rFonts w:ascii="Calibri" w:hAnsi="Calibri"/>
          <w:color w:val="auto"/>
          <w:szCs w:val="24"/>
        </w:rPr>
        <w:t xml:space="preserve"> application fees, tightening domestic credit and increased restrictions o</w:t>
      </w:r>
      <w:r>
        <w:rPr>
          <w:rFonts w:ascii="Calibri" w:hAnsi="Calibri"/>
          <w:color w:val="auto"/>
          <w:szCs w:val="24"/>
        </w:rPr>
        <w:t>n</w:t>
      </w:r>
      <w:r w:rsidRPr="00DA7255">
        <w:rPr>
          <w:rFonts w:ascii="Calibri" w:hAnsi="Calibri"/>
          <w:color w:val="auto"/>
          <w:szCs w:val="24"/>
        </w:rPr>
        <w:t xml:space="preserve"> capital transfers in home countries</w:t>
      </w:r>
      <w:r>
        <w:rPr>
          <w:rFonts w:ascii="Calibri" w:hAnsi="Calibri"/>
          <w:color w:val="auto"/>
          <w:szCs w:val="24"/>
        </w:rPr>
        <w:t>,</w:t>
      </w:r>
      <w:r w:rsidRPr="00DA7255">
        <w:rPr>
          <w:rFonts w:ascii="Calibri" w:hAnsi="Calibri"/>
          <w:color w:val="auto"/>
          <w:szCs w:val="24"/>
        </w:rPr>
        <w:t xml:space="preserve"> as some of the factors dampening foreign demand.</w:t>
      </w:r>
    </w:p>
    <w:p w14:paraId="7204BAE2" w14:textId="78092CDF" w:rsidR="00177BFD" w:rsidRPr="00177BFD" w:rsidRDefault="00177BFD" w:rsidP="00177BFD">
      <w:pPr>
        <w:rPr>
          <w:rFonts w:ascii="Calibri" w:hAnsi="Calibri"/>
          <w:color w:val="auto"/>
        </w:rPr>
      </w:pPr>
      <w:r w:rsidRPr="00177BFD">
        <w:rPr>
          <w:rFonts w:ascii="Calibri" w:hAnsi="Calibri"/>
          <w:color w:val="auto"/>
        </w:rPr>
        <w:t xml:space="preserve">Analysis of changes in residential approvals data in comparison to 2016-17 indicates that </w:t>
      </w:r>
      <w:r w:rsidR="00CD5F8F" w:rsidRPr="00177BFD">
        <w:rPr>
          <w:rFonts w:ascii="Calibri" w:hAnsi="Calibri"/>
          <w:color w:val="auto"/>
        </w:rPr>
        <w:t>74</w:t>
      </w:r>
      <w:r w:rsidR="00CD5F8F">
        <w:rPr>
          <w:rFonts w:ascii="Calibri" w:hAnsi="Calibri"/>
          <w:color w:val="auto"/>
        </w:rPr>
        <w:t> </w:t>
      </w:r>
      <w:r w:rsidRPr="00177BFD">
        <w:rPr>
          <w:rFonts w:ascii="Calibri" w:hAnsi="Calibri"/>
          <w:color w:val="auto"/>
        </w:rPr>
        <w:t xml:space="preserve">per cent of the $17.5 billion fall in overall residential real estate approvals can be attributed to a drop in new dwelling approvals. In turn, 88 per cent of the decline in new dwelling approvals was attributable to a drop in approvals for new dwelling exemption certificates (NDECs). NDECs allow developers to receive pre-approval for foreign </w:t>
      </w:r>
      <w:r w:rsidR="007F5A67">
        <w:rPr>
          <w:rFonts w:ascii="Calibri" w:hAnsi="Calibri"/>
          <w:color w:val="auto"/>
        </w:rPr>
        <w:t>persons</w:t>
      </w:r>
      <w:r w:rsidR="007F5A67" w:rsidRPr="00177BFD">
        <w:rPr>
          <w:rFonts w:ascii="Calibri" w:hAnsi="Calibri"/>
          <w:color w:val="auto"/>
        </w:rPr>
        <w:t xml:space="preserve"> </w:t>
      </w:r>
      <w:r w:rsidRPr="00177BFD">
        <w:rPr>
          <w:rFonts w:ascii="Calibri" w:hAnsi="Calibri"/>
          <w:color w:val="auto"/>
        </w:rPr>
        <w:t xml:space="preserve">to purchase new </w:t>
      </w:r>
      <w:r w:rsidR="00BE3D67">
        <w:rPr>
          <w:rFonts w:ascii="Calibri" w:hAnsi="Calibri"/>
          <w:color w:val="auto"/>
        </w:rPr>
        <w:t>dwellings</w:t>
      </w:r>
      <w:r w:rsidR="00BE3D67" w:rsidRPr="00177BFD">
        <w:rPr>
          <w:rFonts w:ascii="Calibri" w:hAnsi="Calibri"/>
          <w:color w:val="auto"/>
        </w:rPr>
        <w:t xml:space="preserve"> in the specified development </w:t>
      </w:r>
      <w:r w:rsidRPr="00177BFD">
        <w:rPr>
          <w:rFonts w:ascii="Calibri" w:hAnsi="Calibri"/>
          <w:color w:val="auto"/>
        </w:rPr>
        <w:t>up to a cumulative total of $3 million</w:t>
      </w:r>
      <w:r w:rsidR="00BE3D67">
        <w:rPr>
          <w:rFonts w:ascii="Calibri" w:hAnsi="Calibri"/>
          <w:color w:val="auto"/>
        </w:rPr>
        <w:t xml:space="preserve"> </w:t>
      </w:r>
      <w:r w:rsidR="008C6D4D">
        <w:rPr>
          <w:rFonts w:ascii="Calibri" w:hAnsi="Calibri"/>
          <w:color w:val="auto"/>
        </w:rPr>
        <w:t>per</w:t>
      </w:r>
      <w:r w:rsidR="00BE3D67">
        <w:rPr>
          <w:rFonts w:ascii="Calibri" w:hAnsi="Calibri"/>
          <w:color w:val="auto"/>
        </w:rPr>
        <w:t xml:space="preserve"> foreign person</w:t>
      </w:r>
      <w:r w:rsidRPr="00177BFD">
        <w:rPr>
          <w:rFonts w:ascii="Calibri" w:hAnsi="Calibri"/>
          <w:color w:val="auto"/>
        </w:rPr>
        <w:t>.</w:t>
      </w:r>
    </w:p>
    <w:p w14:paraId="1417AFAD" w14:textId="136D1A0F" w:rsidR="006C0F4F" w:rsidRDefault="00177BFD" w:rsidP="008B208E">
      <w:pPr>
        <w:rPr>
          <w:rFonts w:ascii="Calibri" w:hAnsi="Calibri"/>
          <w:color w:val="auto"/>
        </w:rPr>
      </w:pPr>
      <w:r w:rsidRPr="00177BFD">
        <w:rPr>
          <w:rFonts w:ascii="Calibri" w:hAnsi="Calibri"/>
          <w:color w:val="auto"/>
        </w:rPr>
        <w:t xml:space="preserve">Part of the drop in NDEC values is because of </w:t>
      </w:r>
      <w:r w:rsidR="00103303">
        <w:rPr>
          <w:rFonts w:ascii="Calibri" w:hAnsi="Calibri"/>
          <w:color w:val="auto"/>
        </w:rPr>
        <w:t xml:space="preserve">the </w:t>
      </w:r>
      <w:r w:rsidRPr="00177BFD">
        <w:rPr>
          <w:rFonts w:ascii="Calibri" w:hAnsi="Calibri"/>
          <w:color w:val="auto"/>
        </w:rPr>
        <w:t xml:space="preserve">reduction to the maximum proportion of </w:t>
      </w:r>
      <w:r w:rsidR="008C6D4D">
        <w:rPr>
          <w:rFonts w:ascii="Calibri" w:hAnsi="Calibri"/>
          <w:color w:val="auto"/>
        </w:rPr>
        <w:t xml:space="preserve">new </w:t>
      </w:r>
      <w:r w:rsidR="00BE3D67">
        <w:rPr>
          <w:rFonts w:ascii="Calibri" w:hAnsi="Calibri"/>
          <w:color w:val="auto"/>
        </w:rPr>
        <w:t>dwellings in</w:t>
      </w:r>
      <w:r w:rsidRPr="00177BFD">
        <w:rPr>
          <w:rFonts w:ascii="Calibri" w:hAnsi="Calibri"/>
          <w:color w:val="auto"/>
        </w:rPr>
        <w:t xml:space="preserve"> a development that foreign persons can acquire using the certificate. In the 2017</w:t>
      </w:r>
      <w:r w:rsidR="00BE3D67">
        <w:rPr>
          <w:rFonts w:ascii="Calibri" w:hAnsi="Calibri"/>
          <w:color w:val="auto"/>
        </w:rPr>
        <w:noBreakHyphen/>
      </w:r>
      <w:r w:rsidRPr="00177BFD">
        <w:rPr>
          <w:rFonts w:ascii="Calibri" w:hAnsi="Calibri"/>
          <w:color w:val="auto"/>
        </w:rPr>
        <w:t>18 Budget, a 50 per cent limit on the number of dwellings in a development that can be sold to foreign persons was introduced. As such, from 9 May 2017, a NDEC for a development worth $250 million for all apartments would now be valued at $125 million to account for the limit. However, the average value of an NDEC has dropped more than 50 per cent, which indicates that the measure is not wholly responsible for the significant decrease in the value of NDECs.</w:t>
      </w:r>
    </w:p>
    <w:p w14:paraId="02DFE21F" w14:textId="6BBB40F5" w:rsidR="00D162B5" w:rsidRPr="0004068E" w:rsidRDefault="0004068E" w:rsidP="008B208E">
      <w:pPr>
        <w:rPr>
          <w:rFonts w:ascii="Calibri" w:hAnsi="Calibri"/>
          <w:color w:val="auto"/>
          <w:szCs w:val="24"/>
        </w:rPr>
      </w:pPr>
      <w:r w:rsidRPr="00974C1D">
        <w:t xml:space="preserve">In 2017–18, 70 per cent of all residential real estate approvals </w:t>
      </w:r>
      <w:r w:rsidR="001F5C7B">
        <w:t>given to a single state or territory</w:t>
      </w:r>
      <w:r w:rsidRPr="00974C1D">
        <w:t xml:space="preserve"> were for purchases in Victoria or New South Wales. </w:t>
      </w:r>
      <w:r>
        <w:rPr>
          <w:rFonts w:ascii="Calibri" w:hAnsi="Calibri"/>
          <w:color w:val="auto"/>
          <w:szCs w:val="24"/>
        </w:rPr>
        <w:t>However, the value of residential real estate approvals in these two states roughly halved compared to the previous financial year.</w:t>
      </w:r>
    </w:p>
    <w:p w14:paraId="05E0BAA5" w14:textId="5F427F9C" w:rsidR="00E83190" w:rsidRDefault="003054BB" w:rsidP="008C4B15">
      <w:pPr>
        <w:pStyle w:val="ChartHeading"/>
      </w:pPr>
      <w:bookmarkStart w:id="819" w:name="_Toc529545205"/>
      <w:bookmarkStart w:id="820" w:name="_Toc529794993"/>
      <w:bookmarkStart w:id="821" w:name="_Toc529802458"/>
      <w:bookmarkStart w:id="822" w:name="_Toc529878031"/>
      <w:bookmarkStart w:id="823" w:name="_Toc529879255"/>
      <w:bookmarkStart w:id="824" w:name="_Toc529882520"/>
      <w:bookmarkStart w:id="825" w:name="_Toc529885191"/>
      <w:bookmarkStart w:id="826" w:name="_Toc529890663"/>
      <w:bookmarkStart w:id="827" w:name="_Toc529970034"/>
      <w:bookmarkStart w:id="828" w:name="_Toc529979389"/>
      <w:bookmarkStart w:id="829" w:name="_Toc530050434"/>
      <w:bookmarkStart w:id="830" w:name="_Toc530065513"/>
      <w:bookmarkStart w:id="831" w:name="_Toc530066341"/>
      <w:bookmarkStart w:id="832" w:name="_Toc530145060"/>
      <w:bookmarkStart w:id="833" w:name="_Toc530146030"/>
      <w:bookmarkStart w:id="834" w:name="_Toc530146951"/>
      <w:bookmarkStart w:id="835" w:name="_Toc530148309"/>
      <w:bookmarkStart w:id="836" w:name="_Toc530148510"/>
      <w:bookmarkStart w:id="837" w:name="_Toc530149182"/>
      <w:bookmarkStart w:id="838" w:name="_Toc530149835"/>
      <w:bookmarkStart w:id="839" w:name="_Toc530401658"/>
      <w:bookmarkStart w:id="840" w:name="_Toc530491411"/>
      <w:bookmarkStart w:id="841" w:name="_Toc530495829"/>
      <w:bookmarkStart w:id="842" w:name="_Toc530497732"/>
      <w:bookmarkStart w:id="843" w:name="_Toc530663552"/>
      <w:bookmarkStart w:id="844" w:name="_Toc530753845"/>
      <w:bookmarkStart w:id="845" w:name="_Toc530756414"/>
      <w:bookmarkStart w:id="846" w:name="_Toc530759851"/>
      <w:bookmarkStart w:id="847" w:name="_Toc532207315"/>
      <w:bookmarkStart w:id="848" w:name="_Toc532217703"/>
      <w:bookmarkStart w:id="849" w:name="_Toc532218724"/>
      <w:bookmarkStart w:id="850" w:name="_Toc532219036"/>
      <w:bookmarkStart w:id="851" w:name="_Toc532223697"/>
      <w:bookmarkStart w:id="852" w:name="_Toc532224156"/>
      <w:bookmarkStart w:id="853" w:name="_Toc532226635"/>
      <w:bookmarkStart w:id="854" w:name="_Toc1054877"/>
      <w:r>
        <w:t>Chart </w:t>
      </w:r>
      <w:r w:rsidR="00E10BA2">
        <w:t>3</w:t>
      </w:r>
      <w:r w:rsidR="00E83190">
        <w:t>.3:</w:t>
      </w:r>
      <w:r w:rsidR="004B4EB4">
        <w:t xml:space="preserve"> </w:t>
      </w:r>
      <w:r w:rsidR="00103303">
        <w:t xml:space="preserve">Share </w:t>
      </w:r>
      <w:r w:rsidR="00E83190">
        <w:t xml:space="preserve">of residential real estate </w:t>
      </w:r>
      <w:r w:rsidR="00E83190" w:rsidRPr="008C4B15">
        <w:t>approvals</w:t>
      </w:r>
      <w:r w:rsidR="00E83190">
        <w:t xml:space="preserve"> by state and territory in </w:t>
      </w:r>
      <w:r>
        <w:t>2017</w:t>
      </w:r>
      <w:r w:rsidR="008C6D4D">
        <w:noBreakHyphen/>
      </w:r>
      <w:r>
        <w:t>18</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B4BA0">
        <w:t>, by number</w:t>
      </w:r>
      <w:bookmarkEnd w:id="854"/>
    </w:p>
    <w:p w14:paraId="72642BF4" w14:textId="67898E2D" w:rsidR="00B82D27" w:rsidRPr="00B82D27" w:rsidRDefault="00020BD1" w:rsidP="0032339F">
      <w:pPr>
        <w:pStyle w:val="ChartGraphic"/>
      </w:pPr>
      <w:r>
        <w:fldChar w:fldCharType="begin"/>
      </w:r>
      <w:r>
        <w:instrText xml:space="preserve"> LINK Excel.Sheet.12 "" "" \a \p </w:instrText>
      </w:r>
      <w:r>
        <w:fldChar w:fldCharType="separate"/>
      </w:r>
      <w:r w:rsidR="004F2B6E">
        <w:object w:dxaOrig="9615" w:dyaOrig="4815" w14:anchorId="39DAEF2C">
          <v:shape id="_x0000_i1035" type="#_x0000_t75" alt="Pie Chart shows the share by number of residential real estate approvals in 2017-18 by state and territory. The Northern Territory has been excluded due to its proportionately small number of approvals. &#10;Victoria is the largest state for approvals with 46 per cent and is double New South Wales' share. Excluding Northern Territory, the three locations with the lowest proportion of approvals are South Australia, Australian Capital Territory and Tasmania with 3, 2 and 1 per cent of Australian residential real estate approvals respectively." style="width:384.6pt;height:192.6pt;mso-position-vertical:absolute">
            <v:imagedata r:id="rId80" o:title=""/>
          </v:shape>
        </w:object>
      </w:r>
      <w:r>
        <w:fldChar w:fldCharType="end"/>
      </w:r>
    </w:p>
    <w:p w14:paraId="6B5124ED" w14:textId="152673D8" w:rsidR="00D52FDE" w:rsidRDefault="00D115B8" w:rsidP="00D115B8">
      <w:pPr>
        <w:pStyle w:val="ChartorTableNote"/>
        <w:tabs>
          <w:tab w:val="left" w:pos="567"/>
        </w:tabs>
        <w:spacing w:before="60"/>
        <w:ind w:left="567" w:hanging="567"/>
      </w:pPr>
      <w:r w:rsidRPr="007B137D">
        <w:t>Notes:</w:t>
      </w:r>
      <w:r>
        <w:tab/>
      </w:r>
      <w:r w:rsidR="00D52FDE">
        <w:t>This Chart excludes approva</w:t>
      </w:r>
      <w:r w:rsidR="00193FE7">
        <w:t xml:space="preserve">ls that apply to more than one state or </w:t>
      </w:r>
      <w:r w:rsidR="001F5C7B">
        <w:t>t</w:t>
      </w:r>
      <w:r w:rsidR="00D52FDE">
        <w:t>erritory.</w:t>
      </w:r>
      <w:r w:rsidR="00CB015C">
        <w:t xml:space="preserve"> </w:t>
      </w:r>
    </w:p>
    <w:p w14:paraId="2817BF4B" w14:textId="77777777" w:rsidR="00103303" w:rsidRDefault="00D52FDE" w:rsidP="001E3AD5">
      <w:pPr>
        <w:pStyle w:val="ChartorTableNote"/>
        <w:tabs>
          <w:tab w:val="left" w:pos="567"/>
        </w:tabs>
        <w:spacing w:before="60"/>
        <w:ind w:left="567" w:hanging="567"/>
      </w:pPr>
      <w:r>
        <w:tab/>
      </w:r>
      <w:r w:rsidR="00D115B8">
        <w:t>The Northern Territory has not been allocated a share for the purpose of this Chart due to the proportionately small number of approvals.</w:t>
      </w:r>
      <w:r w:rsidR="00103303" w:rsidRPr="00103303">
        <w:t xml:space="preserve"> </w:t>
      </w:r>
    </w:p>
    <w:p w14:paraId="5BEA6C97" w14:textId="25E9E72A" w:rsidR="001E3AD5" w:rsidRDefault="00103303" w:rsidP="001E3AD5">
      <w:pPr>
        <w:pStyle w:val="ChartorTableNote"/>
        <w:tabs>
          <w:tab w:val="left" w:pos="567"/>
        </w:tabs>
        <w:spacing w:before="60"/>
        <w:ind w:left="567" w:hanging="567"/>
      </w:pPr>
      <w:r>
        <w:tab/>
        <w:t>Due to the above and rounding this Chart does not add to 100 per cent.</w:t>
      </w:r>
      <w:r w:rsidR="001E3AD5">
        <w:br w:type="page"/>
      </w:r>
    </w:p>
    <w:p w14:paraId="03577077" w14:textId="44E73A86" w:rsidR="005A2D5D" w:rsidRDefault="00415011" w:rsidP="00434B90">
      <w:pPr>
        <w:pStyle w:val="CaseStudyHeading"/>
        <w:rPr>
          <w:color w:val="auto"/>
        </w:rPr>
      </w:pPr>
      <w:r w:rsidRPr="005A2D5D">
        <w:rPr>
          <w:noProof/>
          <w:sz w:val="2"/>
          <w:szCs w:val="2"/>
        </w:rPr>
        <mc:AlternateContent>
          <mc:Choice Requires="wps">
            <w:drawing>
              <wp:anchor distT="0" distB="0" distL="114300" distR="114300" simplePos="0" relativeHeight="251658254" behindDoc="1" locked="0" layoutInCell="1" allowOverlap="1" wp14:anchorId="6928236F" wp14:editId="004948A9">
                <wp:simplePos x="0" y="0"/>
                <wp:positionH relativeFrom="column">
                  <wp:posOffset>-69487</wp:posOffset>
                </wp:positionH>
                <wp:positionV relativeFrom="paragraph">
                  <wp:posOffset>140970</wp:posOffset>
                </wp:positionV>
                <wp:extent cx="5018405" cy="2795451"/>
                <wp:effectExtent l="0" t="0" r="0" b="5080"/>
                <wp:wrapNone/>
                <wp:docPr id="26" name="Rounded Rectangle 292"/>
                <wp:cNvGraphicFramePr/>
                <a:graphic xmlns:a="http://schemas.openxmlformats.org/drawingml/2006/main">
                  <a:graphicData uri="http://schemas.microsoft.com/office/word/2010/wordprocessingShape">
                    <wps:wsp>
                      <wps:cNvSpPr/>
                      <wps:spPr>
                        <a:xfrm>
                          <a:off x="0" y="0"/>
                          <a:ext cx="5018405" cy="2795451"/>
                        </a:xfrm>
                        <a:custGeom>
                          <a:avLst/>
                          <a:gdLst>
                            <a:gd name="connsiteX0" fmla="*/ 0 w 1345565"/>
                            <a:gd name="connsiteY0" fmla="*/ 250141 h 1492250"/>
                            <a:gd name="connsiteX1" fmla="*/ 250141 w 1345565"/>
                            <a:gd name="connsiteY1" fmla="*/ 0 h 1492250"/>
                            <a:gd name="connsiteX2" fmla="*/ 1095424 w 1345565"/>
                            <a:gd name="connsiteY2" fmla="*/ 0 h 1492250"/>
                            <a:gd name="connsiteX3" fmla="*/ 1345565 w 1345565"/>
                            <a:gd name="connsiteY3" fmla="*/ 250141 h 1492250"/>
                            <a:gd name="connsiteX4" fmla="*/ 1345565 w 1345565"/>
                            <a:gd name="connsiteY4" fmla="*/ 1242109 h 1492250"/>
                            <a:gd name="connsiteX5" fmla="*/ 1095424 w 1345565"/>
                            <a:gd name="connsiteY5" fmla="*/ 1492250 h 1492250"/>
                            <a:gd name="connsiteX6" fmla="*/ 250141 w 1345565"/>
                            <a:gd name="connsiteY6" fmla="*/ 1492250 h 1492250"/>
                            <a:gd name="connsiteX7" fmla="*/ 0 w 1345565"/>
                            <a:gd name="connsiteY7" fmla="*/ 1242109 h 1492250"/>
                            <a:gd name="connsiteX8" fmla="*/ 0 w 1345565"/>
                            <a:gd name="connsiteY8" fmla="*/ 250141 h 1492250"/>
                            <a:gd name="connsiteX0" fmla="*/ 0 w 1345565"/>
                            <a:gd name="connsiteY0" fmla="*/ 250141 h 1553649"/>
                            <a:gd name="connsiteX1" fmla="*/ 250141 w 1345565"/>
                            <a:gd name="connsiteY1" fmla="*/ 0 h 1553649"/>
                            <a:gd name="connsiteX2" fmla="*/ 1095424 w 1345565"/>
                            <a:gd name="connsiteY2" fmla="*/ 0 h 1553649"/>
                            <a:gd name="connsiteX3" fmla="*/ 1345565 w 1345565"/>
                            <a:gd name="connsiteY3" fmla="*/ 250141 h 1553649"/>
                            <a:gd name="connsiteX4" fmla="*/ 1345565 w 1345565"/>
                            <a:gd name="connsiteY4" fmla="*/ 1242109 h 1553649"/>
                            <a:gd name="connsiteX5" fmla="*/ 1095424 w 1345565"/>
                            <a:gd name="connsiteY5" fmla="*/ 1492250 h 1553649"/>
                            <a:gd name="connsiteX6" fmla="*/ 250141 w 1345565"/>
                            <a:gd name="connsiteY6" fmla="*/ 1492250 h 1553649"/>
                            <a:gd name="connsiteX7" fmla="*/ 0 w 1345565"/>
                            <a:gd name="connsiteY7" fmla="*/ 1492250 h 1553649"/>
                            <a:gd name="connsiteX8" fmla="*/ 0 w 1345565"/>
                            <a:gd name="connsiteY8" fmla="*/ 250141 h 1553649"/>
                            <a:gd name="connsiteX0" fmla="*/ 61399 w 1406964"/>
                            <a:gd name="connsiteY0" fmla="*/ 250141 h 1553759"/>
                            <a:gd name="connsiteX1" fmla="*/ 311540 w 1406964"/>
                            <a:gd name="connsiteY1" fmla="*/ 0 h 1553759"/>
                            <a:gd name="connsiteX2" fmla="*/ 1156823 w 1406964"/>
                            <a:gd name="connsiteY2" fmla="*/ 0 h 1553759"/>
                            <a:gd name="connsiteX3" fmla="*/ 1406964 w 1406964"/>
                            <a:gd name="connsiteY3" fmla="*/ 250141 h 1553759"/>
                            <a:gd name="connsiteX4" fmla="*/ 1406964 w 1406964"/>
                            <a:gd name="connsiteY4" fmla="*/ 1242109 h 1553759"/>
                            <a:gd name="connsiteX5" fmla="*/ 1156823 w 1406964"/>
                            <a:gd name="connsiteY5" fmla="*/ 1492250 h 1553759"/>
                            <a:gd name="connsiteX6" fmla="*/ 61399 w 1406964"/>
                            <a:gd name="connsiteY6" fmla="*/ 1492672 h 1553759"/>
                            <a:gd name="connsiteX7" fmla="*/ 61399 w 1406964"/>
                            <a:gd name="connsiteY7" fmla="*/ 1492250 h 1553759"/>
                            <a:gd name="connsiteX8" fmla="*/ 61399 w 1406964"/>
                            <a:gd name="connsiteY8" fmla="*/ 250141 h 1553759"/>
                            <a:gd name="connsiteX0" fmla="*/ 498 w 1346063"/>
                            <a:gd name="connsiteY0" fmla="*/ 250141 h 1553216"/>
                            <a:gd name="connsiteX1" fmla="*/ 250639 w 1346063"/>
                            <a:gd name="connsiteY1" fmla="*/ 0 h 1553216"/>
                            <a:gd name="connsiteX2" fmla="*/ 1095922 w 1346063"/>
                            <a:gd name="connsiteY2" fmla="*/ 0 h 1553216"/>
                            <a:gd name="connsiteX3" fmla="*/ 1346063 w 1346063"/>
                            <a:gd name="connsiteY3" fmla="*/ 250141 h 1553216"/>
                            <a:gd name="connsiteX4" fmla="*/ 1346063 w 1346063"/>
                            <a:gd name="connsiteY4" fmla="*/ 1242109 h 1553216"/>
                            <a:gd name="connsiteX5" fmla="*/ 1095922 w 1346063"/>
                            <a:gd name="connsiteY5" fmla="*/ 1492250 h 1553216"/>
                            <a:gd name="connsiteX6" fmla="*/ 498 w 1346063"/>
                            <a:gd name="connsiteY6" fmla="*/ 1492672 h 1553216"/>
                            <a:gd name="connsiteX7" fmla="*/ 498 w 1346063"/>
                            <a:gd name="connsiteY7" fmla="*/ 1492250 h 1553216"/>
                            <a:gd name="connsiteX8" fmla="*/ 498 w 1346063"/>
                            <a:gd name="connsiteY8" fmla="*/ 250141 h 1553216"/>
                            <a:gd name="connsiteX0" fmla="*/ 200 w 1345765"/>
                            <a:gd name="connsiteY0" fmla="*/ 250141 h 1492672"/>
                            <a:gd name="connsiteX1" fmla="*/ 250341 w 1345765"/>
                            <a:gd name="connsiteY1" fmla="*/ 0 h 1492672"/>
                            <a:gd name="connsiteX2" fmla="*/ 1095624 w 1345765"/>
                            <a:gd name="connsiteY2" fmla="*/ 0 h 1492672"/>
                            <a:gd name="connsiteX3" fmla="*/ 1345765 w 1345765"/>
                            <a:gd name="connsiteY3" fmla="*/ 250141 h 1492672"/>
                            <a:gd name="connsiteX4" fmla="*/ 1345765 w 1345765"/>
                            <a:gd name="connsiteY4" fmla="*/ 1242109 h 1492672"/>
                            <a:gd name="connsiteX5" fmla="*/ 1095624 w 1345765"/>
                            <a:gd name="connsiteY5" fmla="*/ 1492250 h 1492672"/>
                            <a:gd name="connsiteX6" fmla="*/ 200 w 1345765"/>
                            <a:gd name="connsiteY6" fmla="*/ 1492672 h 1492672"/>
                            <a:gd name="connsiteX7" fmla="*/ 200 w 1345765"/>
                            <a:gd name="connsiteY7" fmla="*/ 1492250 h 1492672"/>
                            <a:gd name="connsiteX8" fmla="*/ 200 w 1345765"/>
                            <a:gd name="connsiteY8" fmla="*/ 250141 h 1492672"/>
                            <a:gd name="connsiteX0" fmla="*/ 200 w 1407164"/>
                            <a:gd name="connsiteY0" fmla="*/ 250141 h 1492672"/>
                            <a:gd name="connsiteX1" fmla="*/ 250341 w 1407164"/>
                            <a:gd name="connsiteY1" fmla="*/ 0 h 1492672"/>
                            <a:gd name="connsiteX2" fmla="*/ 1095624 w 1407164"/>
                            <a:gd name="connsiteY2" fmla="*/ 0 h 1492672"/>
                            <a:gd name="connsiteX3" fmla="*/ 1345765 w 1407164"/>
                            <a:gd name="connsiteY3" fmla="*/ 250141 h 1492672"/>
                            <a:gd name="connsiteX4" fmla="*/ 1345765 w 1407164"/>
                            <a:gd name="connsiteY4" fmla="*/ 1242109 h 1492672"/>
                            <a:gd name="connsiteX5" fmla="*/ 1345765 w 1407164"/>
                            <a:gd name="connsiteY5" fmla="*/ 1492672 h 1492672"/>
                            <a:gd name="connsiteX6" fmla="*/ 200 w 1407164"/>
                            <a:gd name="connsiteY6" fmla="*/ 1492672 h 1492672"/>
                            <a:gd name="connsiteX7" fmla="*/ 200 w 1407164"/>
                            <a:gd name="connsiteY7" fmla="*/ 1492250 h 1492672"/>
                            <a:gd name="connsiteX8" fmla="*/ 200 w 1407164"/>
                            <a:gd name="connsiteY8" fmla="*/ 250141 h 1492672"/>
                            <a:gd name="connsiteX0" fmla="*/ 200 w 1407947"/>
                            <a:gd name="connsiteY0" fmla="*/ 250141 h 1554071"/>
                            <a:gd name="connsiteX1" fmla="*/ 250341 w 1407947"/>
                            <a:gd name="connsiteY1" fmla="*/ 0 h 1554071"/>
                            <a:gd name="connsiteX2" fmla="*/ 1095624 w 1407947"/>
                            <a:gd name="connsiteY2" fmla="*/ 0 h 1554071"/>
                            <a:gd name="connsiteX3" fmla="*/ 1345765 w 1407947"/>
                            <a:gd name="connsiteY3" fmla="*/ 250141 h 1554071"/>
                            <a:gd name="connsiteX4" fmla="*/ 1348747 w 1407947"/>
                            <a:gd name="connsiteY4" fmla="*/ 1492672 h 1554071"/>
                            <a:gd name="connsiteX5" fmla="*/ 1345765 w 1407947"/>
                            <a:gd name="connsiteY5" fmla="*/ 1492672 h 1554071"/>
                            <a:gd name="connsiteX6" fmla="*/ 200 w 1407947"/>
                            <a:gd name="connsiteY6" fmla="*/ 1492672 h 1554071"/>
                            <a:gd name="connsiteX7" fmla="*/ 200 w 1407947"/>
                            <a:gd name="connsiteY7" fmla="*/ 1492250 h 1554071"/>
                            <a:gd name="connsiteX8" fmla="*/ 200 w 1407947"/>
                            <a:gd name="connsiteY8" fmla="*/ 250141 h 1554071"/>
                            <a:gd name="connsiteX0" fmla="*/ 200 w 1406648"/>
                            <a:gd name="connsiteY0" fmla="*/ 250141 h 1493274"/>
                            <a:gd name="connsiteX1" fmla="*/ 250341 w 1406648"/>
                            <a:gd name="connsiteY1" fmla="*/ 0 h 1493274"/>
                            <a:gd name="connsiteX2" fmla="*/ 1095624 w 1406648"/>
                            <a:gd name="connsiteY2" fmla="*/ 0 h 1493274"/>
                            <a:gd name="connsiteX3" fmla="*/ 1345765 w 1406648"/>
                            <a:gd name="connsiteY3" fmla="*/ 250141 h 1493274"/>
                            <a:gd name="connsiteX4" fmla="*/ 1348747 w 1406648"/>
                            <a:gd name="connsiteY4" fmla="*/ 1492672 h 1493274"/>
                            <a:gd name="connsiteX5" fmla="*/ 1345765 w 1406648"/>
                            <a:gd name="connsiteY5" fmla="*/ 1492672 h 1493274"/>
                            <a:gd name="connsiteX6" fmla="*/ 200 w 1406648"/>
                            <a:gd name="connsiteY6" fmla="*/ 1492672 h 1493274"/>
                            <a:gd name="connsiteX7" fmla="*/ 200 w 1406648"/>
                            <a:gd name="connsiteY7" fmla="*/ 1492250 h 1493274"/>
                            <a:gd name="connsiteX8" fmla="*/ 200 w 1406648"/>
                            <a:gd name="connsiteY8" fmla="*/ 250141 h 1493274"/>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0 w 1348747"/>
                            <a:gd name="connsiteY0" fmla="*/ 165456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65456 h 1493370"/>
                            <a:gd name="connsiteX0" fmla="*/ 0 w 1348747"/>
                            <a:gd name="connsiteY0" fmla="*/ 191920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8747" h="1493370">
                              <a:moveTo>
                                <a:pt x="0" y="215738"/>
                              </a:moveTo>
                              <a:cubicBezTo>
                                <a:pt x="884" y="74304"/>
                                <a:pt x="65900" y="0"/>
                                <a:pt x="156313" y="0"/>
                              </a:cubicBezTo>
                              <a:lnTo>
                                <a:pt x="1235646" y="0"/>
                              </a:lnTo>
                              <a:cubicBezTo>
                                <a:pt x="1348454" y="146475"/>
                                <a:pt x="1235598" y="-1093"/>
                                <a:pt x="1348747" y="146597"/>
                              </a:cubicBezTo>
                              <a:lnTo>
                                <a:pt x="1348747" y="1492672"/>
                              </a:lnTo>
                              <a:cubicBezTo>
                                <a:pt x="1342935" y="1494027"/>
                                <a:pt x="1344042" y="1493061"/>
                                <a:pt x="1345765" y="1492672"/>
                              </a:cubicBezTo>
                              <a:lnTo>
                                <a:pt x="200" y="1492672"/>
                              </a:lnTo>
                              <a:cubicBezTo>
                                <a:pt x="-919" y="1490220"/>
                                <a:pt x="3179" y="1493394"/>
                                <a:pt x="200" y="1492250"/>
                              </a:cubicBezTo>
                              <a:cubicBezTo>
                                <a:pt x="133" y="1049985"/>
                                <a:pt x="67" y="658003"/>
                                <a:pt x="0" y="215738"/>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le 292" o:spid="_x0000_s1026" style="position:absolute;margin-left:-5.45pt;margin-top:11.1pt;width:395.15pt;height:220.1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7,14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" path="m,215738c884,74304,65900,,156313,l1235646,v112808,146475,-48,-1093,113101,146597l1348747,1492672v-5812,1355,-4705,389,-2982,l200,1492672v-1119,-2452,2979,722,,-422c133,1049985,67,658003,,215738xe" fillcolor="#a32035 [3204]" stroked="f" strokeweight="2pt">
                <v:path arrowok="t" o:connecttype="custom" o:connectlocs="0,403842;581608,0;4597580,0;5018405,274416;5018405,2794144;5007310,2794144;744,2794144;744,2793354;0,403842" o:connectangles="0,0,0,0,0,0,0,0,0"/>
              </v:shape>
            </w:pict>
          </mc:Fallback>
        </mc:AlternateContent>
      </w:r>
    </w:p>
    <w:p w14:paraId="429CE17E" w14:textId="217FF503" w:rsidR="00BE58F1" w:rsidRPr="005A2D5D" w:rsidRDefault="00A058F1" w:rsidP="00434B90">
      <w:pPr>
        <w:pStyle w:val="CaseStudyHeading"/>
      </w:pPr>
      <w:bookmarkStart w:id="855" w:name="_Toc1054874"/>
      <w:r w:rsidRPr="005A2D5D">
        <w:t xml:space="preserve">Trends in </w:t>
      </w:r>
      <w:r w:rsidR="00901D26">
        <w:t>the</w:t>
      </w:r>
      <w:r w:rsidRPr="005A2D5D">
        <w:t xml:space="preserve"> Australian </w:t>
      </w:r>
      <w:r w:rsidR="00434B90" w:rsidRPr="005A2D5D">
        <w:t>Housing Market</w:t>
      </w:r>
      <w:bookmarkEnd w:id="855"/>
    </w:p>
    <w:p w14:paraId="5DD02249" w14:textId="76B62FEC" w:rsidR="00E47C37" w:rsidRPr="00E47C37" w:rsidRDefault="00415011" w:rsidP="00E47C37">
      <w:pPr>
        <w:rPr>
          <w:color w:val="FFFFFF" w:themeColor="background1"/>
        </w:rPr>
      </w:pPr>
      <w:r w:rsidRPr="00415011">
        <w:rPr>
          <w:color w:val="FFFFFF" w:themeColor="background1"/>
        </w:rPr>
        <w:t>The Australian housing market has slowed, with combined capital city dwelling prices falling for 16</w:t>
      </w:r>
      <w:r>
        <w:rPr>
          <w:color w:val="FFFFFF" w:themeColor="background1"/>
        </w:rPr>
        <w:t> </w:t>
      </w:r>
      <w:r w:rsidRPr="00415011">
        <w:rPr>
          <w:color w:val="FFFFFF" w:themeColor="background1"/>
        </w:rPr>
        <w:t>consecutive months to January 2019 to be 7.8</w:t>
      </w:r>
      <w:r>
        <w:rPr>
          <w:color w:val="FFFFFF" w:themeColor="background1"/>
        </w:rPr>
        <w:t> </w:t>
      </w:r>
      <w:r w:rsidRPr="00415011">
        <w:rPr>
          <w:color w:val="FFFFFF" w:themeColor="background1"/>
        </w:rPr>
        <w:t>per cent lower than their recent peak in September 2017. The recent moderation is unsurprising following rapid price growth between 2012 and 2017, and capital city housing prices are around 35</w:t>
      </w:r>
      <w:r>
        <w:rPr>
          <w:color w:val="FFFFFF" w:themeColor="background1"/>
        </w:rPr>
        <w:t> </w:t>
      </w:r>
      <w:r w:rsidRPr="00415011">
        <w:rPr>
          <w:color w:val="FFFFFF" w:themeColor="background1"/>
        </w:rPr>
        <w:t>per cent higher overall than in 2012. Price declines have been largest in Sydney (down by 12.3</w:t>
      </w:r>
      <w:r>
        <w:rPr>
          <w:color w:val="FFFFFF" w:themeColor="background1"/>
        </w:rPr>
        <w:t> </w:t>
      </w:r>
      <w:r w:rsidRPr="00415011">
        <w:rPr>
          <w:color w:val="FFFFFF" w:themeColor="background1"/>
        </w:rPr>
        <w:t>per cent from their peak in July 2017) and Melbourne (down by 8.7</w:t>
      </w:r>
      <w:r>
        <w:rPr>
          <w:color w:val="FFFFFF" w:themeColor="background1"/>
        </w:rPr>
        <w:t> </w:t>
      </w:r>
      <w:r w:rsidRPr="00415011">
        <w:rPr>
          <w:color w:val="FFFFFF" w:themeColor="background1"/>
        </w:rPr>
        <w:t>per cent from their peak in November 2017), with smaller price falls registered in Perth and Darwin.</w:t>
      </w:r>
    </w:p>
    <w:p w14:paraId="17D292C3" w14:textId="1AD50B7C" w:rsidR="00434B90" w:rsidRPr="00415011" w:rsidRDefault="00415011" w:rsidP="00415011">
      <w:pPr>
        <w:rPr>
          <w:color w:val="FFFFFF" w:themeColor="background1"/>
        </w:rPr>
      </w:pPr>
      <w:r w:rsidRPr="00415011">
        <w:rPr>
          <w:color w:val="FFFFFF" w:themeColor="background1"/>
        </w:rPr>
        <w:t>Nevertheless, residential construction activity remains elevated by historical standards and has grown strongly from the beginning of 2018 following a brief decline in 2017. Dwelling investment is expected to remain elevated in the near term supported by a solid pipeline of work yet to be constructed, although recent weakness in new dwelling approvals means that some moderation in the future level of activity remains likely.</w:t>
      </w:r>
    </w:p>
    <w:p w14:paraId="05E0BAA9" w14:textId="1406B863" w:rsidR="00E83190" w:rsidRPr="005A2D5D" w:rsidRDefault="00E83190" w:rsidP="00F81765">
      <w:pPr>
        <w:pStyle w:val="Heading4"/>
        <w:spacing w:before="360"/>
      </w:pPr>
      <w:r w:rsidRPr="005A2D5D">
        <w:t>Established residential dwellings</w:t>
      </w:r>
    </w:p>
    <w:p w14:paraId="05E0BAAA" w14:textId="6B55FEFD" w:rsidR="00E83190" w:rsidRPr="00637250" w:rsidRDefault="00E83190">
      <w:pPr>
        <w:spacing w:after="200"/>
        <w:rPr>
          <w:szCs w:val="24"/>
        </w:rPr>
      </w:pPr>
      <w:r w:rsidRPr="00637250">
        <w:rPr>
          <w:szCs w:val="24"/>
        </w:rPr>
        <w:t xml:space="preserve">In </w:t>
      </w:r>
      <w:r w:rsidR="00772F8D" w:rsidRPr="00637250">
        <w:rPr>
          <w:szCs w:val="24"/>
        </w:rPr>
        <w:t>20</w:t>
      </w:r>
      <w:r w:rsidR="00772F8D">
        <w:rPr>
          <w:szCs w:val="24"/>
        </w:rPr>
        <w:t>17</w:t>
      </w:r>
      <w:r>
        <w:rPr>
          <w:szCs w:val="24"/>
        </w:rPr>
        <w:t>–</w:t>
      </w:r>
      <w:r w:rsidR="00772F8D">
        <w:rPr>
          <w:szCs w:val="24"/>
        </w:rPr>
        <w:t>18,</w:t>
      </w:r>
      <w:r w:rsidRPr="00637250">
        <w:rPr>
          <w:szCs w:val="24"/>
        </w:rPr>
        <w:t xml:space="preserve"> </w:t>
      </w:r>
      <w:r w:rsidR="00F91AD2">
        <w:rPr>
          <w:szCs w:val="24"/>
        </w:rPr>
        <w:t>there were 1,615</w:t>
      </w:r>
      <w:r w:rsidRPr="00637250">
        <w:rPr>
          <w:szCs w:val="24"/>
        </w:rPr>
        <w:t xml:space="preserve"> approvals for established </w:t>
      </w:r>
      <w:r>
        <w:rPr>
          <w:szCs w:val="24"/>
        </w:rPr>
        <w:t xml:space="preserve">residential </w:t>
      </w:r>
      <w:r w:rsidRPr="00637250">
        <w:rPr>
          <w:szCs w:val="24"/>
        </w:rPr>
        <w:t>dwellings</w:t>
      </w:r>
      <w:r>
        <w:rPr>
          <w:szCs w:val="24"/>
        </w:rPr>
        <w:t xml:space="preserve">. </w:t>
      </w:r>
      <w:r w:rsidRPr="00637250">
        <w:rPr>
          <w:szCs w:val="24"/>
        </w:rPr>
        <w:t>Established dwellings</w:t>
      </w:r>
      <w:r>
        <w:rPr>
          <w:szCs w:val="24"/>
        </w:rPr>
        <w:t xml:space="preserve"> (or developed residential premises)</w:t>
      </w:r>
      <w:r w:rsidRPr="00637250">
        <w:rPr>
          <w:szCs w:val="24"/>
        </w:rPr>
        <w:t xml:space="preserve"> can generally only be purchased by temporary residents for use as their home </w:t>
      </w:r>
      <w:r>
        <w:rPr>
          <w:szCs w:val="24"/>
        </w:rPr>
        <w:t xml:space="preserve">while they remain </w:t>
      </w:r>
      <w:r w:rsidRPr="00637250">
        <w:rPr>
          <w:szCs w:val="24"/>
        </w:rPr>
        <w:t xml:space="preserve">in Australia. A small number of approvals are given for foreign persons that operate a substantial Australian business to acquire </w:t>
      </w:r>
      <w:r w:rsidRPr="00F91AD2">
        <w:t>an</w:t>
      </w:r>
      <w:r w:rsidRPr="00637250">
        <w:rPr>
          <w:szCs w:val="24"/>
        </w:rPr>
        <w:t xml:space="preserve"> established dwe</w:t>
      </w:r>
      <w:r>
        <w:rPr>
          <w:szCs w:val="24"/>
        </w:rPr>
        <w:t>lling to house Australian-</w:t>
      </w:r>
      <w:r w:rsidRPr="00637250">
        <w:rPr>
          <w:szCs w:val="24"/>
        </w:rPr>
        <w:t>based staff</w:t>
      </w:r>
      <w:r w:rsidR="00E37312">
        <w:rPr>
          <w:szCs w:val="24"/>
        </w:rPr>
        <w:t>.</w:t>
      </w:r>
      <w:r w:rsidR="00930796">
        <w:rPr>
          <w:rStyle w:val="FootnoteReference"/>
          <w:szCs w:val="24"/>
        </w:rPr>
        <w:footnoteReference w:id="14"/>
      </w:r>
    </w:p>
    <w:p w14:paraId="05E0BAAB" w14:textId="30B29B25" w:rsidR="00E83190" w:rsidRPr="00637250" w:rsidRDefault="00E83190">
      <w:pPr>
        <w:spacing w:after="200"/>
        <w:rPr>
          <w:color w:val="auto"/>
          <w:szCs w:val="24"/>
        </w:rPr>
      </w:pPr>
      <w:r>
        <w:rPr>
          <w:color w:val="auto"/>
          <w:szCs w:val="24"/>
        </w:rPr>
        <w:t>Es</w:t>
      </w:r>
      <w:r w:rsidRPr="00127D2F">
        <w:rPr>
          <w:color w:val="auto"/>
        </w:rPr>
        <w:t xml:space="preserve">tablished dwelling </w:t>
      </w:r>
      <w:r w:rsidR="00E202ED">
        <w:rPr>
          <w:color w:val="auto"/>
        </w:rPr>
        <w:t xml:space="preserve">single purchase </w:t>
      </w:r>
      <w:r w:rsidRPr="00127D2F">
        <w:rPr>
          <w:color w:val="auto"/>
        </w:rPr>
        <w:t>exemption certificate</w:t>
      </w:r>
      <w:r>
        <w:rPr>
          <w:color w:val="auto"/>
        </w:rPr>
        <w:t xml:space="preserve">s comprised a </w:t>
      </w:r>
      <w:r w:rsidR="00CD0831">
        <w:rPr>
          <w:color w:val="auto"/>
        </w:rPr>
        <w:t xml:space="preserve">third </w:t>
      </w:r>
      <w:r>
        <w:rPr>
          <w:color w:val="auto"/>
        </w:rPr>
        <w:t xml:space="preserve">of all established dwelling approvals. These certificates </w:t>
      </w:r>
      <w:r w:rsidRPr="00127D2F">
        <w:rPr>
          <w:color w:val="auto"/>
        </w:rPr>
        <w:t>enable foreign persons to receive pre</w:t>
      </w:r>
      <w:r w:rsidR="00F837B3">
        <w:rPr>
          <w:color w:val="auto"/>
        </w:rPr>
        <w:t>-</w:t>
      </w:r>
      <w:r w:rsidRPr="00127D2F">
        <w:rPr>
          <w:color w:val="auto"/>
        </w:rPr>
        <w:t xml:space="preserve">approval to purchase a single established dwelling and notify </w:t>
      </w:r>
      <w:r>
        <w:rPr>
          <w:color w:val="auto"/>
        </w:rPr>
        <w:t>the details of the property</w:t>
      </w:r>
      <w:r w:rsidRPr="00127D2F">
        <w:rPr>
          <w:color w:val="auto"/>
        </w:rPr>
        <w:t xml:space="preserve"> once </w:t>
      </w:r>
      <w:r w:rsidRPr="00127D2F">
        <w:rPr>
          <w:color w:val="auto"/>
          <w:szCs w:val="24"/>
        </w:rPr>
        <w:t>purchased,</w:t>
      </w:r>
      <w:r w:rsidRPr="00127D2F">
        <w:rPr>
          <w:color w:val="auto"/>
        </w:rPr>
        <w:t xml:space="preserve"> rather than requiring the person to seek individual approvals for each dwelling they may be </w:t>
      </w:r>
      <w:r>
        <w:rPr>
          <w:color w:val="auto"/>
        </w:rPr>
        <w:t>considering</w:t>
      </w:r>
      <w:r w:rsidRPr="00127D2F">
        <w:rPr>
          <w:color w:val="auto"/>
        </w:rPr>
        <w:t xml:space="preserve"> </w:t>
      </w:r>
      <w:r>
        <w:rPr>
          <w:color w:val="auto"/>
        </w:rPr>
        <w:t>purchasing</w:t>
      </w:r>
      <w:r w:rsidRPr="00127D2F">
        <w:rPr>
          <w:color w:val="auto"/>
        </w:rPr>
        <w:t>.</w:t>
      </w:r>
      <w:r w:rsidRPr="00127D2F">
        <w:rPr>
          <w:color w:val="auto"/>
          <w:szCs w:val="24"/>
        </w:rPr>
        <w:t xml:space="preserve"> </w:t>
      </w:r>
      <w:r>
        <w:rPr>
          <w:color w:val="auto"/>
          <w:szCs w:val="24"/>
        </w:rPr>
        <w:t>In 2016–17,</w:t>
      </w:r>
      <w:r w:rsidR="00E202ED">
        <w:rPr>
          <w:color w:val="auto"/>
          <w:szCs w:val="24"/>
        </w:rPr>
        <w:t xml:space="preserve"> these</w:t>
      </w:r>
      <w:r>
        <w:rPr>
          <w:color w:val="auto"/>
          <w:szCs w:val="24"/>
        </w:rPr>
        <w:t xml:space="preserve"> exemption certificates were broadened to allow foreign persons to acquire a </w:t>
      </w:r>
      <w:r w:rsidR="00E202ED">
        <w:rPr>
          <w:color w:val="auto"/>
          <w:szCs w:val="24"/>
        </w:rPr>
        <w:t xml:space="preserve">single </w:t>
      </w:r>
      <w:r>
        <w:rPr>
          <w:color w:val="auto"/>
          <w:szCs w:val="24"/>
        </w:rPr>
        <w:t>dwelling through any purchase method, whereas previously these certificates were limited to purchases through an auction process only.</w:t>
      </w:r>
    </w:p>
    <w:p w14:paraId="7BDD1847" w14:textId="77777777" w:rsidR="005A2D5D" w:rsidRDefault="005A2D5D">
      <w:pPr>
        <w:spacing w:after="200" w:line="276" w:lineRule="auto"/>
        <w:jc w:val="left"/>
        <w:rPr>
          <w:rFonts w:ascii="Calibri" w:hAnsi="Calibri"/>
          <w:b/>
          <w:bCs/>
          <w:i/>
          <w:color w:val="A32035"/>
          <w:sz w:val="24"/>
          <w:szCs w:val="22"/>
        </w:rPr>
      </w:pPr>
      <w:r>
        <w:br w:type="page"/>
      </w:r>
    </w:p>
    <w:p w14:paraId="05E0BAAC" w14:textId="133BE56C" w:rsidR="00E83190" w:rsidRPr="00637250" w:rsidRDefault="00E83190" w:rsidP="00B12DDB">
      <w:pPr>
        <w:pStyle w:val="Heading4"/>
      </w:pPr>
      <w:r w:rsidRPr="00637250">
        <w:t xml:space="preserve">For </w:t>
      </w:r>
      <w:r w:rsidRPr="008C4B15">
        <w:t>development</w:t>
      </w:r>
    </w:p>
    <w:p w14:paraId="26CCAE0C" w14:textId="72823EA2" w:rsidR="00F837B3" w:rsidRDefault="00F837B3">
      <w:pPr>
        <w:spacing w:after="200"/>
        <w:rPr>
          <w:rFonts w:ascii="Calibri" w:hAnsi="Calibri"/>
          <w:color w:val="auto"/>
          <w:szCs w:val="24"/>
        </w:rPr>
      </w:pPr>
      <w:r>
        <w:rPr>
          <w:rFonts w:ascii="Calibri" w:hAnsi="Calibri"/>
          <w:color w:val="auto"/>
          <w:szCs w:val="24"/>
        </w:rPr>
        <w:t>A</w:t>
      </w:r>
      <w:r w:rsidRPr="00570AC9">
        <w:rPr>
          <w:rFonts w:ascii="Calibri" w:hAnsi="Calibri"/>
          <w:color w:val="auto"/>
          <w:szCs w:val="24"/>
        </w:rPr>
        <w:t>ustralia’s foreign investment policy encourages foreign investment in the residential real estate sector, which is expected help build new supply. During 2017–18, 8,4</w:t>
      </w:r>
      <w:r w:rsidR="00D860E2">
        <w:rPr>
          <w:rFonts w:ascii="Calibri" w:hAnsi="Calibri"/>
          <w:color w:val="auto"/>
          <w:szCs w:val="24"/>
        </w:rPr>
        <w:t>21</w:t>
      </w:r>
      <w:r w:rsidRPr="00570AC9">
        <w:rPr>
          <w:rFonts w:ascii="Calibri" w:hAnsi="Calibri"/>
          <w:color w:val="auto"/>
          <w:szCs w:val="24"/>
        </w:rPr>
        <w:t xml:space="preserve"> approvals for development were given including approvals for new dwellings, vacant land and other residential property for development.</w:t>
      </w:r>
    </w:p>
    <w:p w14:paraId="6327DFBE" w14:textId="2192528C" w:rsidR="00286090" w:rsidRDefault="001842A4" w:rsidP="005A2D5D">
      <w:pPr>
        <w:rPr>
          <w:rFonts w:ascii="Calibri" w:hAnsi="Calibri"/>
          <w:color w:val="auto"/>
          <w:szCs w:val="24"/>
        </w:rPr>
      </w:pPr>
      <w:bookmarkStart w:id="856" w:name="_Toc529545216"/>
      <w:bookmarkStart w:id="857" w:name="_Toc529802470"/>
      <w:bookmarkStart w:id="858" w:name="_Toc529878043"/>
      <w:bookmarkStart w:id="859" w:name="_Toc529879267"/>
      <w:bookmarkStart w:id="860" w:name="_Toc529882532"/>
      <w:bookmarkStart w:id="861" w:name="_Toc529885203"/>
      <w:bookmarkStart w:id="862" w:name="_Toc529890675"/>
      <w:bookmarkStart w:id="863" w:name="_Toc529970046"/>
      <w:bookmarkStart w:id="864" w:name="_Toc529979401"/>
      <w:bookmarkStart w:id="865" w:name="_Toc530050446"/>
      <w:bookmarkStart w:id="866" w:name="_Toc530065525"/>
      <w:bookmarkStart w:id="867" w:name="_Toc530066353"/>
      <w:bookmarkStart w:id="868" w:name="_Toc530145072"/>
      <w:bookmarkStart w:id="869" w:name="_Toc530146042"/>
      <w:bookmarkStart w:id="870" w:name="_Toc530146963"/>
      <w:r>
        <w:rPr>
          <w:rFonts w:ascii="Calibri" w:hAnsi="Calibri"/>
          <w:color w:val="auto"/>
          <w:szCs w:val="24"/>
        </w:rPr>
        <w:t xml:space="preserve">In addition to the decrease in NDEC approvals, there was a </w:t>
      </w:r>
      <w:r w:rsidR="00694538">
        <w:rPr>
          <w:rFonts w:ascii="Calibri" w:hAnsi="Calibri"/>
          <w:color w:val="auto"/>
          <w:szCs w:val="24"/>
        </w:rPr>
        <w:t xml:space="preserve">62 per cent decline in the number of exemption certificate approvals </w:t>
      </w:r>
      <w:r w:rsidR="00E47C37">
        <w:rPr>
          <w:rFonts w:ascii="Calibri" w:hAnsi="Calibri"/>
          <w:color w:val="auto"/>
          <w:szCs w:val="24"/>
        </w:rPr>
        <w:t>compared with</w:t>
      </w:r>
      <w:r w:rsidR="00694538">
        <w:rPr>
          <w:rFonts w:ascii="Calibri" w:hAnsi="Calibri"/>
          <w:color w:val="auto"/>
          <w:szCs w:val="24"/>
        </w:rPr>
        <w:t xml:space="preserve"> 2016-17. This can be explained by the number of approvals in 2016-17 being an elevated figure, at almost double the number approved in the prior financial year. </w:t>
      </w:r>
      <w:r w:rsidR="00694538" w:rsidRPr="00694538">
        <w:rPr>
          <w:rFonts w:ascii="Calibri" w:hAnsi="Calibri"/>
          <w:color w:val="auto"/>
          <w:szCs w:val="24"/>
        </w:rPr>
        <w:t xml:space="preserve">One factor that may have contributed to the high value of exemption certificates in 2016-17 was that as of December 2015 these certificates could be granted for purchases to be carried out over a number of years, whereas previously they were limited to a 12 month period. </w:t>
      </w:r>
      <w:r w:rsidR="00286090">
        <w:rPr>
          <w:rFonts w:ascii="Calibri" w:hAnsi="Calibri"/>
          <w:color w:val="auto"/>
          <w:szCs w:val="24"/>
        </w:rPr>
        <w:t>This could have elevated the number of approvals in 2016-17 as, rather than</w:t>
      </w:r>
      <w:r w:rsidR="006B417E">
        <w:rPr>
          <w:rFonts w:ascii="Calibri" w:hAnsi="Calibri"/>
          <w:color w:val="auto"/>
          <w:szCs w:val="24"/>
        </w:rPr>
        <w:t xml:space="preserve"> wait and</w:t>
      </w:r>
      <w:r w:rsidR="00286090">
        <w:rPr>
          <w:rFonts w:ascii="Calibri" w:hAnsi="Calibri"/>
          <w:color w:val="auto"/>
          <w:szCs w:val="24"/>
        </w:rPr>
        <w:t xml:space="preserve"> apply annually, f</w:t>
      </w:r>
      <w:r w:rsidR="00694538" w:rsidRPr="00694538">
        <w:rPr>
          <w:rFonts w:ascii="Calibri" w:hAnsi="Calibri"/>
          <w:color w:val="auto"/>
          <w:szCs w:val="24"/>
        </w:rPr>
        <w:t>oreign persons</w:t>
      </w:r>
      <w:r w:rsidR="00286090">
        <w:rPr>
          <w:rFonts w:ascii="Calibri" w:hAnsi="Calibri"/>
          <w:color w:val="auto"/>
          <w:szCs w:val="24"/>
        </w:rPr>
        <w:t xml:space="preserve"> </w:t>
      </w:r>
      <w:r w:rsidR="00694538">
        <w:rPr>
          <w:rFonts w:ascii="Calibri" w:hAnsi="Calibri"/>
          <w:color w:val="auto"/>
          <w:szCs w:val="24"/>
        </w:rPr>
        <w:t xml:space="preserve">acquired </w:t>
      </w:r>
      <w:r w:rsidR="00286090">
        <w:rPr>
          <w:rFonts w:ascii="Calibri" w:hAnsi="Calibri"/>
          <w:color w:val="auto"/>
          <w:szCs w:val="24"/>
        </w:rPr>
        <w:t>several multi-year exemption certificates</w:t>
      </w:r>
      <w:r w:rsidR="006B417E">
        <w:rPr>
          <w:rFonts w:ascii="Calibri" w:hAnsi="Calibri"/>
          <w:color w:val="auto"/>
          <w:szCs w:val="24"/>
        </w:rPr>
        <w:t>. This would</w:t>
      </w:r>
      <w:r w:rsidR="00286090">
        <w:rPr>
          <w:rFonts w:ascii="Calibri" w:hAnsi="Calibri"/>
          <w:color w:val="auto"/>
          <w:szCs w:val="24"/>
        </w:rPr>
        <w:t xml:space="preserve"> reduc</w:t>
      </w:r>
      <w:r w:rsidR="006B417E">
        <w:rPr>
          <w:rFonts w:ascii="Calibri" w:hAnsi="Calibri"/>
          <w:color w:val="auto"/>
          <w:szCs w:val="24"/>
        </w:rPr>
        <w:t>e</w:t>
      </w:r>
      <w:r w:rsidR="00286090">
        <w:rPr>
          <w:rFonts w:ascii="Calibri" w:hAnsi="Calibri"/>
          <w:color w:val="auto"/>
          <w:szCs w:val="24"/>
        </w:rPr>
        <w:t xml:space="preserve"> the need for</w:t>
      </w:r>
      <w:r w:rsidR="00A17777">
        <w:rPr>
          <w:rFonts w:ascii="Calibri" w:hAnsi="Calibri"/>
          <w:color w:val="auto"/>
          <w:szCs w:val="24"/>
        </w:rPr>
        <w:t xml:space="preserve"> an</w:t>
      </w:r>
      <w:r w:rsidR="00286090">
        <w:rPr>
          <w:rFonts w:ascii="Calibri" w:hAnsi="Calibri"/>
          <w:color w:val="auto"/>
          <w:szCs w:val="24"/>
        </w:rPr>
        <w:t xml:space="preserve"> exemption certificate in the 2017-18 financial year.</w:t>
      </w:r>
    </w:p>
    <w:p w14:paraId="6E90BD7B" w14:textId="014E57BF" w:rsidR="005A2D5D" w:rsidRPr="00166388" w:rsidRDefault="005A2D5D" w:rsidP="004435B6">
      <w:pPr>
        <w:rPr>
          <w:rFonts w:ascii="Calibri" w:hAnsi="Calibri"/>
          <w:color w:val="auto"/>
          <w:szCs w:val="24"/>
        </w:rPr>
      </w:pPr>
      <w:r>
        <w:rPr>
          <w:rFonts w:ascii="Calibri" w:hAnsi="Calibri"/>
          <w:color w:val="auto"/>
          <w:szCs w:val="24"/>
        </w:rPr>
        <w:t>R</w:t>
      </w:r>
      <w:r w:rsidRPr="00475729">
        <w:rPr>
          <w:rFonts w:ascii="Calibri" w:hAnsi="Calibri"/>
          <w:color w:val="auto"/>
          <w:szCs w:val="24"/>
        </w:rPr>
        <w:t xml:space="preserve">esidential real estate approvals for development </w:t>
      </w:r>
      <w:r>
        <w:rPr>
          <w:rFonts w:ascii="Calibri" w:hAnsi="Calibri"/>
          <w:color w:val="auto"/>
          <w:szCs w:val="24"/>
        </w:rPr>
        <w:t xml:space="preserve">as a proportion of total residential real estate approvals </w:t>
      </w:r>
      <w:r w:rsidRPr="00475729">
        <w:rPr>
          <w:rFonts w:ascii="Calibri" w:hAnsi="Calibri"/>
          <w:color w:val="auto"/>
          <w:szCs w:val="24"/>
        </w:rPr>
        <w:t>ha</w:t>
      </w:r>
      <w:r>
        <w:rPr>
          <w:rFonts w:ascii="Calibri" w:hAnsi="Calibri"/>
          <w:color w:val="auto"/>
          <w:szCs w:val="24"/>
        </w:rPr>
        <w:t>ve</w:t>
      </w:r>
      <w:r w:rsidRPr="00475729">
        <w:rPr>
          <w:rFonts w:ascii="Calibri" w:hAnsi="Calibri"/>
          <w:color w:val="auto"/>
          <w:szCs w:val="24"/>
        </w:rPr>
        <w:t xml:space="preserve"> declined in comparison to previous years and represent around </w:t>
      </w:r>
      <w:r w:rsidRPr="00274A80">
        <w:rPr>
          <w:rFonts w:ascii="Calibri" w:hAnsi="Calibri"/>
          <w:color w:val="auto"/>
        </w:rPr>
        <w:t>81</w:t>
      </w:r>
      <w:r w:rsidRPr="00475729">
        <w:rPr>
          <w:rFonts w:ascii="Calibri" w:hAnsi="Calibri"/>
          <w:color w:val="auto"/>
          <w:szCs w:val="24"/>
        </w:rPr>
        <w:t> per</w:t>
      </w:r>
      <w:r>
        <w:rPr>
          <w:rFonts w:ascii="Calibri" w:hAnsi="Calibri"/>
          <w:color w:val="auto"/>
          <w:szCs w:val="24"/>
        </w:rPr>
        <w:t> </w:t>
      </w:r>
      <w:r w:rsidRPr="00475729">
        <w:rPr>
          <w:rFonts w:ascii="Calibri" w:hAnsi="Calibri"/>
          <w:color w:val="auto"/>
          <w:szCs w:val="24"/>
        </w:rPr>
        <w:t xml:space="preserve">cent of the value of all residential approvals in 2017–18 (compared </w:t>
      </w:r>
      <w:r w:rsidRPr="00FD01F3">
        <w:rPr>
          <w:rFonts w:ascii="Calibri" w:hAnsi="Calibri"/>
          <w:color w:val="auto"/>
          <w:szCs w:val="24"/>
        </w:rPr>
        <w:t xml:space="preserve">with </w:t>
      </w:r>
      <w:r w:rsidRPr="009440C5">
        <w:rPr>
          <w:rFonts w:ascii="Calibri" w:hAnsi="Calibri"/>
          <w:color w:val="auto"/>
        </w:rPr>
        <w:t>90</w:t>
      </w:r>
      <w:r w:rsidRPr="00FD01F3">
        <w:rPr>
          <w:rFonts w:ascii="Calibri" w:hAnsi="Calibri"/>
          <w:color w:val="auto"/>
          <w:szCs w:val="24"/>
        </w:rPr>
        <w:t xml:space="preserve"> per</w:t>
      </w:r>
      <w:r w:rsidRPr="00475729">
        <w:rPr>
          <w:rFonts w:ascii="Calibri" w:hAnsi="Calibri"/>
          <w:color w:val="auto"/>
          <w:szCs w:val="24"/>
        </w:rPr>
        <w:t xml:space="preserve"> cent in 2016–17</w:t>
      </w:r>
      <w:r>
        <w:rPr>
          <w:rFonts w:ascii="Calibri" w:hAnsi="Calibri"/>
          <w:color w:val="auto"/>
          <w:szCs w:val="24"/>
        </w:rPr>
        <w:t>)</w:t>
      </w:r>
      <w:r w:rsidRPr="00475729">
        <w:rPr>
          <w:rFonts w:ascii="Calibri" w:hAnsi="Calibri"/>
          <w:color w:val="auto"/>
          <w:szCs w:val="24"/>
        </w:rPr>
        <w:t xml:space="preserve">. Notwithstanding </w:t>
      </w:r>
      <w:r w:rsidR="006B417E">
        <w:rPr>
          <w:rFonts w:ascii="Calibri" w:hAnsi="Calibri"/>
          <w:color w:val="auto"/>
          <w:szCs w:val="24"/>
        </w:rPr>
        <w:t>this</w:t>
      </w:r>
      <w:r w:rsidR="006B417E" w:rsidRPr="00475729">
        <w:rPr>
          <w:rFonts w:ascii="Calibri" w:hAnsi="Calibri"/>
          <w:color w:val="auto"/>
          <w:szCs w:val="24"/>
        </w:rPr>
        <w:t xml:space="preserve"> </w:t>
      </w:r>
      <w:r w:rsidRPr="00475729">
        <w:rPr>
          <w:rFonts w:ascii="Calibri" w:hAnsi="Calibri"/>
          <w:color w:val="auto"/>
          <w:szCs w:val="24"/>
        </w:rPr>
        <w:t>decrease</w:t>
      </w:r>
      <w:r w:rsidR="004733E8">
        <w:rPr>
          <w:rFonts w:ascii="Calibri" w:hAnsi="Calibri"/>
          <w:color w:val="auto"/>
          <w:szCs w:val="24"/>
        </w:rPr>
        <w:t>,</w:t>
      </w:r>
      <w:r w:rsidRPr="00475729">
        <w:rPr>
          <w:rFonts w:ascii="Calibri" w:hAnsi="Calibri"/>
          <w:color w:val="auto"/>
          <w:szCs w:val="24"/>
        </w:rPr>
        <w:t xml:space="preserve"> the majority of approvals continue to be </w:t>
      </w:r>
      <w:r>
        <w:rPr>
          <w:rFonts w:ascii="Calibri" w:hAnsi="Calibri"/>
          <w:color w:val="auto"/>
          <w:szCs w:val="24"/>
        </w:rPr>
        <w:t xml:space="preserve">for </w:t>
      </w:r>
      <w:r w:rsidRPr="00475729">
        <w:rPr>
          <w:rFonts w:ascii="Calibri" w:hAnsi="Calibri"/>
          <w:color w:val="auto"/>
          <w:szCs w:val="24"/>
        </w:rPr>
        <w:t>development and this aligns with Australia’s foreign investment policy, which seeks to attract investment that increases the housing stock.</w:t>
      </w:r>
    </w:p>
    <w:p w14:paraId="05E0BAAF" w14:textId="5036FBA1" w:rsidR="00E83190" w:rsidRPr="00637250" w:rsidRDefault="00772F8D" w:rsidP="00FE0B08">
      <w:pPr>
        <w:pStyle w:val="TableHeading"/>
        <w:tabs>
          <w:tab w:val="left" w:pos="1050"/>
        </w:tabs>
      </w:pPr>
      <w:bookmarkStart w:id="871" w:name="_Toc530148321"/>
      <w:bookmarkStart w:id="872" w:name="_Toc530148522"/>
      <w:bookmarkStart w:id="873" w:name="_Toc530149194"/>
      <w:bookmarkStart w:id="874" w:name="_Toc530149818"/>
      <w:bookmarkStart w:id="875" w:name="_Toc530401670"/>
      <w:bookmarkStart w:id="876" w:name="_Toc530491423"/>
      <w:bookmarkStart w:id="877" w:name="_Toc530495841"/>
      <w:bookmarkStart w:id="878" w:name="_Toc530497744"/>
      <w:bookmarkStart w:id="879" w:name="_Toc530663564"/>
      <w:bookmarkStart w:id="880" w:name="_Toc530753857"/>
      <w:bookmarkStart w:id="881" w:name="_Toc530756426"/>
      <w:bookmarkStart w:id="882" w:name="_Toc530759863"/>
      <w:bookmarkStart w:id="883" w:name="_Toc532223709"/>
      <w:bookmarkStart w:id="884" w:name="_Toc532224168"/>
      <w:bookmarkStart w:id="885" w:name="_Toc532226647"/>
      <w:bookmarkStart w:id="886" w:name="_Toc536029349"/>
      <w:bookmarkStart w:id="887" w:name="_Toc1054889"/>
      <w:r w:rsidRPr="00637250">
        <w:t>Table</w:t>
      </w:r>
      <w:r w:rsidR="00FE0B08">
        <w:t xml:space="preserve"> </w:t>
      </w:r>
      <w:r w:rsidR="00E10BA2">
        <w:t>3</w:t>
      </w:r>
      <w:r w:rsidR="00E83190">
        <w:t>.10</w:t>
      </w:r>
      <w:r w:rsidR="00E83190" w:rsidRPr="00637250">
        <w:t>:</w:t>
      </w:r>
      <w:r w:rsidR="00665F25">
        <w:t xml:space="preserve"> </w:t>
      </w:r>
      <w:r w:rsidR="00EE0C4A">
        <w:t>R</w:t>
      </w:r>
      <w:r w:rsidR="00E83190" w:rsidRPr="00637250">
        <w:t>esidential real estate</w:t>
      </w:r>
      <w:r w:rsidR="00EE0C4A">
        <w:t xml:space="preserve"> approvals</w:t>
      </w:r>
      <w:r w:rsidR="00E83190">
        <w:t>,</w:t>
      </w:r>
      <w:r w:rsidR="00E83190" w:rsidRPr="00637250">
        <w:t xml:space="preserve"> by type: </w:t>
      </w:r>
      <w:r w:rsidRPr="00637250">
        <w:t>201</w:t>
      </w:r>
      <w:r>
        <w:t>4</w:t>
      </w:r>
      <w:r w:rsidR="00E83190">
        <w:t>–</w:t>
      </w:r>
      <w:r w:rsidRPr="00637250">
        <w:t>1</w:t>
      </w:r>
      <w:r>
        <w:t>5</w:t>
      </w:r>
      <w:r w:rsidRPr="00637250">
        <w:t xml:space="preserve"> </w:t>
      </w:r>
      <w:r w:rsidR="00E83190" w:rsidRPr="00637250">
        <w:t xml:space="preserve">to </w:t>
      </w:r>
      <w:r w:rsidRPr="00637250">
        <w:t>201</w:t>
      </w:r>
      <w:r>
        <w:t>7</w:t>
      </w:r>
      <w:r w:rsidR="00E83190">
        <w:t>–</w:t>
      </w:r>
      <w:r w:rsidRPr="00637250">
        <w:t>1</w:t>
      </w:r>
      <w:r>
        <w:t>8</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bookmarkStart w:id="888" w:name="_1548074936"/>
    <w:bookmarkEnd w:id="888"/>
    <w:p w14:paraId="69A16734" w14:textId="38B2AF1F" w:rsidR="00E9770D" w:rsidRPr="005F609E" w:rsidRDefault="00D120B3" w:rsidP="005F609E">
      <w:pPr>
        <w:pStyle w:val="TableGraphic"/>
      </w:pPr>
      <w:r>
        <w:object w:dxaOrig="7734" w:dyaOrig="5668" w14:anchorId="43ADCFA0">
          <v:shape id="_x0000_i1036" type="#_x0000_t75" alt="Table shows the number and total value of residential real estate approvals during a financial year for the four financial years ending in 2017-18 and categorises these as either developed or for development.&#10;In comparison to 2016-17, 74 per cent of the $17.5 billion fall  in total residential real estate approvals in 2017-18 can be attributed to the decrease in approvals under new dwellings. The number and value of the new dwellings approvals fell since a peak in 2015-16 with only 5,694 approvals worth $7.7 billion in 2017-18. Developed land approvals declined from a peak in 2014-15 with 1615 approvals granted worth $2.4 billion in 2017-18.&#10;" style="width:385.95pt;height:281.15pt" o:ole="">
            <v:imagedata r:id="rId81" o:title=""/>
          </v:shape>
          <o:OLEObject Type="Link" ProgID="Excel.Sheet.12" ShapeID="_x0000_i1036" DrawAspect="Content" r:id="rId82" UpdateMode="Always">
            <o:LinkType>EnhancedMetaFile</o:LinkType>
            <o:LockedField>false</o:LockedField>
          </o:OLEObject>
        </w:object>
      </w:r>
    </w:p>
    <w:p w14:paraId="05E0BAB2" w14:textId="4DE74CD9" w:rsidR="00E83190" w:rsidRPr="00A35DCB" w:rsidRDefault="0075753B" w:rsidP="00397941">
      <w:pPr>
        <w:pStyle w:val="ChartandTableFootnoteAlpha"/>
        <w:numPr>
          <w:ilvl w:val="0"/>
          <w:numId w:val="28"/>
        </w:numPr>
      </w:pPr>
      <w:r>
        <w:t xml:space="preserve">Exemption certificates to purchase one established dwelling, known as </w:t>
      </w:r>
      <w:r w:rsidR="000B51B1">
        <w:t>e</w:t>
      </w:r>
      <w:r w:rsidR="00E83190" w:rsidRPr="00A35DCB">
        <w:t>stablished dwelling e</w:t>
      </w:r>
      <w:r w:rsidR="00772F8D">
        <w:t>xe</w:t>
      </w:r>
      <w:r w:rsidR="00E83190" w:rsidRPr="00A35DCB">
        <w:t>mption certificates</w:t>
      </w:r>
      <w:r>
        <w:t>,</w:t>
      </w:r>
      <w:r w:rsidR="00E83190" w:rsidRPr="00A35DCB">
        <w:t xml:space="preserve"> were introduced </w:t>
      </w:r>
      <w:r w:rsidR="00E83190">
        <w:t xml:space="preserve">from </w:t>
      </w:r>
      <w:r w:rsidR="00772F8D" w:rsidRPr="00A35DCB">
        <w:t>1</w:t>
      </w:r>
      <w:r w:rsidR="00772F8D">
        <w:t> </w:t>
      </w:r>
      <w:r w:rsidR="00E83190" w:rsidRPr="00A35DCB">
        <w:t>December 2015.</w:t>
      </w:r>
      <w:r>
        <w:t xml:space="preserve"> </w:t>
      </w:r>
      <w:r w:rsidR="00E202ED">
        <w:t>Initially the certificates were only available if purchasing at auction. As of 2016</w:t>
      </w:r>
      <w:r w:rsidR="00E202ED">
        <w:noBreakHyphen/>
        <w:t xml:space="preserve">17 the certificates were expanded to cover purchase by any method. </w:t>
      </w:r>
      <w:r>
        <w:t xml:space="preserve">Exemption certificates for the certificate holder to purchase one </w:t>
      </w:r>
      <w:r w:rsidR="000B51B1">
        <w:t xml:space="preserve">lot of </w:t>
      </w:r>
      <w:r>
        <w:t xml:space="preserve">vacant land or </w:t>
      </w:r>
      <w:r w:rsidR="00E37312">
        <w:t xml:space="preserve">one </w:t>
      </w:r>
      <w:r>
        <w:t>new dwelling were introduced from 1 July 2017.</w:t>
      </w:r>
    </w:p>
    <w:p w14:paraId="05E0BAB3" w14:textId="2294A4A2" w:rsidR="00E83190" w:rsidRPr="00EC4C4A" w:rsidRDefault="00E83190" w:rsidP="009430D6">
      <w:pPr>
        <w:pStyle w:val="ChartandTableFootnoteAlpha"/>
      </w:pPr>
      <w:r w:rsidRPr="00A35DCB">
        <w:t xml:space="preserve">From 1 December 2015, </w:t>
      </w:r>
      <w:r w:rsidR="000B51B1">
        <w:t>a</w:t>
      </w:r>
      <w:r w:rsidRPr="00A35DCB">
        <w:t xml:space="preserve">nnual </w:t>
      </w:r>
      <w:r w:rsidR="000B51B1">
        <w:t>p</w:t>
      </w:r>
      <w:r w:rsidRPr="00A35DCB">
        <w:t>rograms</w:t>
      </w:r>
      <w:r>
        <w:t>,</w:t>
      </w:r>
      <w:r w:rsidRPr="00A35DCB">
        <w:t xml:space="preserve"> under the new provisions in the Act are k</w:t>
      </w:r>
      <w:r>
        <w:t xml:space="preserve">nown as </w:t>
      </w:r>
      <w:r w:rsidR="000B51B1">
        <w:t>e</w:t>
      </w:r>
      <w:r>
        <w:t>xemption certificates</w:t>
      </w:r>
      <w:r w:rsidR="00772F8D">
        <w:t xml:space="preserve"> for foreign persons</w:t>
      </w:r>
      <w:r>
        <w:t>.</w:t>
      </w:r>
      <w:r w:rsidR="006071EF">
        <w:t xml:space="preserve"> They are no longer limited to a 12 month period</w:t>
      </w:r>
      <w:r w:rsidR="00FE723D">
        <w:t>.</w:t>
      </w:r>
    </w:p>
    <w:p w14:paraId="2D17321B" w14:textId="77777777" w:rsidR="00622729" w:rsidRDefault="00622729" w:rsidP="00982DD9">
      <w:pPr>
        <w:pStyle w:val="ChartorTableNote"/>
        <w:tabs>
          <w:tab w:val="left" w:pos="567"/>
        </w:tabs>
        <w:ind w:left="567" w:hanging="567"/>
      </w:pPr>
      <w:r w:rsidRPr="00A35DCB">
        <w:t>Notes:</w:t>
      </w:r>
      <w:r w:rsidRPr="00A35DCB">
        <w:tab/>
        <w:t>Totals may not add due to rounding.</w:t>
      </w:r>
    </w:p>
    <w:p w14:paraId="1917FD09" w14:textId="77777777" w:rsidR="00622729" w:rsidRDefault="00622729" w:rsidP="00982DD9">
      <w:pPr>
        <w:pStyle w:val="ChartorTableNote"/>
        <w:tabs>
          <w:tab w:val="left" w:pos="567"/>
        </w:tabs>
        <w:ind w:left="567" w:hanging="567"/>
      </w:pPr>
      <w:r>
        <w:tab/>
      </w:r>
      <w:r w:rsidRPr="00533F71">
        <w:t>‘</w:t>
      </w:r>
      <w:r>
        <w:t>0.0’</w:t>
      </w:r>
      <w:r w:rsidRPr="00533F71">
        <w:t xml:space="preserve"> indicates a figure</w:t>
      </w:r>
      <w:r>
        <w:t xml:space="preserve"> of zero or a figure less than</w:t>
      </w:r>
      <w:r w:rsidRPr="00533F71">
        <w:t xml:space="preserve"> </w:t>
      </w:r>
      <w:r>
        <w:t>$</w:t>
      </w:r>
      <w:r w:rsidRPr="00533F71">
        <w:t>50 million.</w:t>
      </w:r>
    </w:p>
    <w:p w14:paraId="289FF3ED" w14:textId="6E147EE8" w:rsidR="00E9770D" w:rsidRDefault="00622729" w:rsidP="00B12DDB">
      <w:pPr>
        <w:pStyle w:val="ChartorTableNote"/>
        <w:tabs>
          <w:tab w:val="left" w:pos="567"/>
        </w:tabs>
        <w:ind w:left="567" w:hanging="567"/>
      </w:pPr>
      <w:r>
        <w:tab/>
        <w:t>EC refers to Exemption Certificates.</w:t>
      </w:r>
    </w:p>
    <w:p w14:paraId="3B7C9EF6" w14:textId="57A9053B" w:rsidR="00E37312" w:rsidRDefault="00E83190" w:rsidP="00974C1D">
      <w:pPr>
        <w:pStyle w:val="ChartorTableNote"/>
        <w:tabs>
          <w:tab w:val="left" w:pos="567"/>
        </w:tabs>
        <w:ind w:left="567" w:hanging="567"/>
      </w:pPr>
      <w:r>
        <w:tab/>
      </w:r>
      <w:r w:rsidR="00E37312">
        <w:t>An approval category that was not available during a financial year is denoted by ‘</w:t>
      </w:r>
      <w:proofErr w:type="spellStart"/>
      <w:r w:rsidR="00E37312">
        <w:t>na</w:t>
      </w:r>
      <w:proofErr w:type="spellEnd"/>
      <w:r w:rsidR="00E37312">
        <w:t>’.</w:t>
      </w:r>
    </w:p>
    <w:p w14:paraId="05E0BAB6" w14:textId="7052F406" w:rsidR="00E83190" w:rsidRDefault="00E37312" w:rsidP="00974C1D">
      <w:pPr>
        <w:pStyle w:val="ChartorTableNote"/>
        <w:tabs>
          <w:tab w:val="left" w:pos="567"/>
        </w:tabs>
        <w:ind w:left="567" w:hanging="567"/>
      </w:pPr>
      <w:r>
        <w:tab/>
      </w:r>
      <w:r w:rsidR="00E83190" w:rsidRPr="00A35DCB">
        <w:t xml:space="preserve">The value ascribed to a new dwelling </w:t>
      </w:r>
      <w:r w:rsidR="001B7815">
        <w:t>exemption certificate</w:t>
      </w:r>
      <w:r w:rsidR="00E83190" w:rsidRPr="00A35DCB">
        <w:t xml:space="preserve"> is the total </w:t>
      </w:r>
      <w:r w:rsidR="001B7815">
        <w:t xml:space="preserve">estimated sales </w:t>
      </w:r>
      <w:r w:rsidR="00E83190" w:rsidRPr="00A35DCB">
        <w:t xml:space="preserve">value of the </w:t>
      </w:r>
      <w:r w:rsidR="001B7815">
        <w:t xml:space="preserve">new dwellings in the </w:t>
      </w:r>
      <w:r w:rsidR="00E83190" w:rsidRPr="00A35DCB">
        <w:t xml:space="preserve">development </w:t>
      </w:r>
      <w:r w:rsidR="00E83190">
        <w:t xml:space="preserve">available for purchase by foreign </w:t>
      </w:r>
      <w:r w:rsidR="0075502D">
        <w:t>persons</w:t>
      </w:r>
      <w:r w:rsidR="001B7815">
        <w:t>. The value recorded is</w:t>
      </w:r>
      <w:r w:rsidR="00E83190">
        <w:t xml:space="preserve"> </w:t>
      </w:r>
      <w:r w:rsidR="00E83190" w:rsidRPr="00A35DCB">
        <w:t>as provided by the applicant</w:t>
      </w:r>
      <w:r w:rsidR="001B7815">
        <w:t xml:space="preserve"> when applying for the exemption certificate</w:t>
      </w:r>
      <w:r w:rsidR="00E83190" w:rsidRPr="00A35DCB">
        <w:t>. From the 2017</w:t>
      </w:r>
      <w:r w:rsidR="00E83190">
        <w:t>–</w:t>
      </w:r>
      <w:r w:rsidR="00E83190" w:rsidRPr="00A35DCB">
        <w:t>18 Budget onwards</w:t>
      </w:r>
      <w:r w:rsidR="000B51B1">
        <w:t>,</w:t>
      </w:r>
      <w:r w:rsidR="00E83190" w:rsidRPr="00A35DCB">
        <w:t xml:space="preserve"> approved new dwelling </w:t>
      </w:r>
      <w:r w:rsidR="00E83190">
        <w:t xml:space="preserve">exemption certificates </w:t>
      </w:r>
      <w:r w:rsidR="00E83190" w:rsidRPr="00A35DCB">
        <w:t>only allow developers to sell a maximum of</w:t>
      </w:r>
      <w:r w:rsidR="00974C1D">
        <w:br/>
      </w:r>
      <w:r w:rsidR="00487438" w:rsidRPr="00A35DCB">
        <w:t>50</w:t>
      </w:r>
      <w:r w:rsidR="00487438">
        <w:t> </w:t>
      </w:r>
      <w:r w:rsidR="00E83190" w:rsidRPr="00A35DCB">
        <w:t>per cent of dwellings in a development to foreign persons.</w:t>
      </w:r>
    </w:p>
    <w:p w14:paraId="2826F09D" w14:textId="46141813" w:rsidR="00830E68" w:rsidRPr="00830E68" w:rsidRDefault="00830E68" w:rsidP="00361BFB">
      <w:pPr>
        <w:pStyle w:val="ChartorTableNote"/>
        <w:tabs>
          <w:tab w:val="left" w:pos="567"/>
        </w:tabs>
        <w:ind w:left="567"/>
      </w:pPr>
      <w:r>
        <w:t xml:space="preserve">Data for </w:t>
      </w:r>
      <w:r w:rsidRPr="004A3335">
        <w:t>2015</w:t>
      </w:r>
      <w:r>
        <w:t>–</w:t>
      </w:r>
      <w:r w:rsidRPr="004A3335">
        <w:t xml:space="preserve">16 </w:t>
      </w:r>
      <w:r>
        <w:t xml:space="preserve">onwards was </w:t>
      </w:r>
      <w:r w:rsidRPr="004A3335">
        <w:t>impacted by the 1</w:t>
      </w:r>
      <w:r>
        <w:t> </w:t>
      </w:r>
      <w:r w:rsidRPr="004A3335">
        <w:t>December 2015 reforms</w:t>
      </w:r>
      <w:r>
        <w:t xml:space="preserve">. </w:t>
      </w:r>
      <w:r w:rsidR="001B7815" w:rsidRPr="003E05E9">
        <w:t>Data from 2016-17 onwards was impacted by the limiting foreign ownership in new developments reform announced in the 2017</w:t>
      </w:r>
      <w:r w:rsidR="001B7815">
        <w:noBreakHyphen/>
      </w:r>
      <w:r w:rsidR="001B7815" w:rsidRPr="003E05E9">
        <w:t>18 Budget that had immediate effect from Budget night, 7.30pm on Tuesday 9 May 2017.</w:t>
      </w:r>
      <w:r w:rsidR="001B7815">
        <w:t xml:space="preserve"> </w:t>
      </w:r>
      <w:r>
        <w:t>Data from 2017</w:t>
      </w:r>
      <w:r>
        <w:noBreakHyphen/>
        <w:t xml:space="preserve">18 was impacted by the </w:t>
      </w:r>
      <w:r w:rsidR="001B7815">
        <w:t xml:space="preserve">other </w:t>
      </w:r>
      <w:r>
        <w:t>reforms announced in the 2017</w:t>
      </w:r>
      <w:r>
        <w:noBreakHyphen/>
        <w:t>18 Budget, which were given effect on 1 July 2017. The</w:t>
      </w:r>
      <w:r w:rsidR="005A2683">
        <w:t>s</w:t>
      </w:r>
      <w:r>
        <w:t xml:space="preserve">e reforms </w:t>
      </w:r>
      <w:r w:rsidRPr="004A3335">
        <w:t>may affect data comparability.</w:t>
      </w:r>
    </w:p>
    <w:p w14:paraId="05E0BAB8" w14:textId="0F657121" w:rsidR="00E83190" w:rsidRPr="00637250" w:rsidRDefault="00487438" w:rsidP="008C4B15">
      <w:pPr>
        <w:pStyle w:val="TableHeading"/>
      </w:pPr>
      <w:bookmarkStart w:id="889" w:name="_Toc529545217"/>
      <w:bookmarkStart w:id="890" w:name="_Toc529802471"/>
      <w:bookmarkStart w:id="891" w:name="_Toc529878044"/>
      <w:bookmarkStart w:id="892" w:name="_Toc529879268"/>
      <w:bookmarkStart w:id="893" w:name="_Toc529882533"/>
      <w:bookmarkStart w:id="894" w:name="_Toc529885204"/>
      <w:bookmarkStart w:id="895" w:name="_Toc529890676"/>
      <w:bookmarkStart w:id="896" w:name="_Toc529970047"/>
      <w:bookmarkStart w:id="897" w:name="_Toc529979402"/>
      <w:bookmarkStart w:id="898" w:name="_Toc530050447"/>
      <w:bookmarkStart w:id="899" w:name="_Toc530065526"/>
      <w:bookmarkStart w:id="900" w:name="_Toc530066354"/>
      <w:bookmarkStart w:id="901" w:name="_Toc530145073"/>
      <w:bookmarkStart w:id="902" w:name="_Toc530146043"/>
      <w:bookmarkStart w:id="903" w:name="_Toc530146964"/>
      <w:bookmarkStart w:id="904" w:name="_Toc530148322"/>
      <w:bookmarkStart w:id="905" w:name="_Toc530148523"/>
      <w:bookmarkStart w:id="906" w:name="_Toc530149195"/>
      <w:bookmarkStart w:id="907" w:name="_Toc530149819"/>
      <w:bookmarkStart w:id="908" w:name="_Toc530401671"/>
      <w:bookmarkStart w:id="909" w:name="_Toc530491424"/>
      <w:bookmarkStart w:id="910" w:name="_Toc530495842"/>
      <w:bookmarkStart w:id="911" w:name="_Toc530497745"/>
      <w:bookmarkStart w:id="912" w:name="_Toc530663565"/>
      <w:bookmarkStart w:id="913" w:name="_Toc530753858"/>
      <w:bookmarkStart w:id="914" w:name="_Toc530756427"/>
      <w:bookmarkStart w:id="915" w:name="_Toc530759864"/>
      <w:bookmarkStart w:id="916" w:name="_Toc532223710"/>
      <w:bookmarkStart w:id="917" w:name="_Toc532224169"/>
      <w:bookmarkStart w:id="918" w:name="_Toc532226648"/>
      <w:bookmarkStart w:id="919" w:name="_Toc536029350"/>
      <w:bookmarkStart w:id="920" w:name="_Toc1054890"/>
      <w:r w:rsidRPr="00637250">
        <w:t>Table</w:t>
      </w:r>
      <w:r w:rsidR="00FE0B08">
        <w:t xml:space="preserve"> </w:t>
      </w:r>
      <w:r w:rsidR="00E10BA2">
        <w:t>3</w:t>
      </w:r>
      <w:r w:rsidR="00E83190" w:rsidRPr="007972DE">
        <w:t>.11</w:t>
      </w:r>
      <w:r w:rsidR="00E83190" w:rsidRPr="00637250">
        <w:t>:</w:t>
      </w:r>
      <w:r w:rsidR="00665F25">
        <w:t xml:space="preserve"> </w:t>
      </w:r>
      <w:r w:rsidR="00E83190" w:rsidRPr="00637250">
        <w:t xml:space="preserve">State and territory </w:t>
      </w:r>
      <w:r w:rsidR="00E83190" w:rsidRPr="008C4B15">
        <w:t>distribution</w:t>
      </w:r>
      <w:r w:rsidR="00E83190" w:rsidRPr="00637250">
        <w:t xml:space="preserve"> of proposed investment in </w:t>
      </w:r>
      <w:r w:rsidR="00E83190">
        <w:t xml:space="preserve">residential </w:t>
      </w:r>
      <w:r w:rsidR="00E83190" w:rsidRPr="00637250">
        <w:t xml:space="preserve">real estate in </w:t>
      </w:r>
      <w:r w:rsidRPr="00637250">
        <w:t>201</w:t>
      </w:r>
      <w:r>
        <w:t>7</w:t>
      </w:r>
      <w:r w:rsidR="00E83190">
        <w:t>–</w:t>
      </w:r>
      <w:r w:rsidRPr="00637250">
        <w:t>1</w:t>
      </w:r>
      <w:r>
        <w:t>8</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bookmarkStart w:id="921" w:name="_1548074937"/>
    <w:bookmarkEnd w:id="921"/>
    <w:p w14:paraId="05E0BAB9" w14:textId="0EB918AD" w:rsidR="00E83190" w:rsidRDefault="00781A67" w:rsidP="00EB0856">
      <w:pPr>
        <w:pStyle w:val="TableGraphic"/>
      </w:pPr>
      <w:r>
        <w:object w:dxaOrig="7785" w:dyaOrig="2957" w14:anchorId="72A2C097">
          <v:shape id="_x0000_i1037" type="#_x0000_t75" alt="Table shows the number and total value of residential real estate approvals in 2017-18 and categorises these as either developed or for development and by the state or territory of the real estate.&#10;Victoria received the greatest value and number of residential real estate proposals with 4,631 proposals for $5.1 billion in proposed investment. For every state and territory the residential approvals for development was either greater than or equal to that for developed residential property." style="width:385.35pt;height:146.1pt;mso-position-vertical:absolute" o:ole="">
            <v:imagedata r:id="rId83" o:title=""/>
          </v:shape>
          <o:OLEObject Type="Link" ProgID="Excel.Sheet.12" ShapeID="_x0000_i1037" DrawAspect="Content" r:id="rId84" UpdateMode="Always">
            <o:LinkType>EnhancedMetaFile</o:LinkType>
            <o:LockedField>false</o:LockedField>
          </o:OLEObject>
        </w:object>
      </w:r>
    </w:p>
    <w:p w14:paraId="05E0BABA" w14:textId="06D5077B" w:rsidR="00E83190" w:rsidRPr="0056468A" w:rsidRDefault="00E83190" w:rsidP="00397941">
      <w:pPr>
        <w:pStyle w:val="ChartandTableFootnoteAlpha"/>
        <w:numPr>
          <w:ilvl w:val="0"/>
          <w:numId w:val="29"/>
        </w:numPr>
      </w:pPr>
      <w:r w:rsidRPr="002A2C33">
        <w:t xml:space="preserve">Comprises </w:t>
      </w:r>
      <w:r w:rsidR="002D52D5">
        <w:t>approvals</w:t>
      </w:r>
      <w:r w:rsidRPr="002A2C33">
        <w:t xml:space="preserve"> where the proposed investment is to be undertaken in more than one state or territory.</w:t>
      </w:r>
    </w:p>
    <w:p w14:paraId="05E0BABB" w14:textId="77777777" w:rsidR="00E83190" w:rsidRDefault="00E83190" w:rsidP="00974C1D">
      <w:pPr>
        <w:pStyle w:val="ChartorTableNote"/>
        <w:tabs>
          <w:tab w:val="left" w:pos="567"/>
        </w:tabs>
        <w:ind w:left="567" w:hanging="567"/>
      </w:pPr>
      <w:r w:rsidRPr="007835DC">
        <w:t>Note</w:t>
      </w:r>
      <w:r w:rsidRPr="002A2D92">
        <w:t>s</w:t>
      </w:r>
      <w:r w:rsidRPr="007835DC">
        <w:t xml:space="preserve">: </w:t>
      </w:r>
      <w:r w:rsidRPr="007835DC">
        <w:tab/>
        <w:t>Totals may not add due to rounding.</w:t>
      </w:r>
    </w:p>
    <w:p w14:paraId="05E0BABC" w14:textId="77777777" w:rsidR="00E83190" w:rsidRPr="007835DC" w:rsidRDefault="00E83190" w:rsidP="00974C1D">
      <w:pPr>
        <w:pStyle w:val="ChartorTableNote"/>
        <w:tabs>
          <w:tab w:val="left" w:pos="567"/>
        </w:tabs>
        <w:ind w:left="567" w:hanging="567"/>
      </w:pPr>
      <w:r>
        <w:tab/>
      </w:r>
      <w:r w:rsidRPr="007835DC">
        <w:t>Includes exemption certificates.</w:t>
      </w:r>
    </w:p>
    <w:p w14:paraId="05E0BABD" w14:textId="0F5F8DF9" w:rsidR="00E83190" w:rsidRPr="009D015B" w:rsidRDefault="00E83190" w:rsidP="00974C1D">
      <w:pPr>
        <w:pStyle w:val="ChartorTableNote"/>
        <w:tabs>
          <w:tab w:val="left" w:pos="567"/>
        </w:tabs>
        <w:ind w:left="567" w:hanging="567"/>
      </w:pPr>
      <w:r>
        <w:tab/>
      </w:r>
      <w:r w:rsidR="00533F71" w:rsidRPr="009D015B">
        <w:t>‘</w:t>
      </w:r>
      <w:r w:rsidR="00533F71">
        <w:t>0.0’</w:t>
      </w:r>
      <w:r w:rsidRPr="009D015B">
        <w:t xml:space="preserve"> indicates a figure of zero or a figure less than $</w:t>
      </w:r>
      <w:r w:rsidR="00533F71">
        <w:t>5</w:t>
      </w:r>
      <w:r w:rsidR="00533F71" w:rsidRPr="009D015B">
        <w:t>0 </w:t>
      </w:r>
      <w:r w:rsidRPr="009D015B">
        <w:t>million.</w:t>
      </w:r>
    </w:p>
    <w:p w14:paraId="0A1823AC" w14:textId="2EFA8E69" w:rsidR="006071EF" w:rsidRPr="00E10BD9" w:rsidDel="006071EF" w:rsidRDefault="00974C1D" w:rsidP="008C4B15">
      <w:pPr>
        <w:pStyle w:val="ChartorTableNote"/>
        <w:tabs>
          <w:tab w:val="left" w:pos="567"/>
        </w:tabs>
        <w:ind w:left="567" w:hanging="567"/>
      </w:pPr>
      <w:r w:rsidRPr="009D015B">
        <w:tab/>
      </w:r>
      <w:r w:rsidR="006071EF" w:rsidRPr="006071EF">
        <w:t>The 2017</w:t>
      </w:r>
      <w:r w:rsidR="006071EF" w:rsidRPr="006071EF">
        <w:noBreakHyphen/>
        <w:t>18 figures were impacted by the reforms announced in the 2017</w:t>
      </w:r>
      <w:r w:rsidR="006071EF" w:rsidRPr="006071EF">
        <w:noBreakHyphen/>
        <w:t>18 Budget, which were given effect on 1 July 2017. The reforms may affect data comparability.</w:t>
      </w:r>
    </w:p>
    <w:p w14:paraId="05E0BABF" w14:textId="16D33CA4" w:rsidR="00E83190" w:rsidRPr="00637250" w:rsidRDefault="00E83190" w:rsidP="00AC7688">
      <w:pPr>
        <w:pStyle w:val="TableHeading"/>
      </w:pPr>
      <w:bookmarkStart w:id="922" w:name="_Toc529545218"/>
      <w:bookmarkStart w:id="923" w:name="_Toc529802472"/>
      <w:bookmarkStart w:id="924" w:name="_Toc529878045"/>
      <w:bookmarkStart w:id="925" w:name="_Toc529879269"/>
      <w:bookmarkStart w:id="926" w:name="_Toc529882534"/>
      <w:bookmarkStart w:id="927" w:name="_Toc529885205"/>
      <w:bookmarkStart w:id="928" w:name="_Toc529890677"/>
      <w:bookmarkStart w:id="929" w:name="_Toc529970048"/>
      <w:bookmarkStart w:id="930" w:name="_Toc529979403"/>
      <w:bookmarkStart w:id="931" w:name="_Toc530050448"/>
      <w:bookmarkStart w:id="932" w:name="_Toc530065527"/>
      <w:bookmarkStart w:id="933" w:name="_Toc530066355"/>
      <w:bookmarkStart w:id="934" w:name="_Toc530145074"/>
      <w:bookmarkStart w:id="935" w:name="_Toc530146044"/>
      <w:bookmarkStart w:id="936" w:name="_Toc530146965"/>
      <w:bookmarkStart w:id="937" w:name="_Toc530148323"/>
      <w:bookmarkStart w:id="938" w:name="_Toc530148524"/>
      <w:bookmarkStart w:id="939" w:name="_Toc530149196"/>
      <w:bookmarkStart w:id="940" w:name="_Toc530149820"/>
      <w:bookmarkStart w:id="941" w:name="_Toc530401672"/>
      <w:bookmarkStart w:id="942" w:name="_Toc530491425"/>
      <w:bookmarkStart w:id="943" w:name="_Toc530495843"/>
      <w:bookmarkStart w:id="944" w:name="_Toc530497746"/>
      <w:bookmarkStart w:id="945" w:name="_Toc530663566"/>
      <w:bookmarkStart w:id="946" w:name="_Toc530753859"/>
      <w:bookmarkStart w:id="947" w:name="_Toc530756428"/>
      <w:bookmarkStart w:id="948" w:name="_Toc530759865"/>
      <w:bookmarkStart w:id="949" w:name="_Toc532223711"/>
      <w:bookmarkStart w:id="950" w:name="_Toc532224170"/>
      <w:bookmarkStart w:id="951" w:name="_Toc532226649"/>
      <w:bookmarkStart w:id="952" w:name="_Toc536029351"/>
      <w:bookmarkStart w:id="953" w:name="_Toc1054891"/>
      <w:r w:rsidRPr="00637250">
        <w:t>Table</w:t>
      </w:r>
      <w:r w:rsidR="00FE0B08">
        <w:t xml:space="preserve"> </w:t>
      </w:r>
      <w:r w:rsidR="00E10BA2">
        <w:t>3</w:t>
      </w:r>
      <w:r>
        <w:t>.12</w:t>
      </w:r>
      <w:r w:rsidRPr="00637250">
        <w:t>:</w:t>
      </w:r>
      <w:r w:rsidR="00665F25" w:rsidRPr="00765DCA">
        <w:t xml:space="preserve"> </w:t>
      </w:r>
      <w:r w:rsidRPr="00637250">
        <w:t>State and territory distribution of proposed investment in residential real estate</w:t>
      </w:r>
      <w:r>
        <w:t>,</w:t>
      </w:r>
      <w:r w:rsidRPr="00637250">
        <w:t xml:space="preserve"> by type in 201</w:t>
      </w:r>
      <w:r w:rsidR="00487438">
        <w:t>7</w:t>
      </w:r>
      <w:r>
        <w:t>–</w:t>
      </w:r>
      <w:r w:rsidRPr="00637250">
        <w:t>1</w:t>
      </w:r>
      <w:r w:rsidR="00487438">
        <w:t>8</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bookmarkStart w:id="954" w:name="_1548074939"/>
    <w:bookmarkEnd w:id="954"/>
    <w:p w14:paraId="05E0BAC0" w14:textId="3672DE3D" w:rsidR="00E83190" w:rsidRDefault="00DE4D4F" w:rsidP="00EB0856">
      <w:pPr>
        <w:pStyle w:val="TableGraphic"/>
      </w:pPr>
      <w:r>
        <w:object w:dxaOrig="7760" w:dyaOrig="2959" w14:anchorId="008C41AB">
          <v:shape id="_x0000_i1038" type="#_x0000_t75" alt="Table shows the number and total value of residential real estate approvals in 2017-18 and categorises these by the type of property and state or territory of the proposed real estate. The property types are new dwelling, existing property, redevelopment, vacant land and developer. &#10;In all categories Victoria had the greatest number and value of approvals except for redevelopment, in which New South Wales had 107 proposals worth $0.4 billion. &#10;All locations apart from the Northern Territory, various, Tasmania and South Australia saw a greater number of proposals in new dwellings compared to existing property." style="width:385.3pt;height:148.1pt" o:ole="">
            <v:imagedata r:id="rId85" o:title=""/>
          </v:shape>
          <o:OLEObject Type="Link" ProgID="Excel.Sheet.12" ShapeID="_x0000_i1038" DrawAspect="Content" r:id="rId86" UpdateMode="Always">
            <o:LinkType>EnhancedMetaFile</o:LinkType>
            <o:LockedField>false</o:LockedField>
          </o:OLEObject>
        </w:object>
      </w:r>
    </w:p>
    <w:p w14:paraId="05E0BAC1" w14:textId="011392C3" w:rsidR="00E83190" w:rsidRDefault="00E83190" w:rsidP="00397941">
      <w:pPr>
        <w:pStyle w:val="ChartandTableFootnoteAlpha"/>
        <w:numPr>
          <w:ilvl w:val="0"/>
          <w:numId w:val="33"/>
        </w:numPr>
      </w:pPr>
      <w:r w:rsidRPr="002A2C33">
        <w:t xml:space="preserve">Comprises </w:t>
      </w:r>
      <w:r w:rsidR="002D52D5">
        <w:t>approvals</w:t>
      </w:r>
      <w:r w:rsidRPr="002A2C33">
        <w:t xml:space="preserve"> where the proposed investment is to be undertaken in more than one state or territory.</w:t>
      </w:r>
    </w:p>
    <w:p w14:paraId="05E0BAC2" w14:textId="4E1B951C" w:rsidR="00E83190" w:rsidRPr="009D2FA9" w:rsidDel="00622729" w:rsidRDefault="00E83190" w:rsidP="00D67BA7">
      <w:pPr>
        <w:pStyle w:val="ChartandTableFootnoteAlpha"/>
      </w:pPr>
      <w:r>
        <w:t>‘</w:t>
      </w:r>
      <w:r w:rsidRPr="009D2FA9">
        <w:t>Developer</w:t>
      </w:r>
      <w:r>
        <w:t>’</w:t>
      </w:r>
      <w:r w:rsidRPr="009D2FA9">
        <w:t xml:space="preserve"> includes new dwelling exemption certificate</w:t>
      </w:r>
      <w:r w:rsidR="007B58E1">
        <w:t>s</w:t>
      </w:r>
      <w:r w:rsidRPr="009D2FA9">
        <w:t xml:space="preserve"> provided to real estate developers (previously off</w:t>
      </w:r>
      <w:r w:rsidRPr="009D2FA9">
        <w:noBreakHyphen/>
        <w:t>the</w:t>
      </w:r>
      <w:r w:rsidRPr="009D2FA9">
        <w:noBreakHyphen/>
        <w:t>plan approvals)</w:t>
      </w:r>
      <w:r w:rsidR="007B58E1">
        <w:t>, as well as near new dwelling exemption certificates</w:t>
      </w:r>
      <w:r w:rsidRPr="009D2FA9">
        <w:t>.</w:t>
      </w:r>
    </w:p>
    <w:p w14:paraId="05E0BAC3" w14:textId="77777777" w:rsidR="00E83190" w:rsidRDefault="00E83190" w:rsidP="00974C1D">
      <w:pPr>
        <w:pStyle w:val="ChartorTableNote"/>
        <w:tabs>
          <w:tab w:val="left" w:pos="567"/>
        </w:tabs>
        <w:ind w:left="567" w:hanging="567"/>
      </w:pPr>
      <w:r w:rsidRPr="007835DC">
        <w:t>Note</w:t>
      </w:r>
      <w:r>
        <w:t>s</w:t>
      </w:r>
      <w:r w:rsidRPr="007835DC">
        <w:t>:</w:t>
      </w:r>
      <w:r w:rsidRPr="007835DC">
        <w:tab/>
        <w:t>Totals may not add due to rounding.</w:t>
      </w:r>
    </w:p>
    <w:p w14:paraId="05E0BAC4" w14:textId="518D289A" w:rsidR="00E83190" w:rsidRPr="007835DC" w:rsidRDefault="00E83190" w:rsidP="00974C1D">
      <w:pPr>
        <w:pStyle w:val="ChartorTableNote"/>
        <w:tabs>
          <w:tab w:val="left" w:pos="567"/>
        </w:tabs>
        <w:ind w:left="567" w:hanging="567"/>
      </w:pPr>
      <w:r>
        <w:tab/>
        <w:t>This table e</w:t>
      </w:r>
      <w:r w:rsidRPr="007835DC">
        <w:t xml:space="preserve">xcludes </w:t>
      </w:r>
      <w:r w:rsidR="007B58E1">
        <w:t xml:space="preserve">the </w:t>
      </w:r>
      <w:r>
        <w:t>developed, and for</w:t>
      </w:r>
      <w:r w:rsidR="007E753F">
        <w:t xml:space="preserve"> </w:t>
      </w:r>
      <w:r>
        <w:t>development</w:t>
      </w:r>
      <w:r w:rsidRPr="007835DC">
        <w:t xml:space="preserve"> exemption certificates</w:t>
      </w:r>
      <w:r>
        <w:t xml:space="preserve"> </w:t>
      </w:r>
      <w:r w:rsidR="007B58E1">
        <w:t xml:space="preserve">for foreign persons shown </w:t>
      </w:r>
      <w:r>
        <w:t xml:space="preserve">in </w:t>
      </w:r>
      <w:r w:rsidR="008363E4" w:rsidRPr="00FD67F0">
        <w:t>Table</w:t>
      </w:r>
      <w:r w:rsidR="000D3CAC">
        <w:t xml:space="preserve"> </w:t>
      </w:r>
      <w:r w:rsidR="00E47AEB">
        <w:t>3</w:t>
      </w:r>
      <w:r w:rsidRPr="00FD67F0">
        <w:t>.10</w:t>
      </w:r>
      <w:r w:rsidRPr="007835DC">
        <w:t>.</w:t>
      </w:r>
    </w:p>
    <w:p w14:paraId="05E0BAC5" w14:textId="5DF4D686" w:rsidR="00E83190" w:rsidRPr="009D015B" w:rsidRDefault="00E83190" w:rsidP="00974C1D">
      <w:pPr>
        <w:pStyle w:val="ChartorTableNote"/>
        <w:tabs>
          <w:tab w:val="left" w:pos="567"/>
        </w:tabs>
        <w:ind w:left="567" w:hanging="567"/>
      </w:pPr>
      <w:r>
        <w:tab/>
      </w:r>
      <w:r w:rsidR="00533F71" w:rsidRPr="009D015B">
        <w:t>‘</w:t>
      </w:r>
      <w:r w:rsidR="00533F71">
        <w:t>0.0’</w:t>
      </w:r>
      <w:r w:rsidRPr="009D015B">
        <w:t xml:space="preserve"> indicates a figure of zero or a figure less than $</w:t>
      </w:r>
      <w:r w:rsidR="00533F71">
        <w:t>5</w:t>
      </w:r>
      <w:r w:rsidR="00533F71" w:rsidRPr="009D015B">
        <w:t>0 </w:t>
      </w:r>
      <w:r w:rsidRPr="009D015B">
        <w:t>million.</w:t>
      </w:r>
    </w:p>
    <w:p w14:paraId="6BE9035C" w14:textId="688CE2FC" w:rsidR="00E9770D" w:rsidRPr="00B12DDB" w:rsidRDefault="00E83190" w:rsidP="00B12DDB">
      <w:pPr>
        <w:pStyle w:val="ChartorTableNote"/>
        <w:tabs>
          <w:tab w:val="left" w:pos="567"/>
        </w:tabs>
        <w:ind w:left="567" w:hanging="567"/>
        <w:rPr>
          <w:rFonts w:asciiTheme="minorHAnsi" w:hAnsiTheme="minorHAnsi"/>
          <w:sz w:val="20"/>
        </w:rPr>
      </w:pPr>
      <w:r w:rsidRPr="009D015B">
        <w:tab/>
      </w:r>
      <w:r w:rsidR="006071EF">
        <w:t>The 2017</w:t>
      </w:r>
      <w:r w:rsidR="006071EF">
        <w:noBreakHyphen/>
        <w:t>18 figures were impacted by the reforms announced in the 2017</w:t>
      </w:r>
      <w:r w:rsidR="006071EF">
        <w:noBreakHyphen/>
        <w:t xml:space="preserve">18 Budget, which were given effect on 1 July 2017. The reforms </w:t>
      </w:r>
      <w:r w:rsidR="006071EF" w:rsidRPr="004A3335">
        <w:t>may affect data comparability.</w:t>
      </w:r>
      <w:bookmarkStart w:id="955" w:name="_Toc532207336"/>
      <w:bookmarkStart w:id="956" w:name="_Toc532217724"/>
      <w:bookmarkStart w:id="957" w:name="_Toc532218745"/>
      <w:bookmarkStart w:id="958" w:name="_Toc532219057"/>
      <w:bookmarkStart w:id="959" w:name="_Toc532223741"/>
      <w:bookmarkStart w:id="960" w:name="_Toc532224200"/>
      <w:bookmarkStart w:id="961" w:name="_Toc532226679"/>
      <w:r w:rsidR="00E9770D">
        <w:br w:type="page"/>
      </w:r>
    </w:p>
    <w:p w14:paraId="08453C8F" w14:textId="5C455C0B" w:rsidR="001F5DE2" w:rsidRDefault="001F5DE2" w:rsidP="001F5DE2">
      <w:pPr>
        <w:pStyle w:val="Heading2"/>
        <w:spacing w:before="0" w:after="180"/>
      </w:pPr>
      <w:bookmarkStart w:id="962" w:name="_Toc536029380"/>
      <w:bookmarkStart w:id="963" w:name="_Toc1120402"/>
      <w:bookmarkStart w:id="964" w:name="_Toc1121973"/>
      <w:r>
        <w:t>New business approvals</w:t>
      </w:r>
      <w:bookmarkEnd w:id="955"/>
      <w:bookmarkEnd w:id="956"/>
      <w:bookmarkEnd w:id="957"/>
      <w:bookmarkEnd w:id="958"/>
      <w:bookmarkEnd w:id="959"/>
      <w:bookmarkEnd w:id="960"/>
      <w:bookmarkEnd w:id="961"/>
      <w:bookmarkEnd w:id="962"/>
      <w:bookmarkEnd w:id="963"/>
      <w:bookmarkEnd w:id="964"/>
    </w:p>
    <w:p w14:paraId="5DA62E38" w14:textId="25BB0ED4" w:rsidR="005E1397" w:rsidRDefault="005E1397" w:rsidP="005E1397">
      <w:r>
        <w:t>Foreign government investors require approval to start an Australian business.</w:t>
      </w:r>
      <w:r>
        <w:rPr>
          <w:rStyle w:val="FootnoteReference"/>
        </w:rPr>
        <w:footnoteReference w:id="15"/>
      </w:r>
      <w:r>
        <w:t xml:space="preserve"> The number of new business approvals in the services sector in 2017</w:t>
      </w:r>
      <w:r>
        <w:noBreakHyphen/>
        <w:t>18 more than doubled on 2016</w:t>
      </w:r>
      <w:r>
        <w:noBreakHyphen/>
        <w:t>17, returning to a similar number of approvals to that in 2015</w:t>
      </w:r>
      <w:r>
        <w:noBreakHyphen/>
        <w:t>16. Finance and insurance new business approvals also increased on recent years.</w:t>
      </w:r>
    </w:p>
    <w:p w14:paraId="0A982126" w14:textId="2003CD93" w:rsidR="003D702A" w:rsidRDefault="003D702A" w:rsidP="003D702A">
      <w:pPr>
        <w:pStyle w:val="TableHeading"/>
        <w:tabs>
          <w:tab w:val="left" w:pos="1050"/>
        </w:tabs>
      </w:pPr>
      <w:bookmarkStart w:id="965" w:name="_Toc530753860"/>
      <w:bookmarkStart w:id="966" w:name="_Toc530756429"/>
      <w:bookmarkStart w:id="967" w:name="_Toc530759866"/>
      <w:bookmarkStart w:id="968" w:name="_Toc532223712"/>
      <w:bookmarkStart w:id="969" w:name="_Toc532224171"/>
      <w:bookmarkStart w:id="970" w:name="_Toc532226650"/>
      <w:bookmarkStart w:id="971" w:name="_Toc536029352"/>
      <w:bookmarkStart w:id="972" w:name="_Toc1054892"/>
      <w:r w:rsidRPr="00637250">
        <w:t>Table</w:t>
      </w:r>
      <w:r>
        <w:t xml:space="preserve"> 3.13</w:t>
      </w:r>
      <w:r w:rsidRPr="00637250">
        <w:t>:</w:t>
      </w:r>
      <w:r w:rsidR="00665F25">
        <w:t xml:space="preserve"> </w:t>
      </w:r>
      <w:r w:rsidRPr="003D702A">
        <w:t>New business approvals by industry sector: 2014-15 to 2017-18</w:t>
      </w:r>
      <w:bookmarkEnd w:id="965"/>
      <w:bookmarkEnd w:id="966"/>
      <w:bookmarkEnd w:id="967"/>
      <w:bookmarkEnd w:id="968"/>
      <w:bookmarkEnd w:id="969"/>
      <w:bookmarkEnd w:id="970"/>
      <w:bookmarkEnd w:id="971"/>
      <w:bookmarkEnd w:id="972"/>
    </w:p>
    <w:p w14:paraId="5427BE08" w14:textId="5B332111" w:rsidR="00440010" w:rsidRDefault="003F1ECE" w:rsidP="00440010">
      <w:pPr>
        <w:pStyle w:val="TableGraphic"/>
      </w:pPr>
      <w:r>
        <w:object w:dxaOrig="7758" w:dyaOrig="1827" w14:anchorId="1EB671D1">
          <v:shape id="_x0000_i1039" type="#_x0000_t75" alt="Table shows the number of new business proposals for the four financial years ending in 2017-18 and categorises these by industry sector.&#10;The approvals are categorised by industry sector into agriculture, forestry &amp; fishing, finance &amp; insurance, manufacturing electricity &amp; gas, mineral, exploration &amp; development and services. In 2017-18 the total number of new business approvals more than doubled compared to 2016-17, primarily driven by growth in approvals in the Services sector and the Finance and Insurance sector." style="width:385.95pt;height:90.55pt" o:ole="">
            <v:imagedata r:id="rId87" o:title=""/>
          </v:shape>
          <o:OLEObject Type="Link" ProgID="Excel.Sheet.12" ShapeID="_x0000_i1039" DrawAspect="Content" r:id="rId88" UpdateMode="Always">
            <o:LinkType>EnhancedMetaFile</o:LinkType>
            <o:LockedField>false</o:LockedField>
          </o:OLEObject>
        </w:object>
      </w:r>
    </w:p>
    <w:p w14:paraId="6E5F2D70" w14:textId="34EBB55E" w:rsidR="003D702A" w:rsidRDefault="003D702A" w:rsidP="00440010">
      <w:pPr>
        <w:pStyle w:val="ChartorTableNote"/>
        <w:tabs>
          <w:tab w:val="left" w:pos="567"/>
        </w:tabs>
        <w:ind w:left="567" w:hanging="567"/>
      </w:pPr>
      <w:r w:rsidRPr="007835DC">
        <w:t>Note</w:t>
      </w:r>
      <w:r>
        <w:t>s</w:t>
      </w:r>
      <w:r w:rsidRPr="007835DC">
        <w:t>:</w:t>
      </w:r>
      <w:r w:rsidRPr="007835DC">
        <w:tab/>
      </w:r>
      <w:r>
        <w:t>A proposed investment value is not attributed to new business approvals.</w:t>
      </w:r>
      <w:r w:rsidR="00E612A4" w:rsidRPr="00E612A4">
        <w:t xml:space="preserve"> </w:t>
      </w:r>
    </w:p>
    <w:p w14:paraId="5002BA78" w14:textId="62313ABA" w:rsidR="001F5DE2" w:rsidRDefault="003D702A" w:rsidP="00440010">
      <w:pPr>
        <w:pStyle w:val="ChartorTableNote"/>
        <w:tabs>
          <w:tab w:val="left" w:pos="567"/>
        </w:tabs>
        <w:ind w:left="567" w:hanging="567"/>
      </w:pPr>
      <w:r>
        <w:tab/>
      </w:r>
      <w:r w:rsidR="001F5DE2">
        <w:t>Prior to the inclusion of this table</w:t>
      </w:r>
      <w:r w:rsidR="004337AE">
        <w:t xml:space="preserve"> from 2017</w:t>
      </w:r>
      <w:r w:rsidR="004337AE">
        <w:noBreakHyphen/>
        <w:t>18</w:t>
      </w:r>
      <w:r w:rsidR="001F5DE2">
        <w:t xml:space="preserve">, new business approvals were reported in approvals by </w:t>
      </w:r>
      <w:r w:rsidR="001B7815">
        <w:t xml:space="preserve">industry </w:t>
      </w:r>
      <w:r w:rsidR="001F5DE2">
        <w:t>sector</w:t>
      </w:r>
      <w:r w:rsidR="001F5DE2" w:rsidRPr="007835DC">
        <w:t>.</w:t>
      </w:r>
    </w:p>
    <w:p w14:paraId="475A32BF" w14:textId="4042F986" w:rsidR="00332751" w:rsidRPr="007D3940" w:rsidRDefault="001F5DE2" w:rsidP="001D65FC">
      <w:pPr>
        <w:pStyle w:val="ChartorTableNote"/>
        <w:tabs>
          <w:tab w:val="left" w:pos="567"/>
        </w:tabs>
        <w:ind w:left="567" w:hanging="567"/>
      </w:pPr>
      <w:r>
        <w:tab/>
        <w:t xml:space="preserve">As commercial and residential real estate </w:t>
      </w:r>
      <w:r w:rsidR="00A51159">
        <w:t>r</w:t>
      </w:r>
      <w:r>
        <w:t xml:space="preserve">elate to acquisitions of land, these </w:t>
      </w:r>
      <w:r w:rsidR="001B7815">
        <w:t xml:space="preserve">industry </w:t>
      </w:r>
      <w:r>
        <w:t>sectors are not included in this table.</w:t>
      </w:r>
      <w:bookmarkStart w:id="973" w:name="_Toc529545247"/>
      <w:bookmarkStart w:id="974" w:name="_Toc529795011"/>
      <w:bookmarkStart w:id="975" w:name="_Toc529802494"/>
      <w:bookmarkStart w:id="976" w:name="_Toc529878069"/>
      <w:bookmarkStart w:id="977" w:name="_Toc529879293"/>
      <w:bookmarkStart w:id="978" w:name="_Toc529882558"/>
      <w:bookmarkStart w:id="979" w:name="_Toc529885229"/>
      <w:bookmarkStart w:id="980" w:name="_Toc529890701"/>
      <w:bookmarkStart w:id="981" w:name="_Toc529970072"/>
      <w:bookmarkStart w:id="982" w:name="_Toc529979427"/>
      <w:bookmarkStart w:id="983" w:name="_Toc530050473"/>
      <w:bookmarkStart w:id="984" w:name="_Toc530065552"/>
      <w:bookmarkStart w:id="985" w:name="_Toc530066380"/>
      <w:bookmarkStart w:id="986" w:name="_Toc530145100"/>
      <w:bookmarkStart w:id="987" w:name="_Toc530146070"/>
      <w:bookmarkStart w:id="988" w:name="_Toc530146991"/>
      <w:bookmarkStart w:id="989" w:name="_Toc530148349"/>
      <w:bookmarkStart w:id="990" w:name="_Toc530148550"/>
      <w:r w:rsidR="00332751" w:rsidRPr="007D3940">
        <w:br w:type="page"/>
      </w:r>
    </w:p>
    <w:p w14:paraId="05E0BAC7" w14:textId="12FC877C" w:rsidR="00E83190" w:rsidRPr="00637250" w:rsidRDefault="00E83190" w:rsidP="001D65FC">
      <w:pPr>
        <w:pStyle w:val="Heading2"/>
      </w:pPr>
      <w:bookmarkStart w:id="991" w:name="_Toc530149222"/>
      <w:bookmarkStart w:id="992" w:name="_Toc530149793"/>
      <w:bookmarkStart w:id="993" w:name="_Toc532207337"/>
      <w:bookmarkStart w:id="994" w:name="_Toc532217725"/>
      <w:bookmarkStart w:id="995" w:name="_Toc532218746"/>
      <w:bookmarkStart w:id="996" w:name="_Toc532219058"/>
      <w:bookmarkStart w:id="997" w:name="_Toc532223742"/>
      <w:bookmarkStart w:id="998" w:name="_Toc532224201"/>
      <w:bookmarkStart w:id="999" w:name="_Toc532226680"/>
      <w:bookmarkStart w:id="1000" w:name="_Toc536029381"/>
      <w:bookmarkStart w:id="1001" w:name="_Toc1120403"/>
      <w:bookmarkStart w:id="1002" w:name="_Toc1121974"/>
      <w:r w:rsidRPr="00637250">
        <w:t xml:space="preserve">Investor </w:t>
      </w:r>
      <w:r w:rsidRPr="001D65FC">
        <w:t>countries</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4EAF8A38" w14:textId="6F250336" w:rsidR="00B50C88" w:rsidRPr="004B7E5B" w:rsidRDefault="00B50C88" w:rsidP="001D65FC">
      <w:pPr>
        <w:pStyle w:val="Heading3"/>
      </w:pPr>
      <w:r w:rsidRPr="004B7E5B">
        <w:t>Methodology change</w:t>
      </w:r>
    </w:p>
    <w:p w14:paraId="5A61240F" w14:textId="02D2779D" w:rsidR="00B53113" w:rsidRDefault="00B53113" w:rsidP="00BB2D37">
      <w:pPr>
        <w:spacing w:after="0"/>
      </w:pPr>
      <w:r>
        <w:t xml:space="preserve">The methodology for recording </w:t>
      </w:r>
      <w:r w:rsidR="006D7D95">
        <w:t>foreign investment approvals by country</w:t>
      </w:r>
      <w:r>
        <w:t xml:space="preserve"> changed </w:t>
      </w:r>
      <w:r w:rsidR="006D7D95">
        <w:t>in</w:t>
      </w:r>
      <w:r>
        <w:t xml:space="preserve"> </w:t>
      </w:r>
      <w:r w:rsidR="00CC06FF">
        <w:t>2017</w:t>
      </w:r>
      <w:r w:rsidR="0080522B">
        <w:t>–</w:t>
      </w:r>
      <w:r w:rsidR="00CC06FF">
        <w:t>18</w:t>
      </w:r>
      <w:r w:rsidR="006D7D95">
        <w:t>,</w:t>
      </w:r>
      <w:r>
        <w:t xml:space="preserve"> </w:t>
      </w:r>
      <w:r w:rsidR="00E612A4">
        <w:t>to more closely align</w:t>
      </w:r>
      <w:r>
        <w:t xml:space="preserve"> with the ownership reporting </w:t>
      </w:r>
      <w:r w:rsidR="00E612A4">
        <w:t xml:space="preserve">methodology </w:t>
      </w:r>
      <w:r>
        <w:t xml:space="preserve">adopted for the </w:t>
      </w:r>
      <w:r w:rsidR="00E73B69">
        <w:t>f</w:t>
      </w:r>
      <w:r>
        <w:t xml:space="preserve">oreign </w:t>
      </w:r>
      <w:r w:rsidR="00E73B69">
        <w:t>o</w:t>
      </w:r>
      <w:r>
        <w:t xml:space="preserve">wnership </w:t>
      </w:r>
      <w:r w:rsidR="00E73B69">
        <w:t>r</w:t>
      </w:r>
      <w:r>
        <w:t>egisters.</w:t>
      </w:r>
      <w:r>
        <w:rPr>
          <w:rStyle w:val="FootnoteReference"/>
        </w:rPr>
        <w:footnoteReference w:id="16"/>
      </w:r>
      <w:r>
        <w:t xml:space="preserve"> This change limits the comparability of </w:t>
      </w:r>
      <w:r w:rsidR="009A56CC">
        <w:t>2017–18</w:t>
      </w:r>
      <w:r>
        <w:t xml:space="preserve"> data with earlier </w:t>
      </w:r>
      <w:r w:rsidR="00520E3F">
        <w:t>FIRB</w:t>
      </w:r>
      <w:r>
        <w:t xml:space="preserve"> country data to the extent that </w:t>
      </w:r>
      <w:r w:rsidR="009A56CC">
        <w:t>‘</w:t>
      </w:r>
      <w:r>
        <w:t>country of control</w:t>
      </w:r>
      <w:r w:rsidR="009A56CC">
        <w:t>’</w:t>
      </w:r>
      <w:r>
        <w:t xml:space="preserve"> and </w:t>
      </w:r>
      <w:r w:rsidR="009A56CC">
        <w:t>‘</w:t>
      </w:r>
      <w:r>
        <w:t>country of ownership</w:t>
      </w:r>
      <w:r w:rsidR="009A56CC">
        <w:t>’</w:t>
      </w:r>
      <w:r>
        <w:t xml:space="preserve"> may differ for some foreign persons.</w:t>
      </w:r>
    </w:p>
    <w:p w14:paraId="2B4BF7ED" w14:textId="0580BF7A" w:rsidR="00B50C88" w:rsidRPr="004B7E5B" w:rsidRDefault="00E612A4" w:rsidP="001D65FC">
      <w:pPr>
        <w:pStyle w:val="Heading3"/>
      </w:pPr>
      <w:r>
        <w:t>Leading sources of proposed investment</w:t>
      </w:r>
    </w:p>
    <w:p w14:paraId="5F653339" w14:textId="2EFB9566" w:rsidR="009C3884" w:rsidRDefault="000D3CAC" w:rsidP="00DB1EB4">
      <w:r>
        <w:rPr>
          <w:color w:val="auto"/>
        </w:rPr>
        <w:t xml:space="preserve">Table </w:t>
      </w:r>
      <w:r w:rsidR="00E47AEB">
        <w:rPr>
          <w:color w:val="auto"/>
        </w:rPr>
        <w:t>3</w:t>
      </w:r>
      <w:r w:rsidR="00187C56">
        <w:rPr>
          <w:color w:val="auto"/>
        </w:rPr>
        <w:t>.1</w:t>
      </w:r>
      <w:r w:rsidR="007F5DE1">
        <w:rPr>
          <w:color w:val="auto"/>
        </w:rPr>
        <w:t>4</w:t>
      </w:r>
      <w:r w:rsidR="00187C56">
        <w:rPr>
          <w:color w:val="auto"/>
        </w:rPr>
        <w:t xml:space="preserve"> shows proposed investment approvals in </w:t>
      </w:r>
      <w:r w:rsidR="00187C56">
        <w:rPr>
          <w:color w:val="auto"/>
          <w:szCs w:val="24"/>
        </w:rPr>
        <w:t>2017–18</w:t>
      </w:r>
      <w:r w:rsidR="00187C56" w:rsidRPr="00685A9B">
        <w:rPr>
          <w:color w:val="auto"/>
        </w:rPr>
        <w:t xml:space="preserve">, disaggregated by </w:t>
      </w:r>
      <w:r w:rsidR="00673380">
        <w:rPr>
          <w:color w:val="auto"/>
        </w:rPr>
        <w:t xml:space="preserve">industry </w:t>
      </w:r>
      <w:r w:rsidR="00187C56" w:rsidRPr="00685A9B">
        <w:rPr>
          <w:color w:val="auto"/>
        </w:rPr>
        <w:t xml:space="preserve">sector, </w:t>
      </w:r>
      <w:r w:rsidR="00187C56">
        <w:rPr>
          <w:color w:val="auto"/>
        </w:rPr>
        <w:t>for the top 18 countries by approvals value</w:t>
      </w:r>
      <w:r w:rsidR="00187C56" w:rsidRPr="00685A9B">
        <w:rPr>
          <w:color w:val="auto"/>
        </w:rPr>
        <w:t>.</w:t>
      </w:r>
      <w:r w:rsidR="00187C56">
        <w:rPr>
          <w:color w:val="auto"/>
        </w:rPr>
        <w:t xml:space="preserve"> </w:t>
      </w:r>
      <w:r w:rsidR="00B50C88">
        <w:t xml:space="preserve">The United States and </w:t>
      </w:r>
      <w:r w:rsidR="00E83190">
        <w:t xml:space="preserve">China continued to be the two top sources of </w:t>
      </w:r>
      <w:r w:rsidR="002D52D5">
        <w:t>proposed investment</w:t>
      </w:r>
      <w:r w:rsidR="00E83190">
        <w:t xml:space="preserve"> by value in </w:t>
      </w:r>
      <w:r w:rsidR="008363E4">
        <w:t>2017</w:t>
      </w:r>
      <w:r w:rsidR="00E83190">
        <w:t>–</w:t>
      </w:r>
      <w:r w:rsidR="008363E4">
        <w:t>18</w:t>
      </w:r>
      <w:r w:rsidR="00E83190">
        <w:t>.</w:t>
      </w:r>
      <w:r w:rsidR="00B50C88">
        <w:t xml:space="preserve"> However, </w:t>
      </w:r>
      <w:r w:rsidR="00445347">
        <w:t xml:space="preserve">for the first time since </w:t>
      </w:r>
      <w:r w:rsidR="003C3F56">
        <w:t>2012</w:t>
      </w:r>
      <w:r w:rsidR="00445347">
        <w:t>-</w:t>
      </w:r>
      <w:r w:rsidR="003C3F56">
        <w:t>13</w:t>
      </w:r>
      <w:r w:rsidR="00445347">
        <w:t xml:space="preserve">, the United States surpassed </w:t>
      </w:r>
      <w:r w:rsidR="00B50C88">
        <w:t xml:space="preserve">China </w:t>
      </w:r>
      <w:r w:rsidR="00445347">
        <w:t>as</w:t>
      </w:r>
      <w:r w:rsidR="00B50C88">
        <w:t xml:space="preserve"> the largest source </w:t>
      </w:r>
      <w:r w:rsidR="00445347">
        <w:t>country</w:t>
      </w:r>
      <w:r w:rsidR="0030707C">
        <w:t xml:space="preserve">, by value, </w:t>
      </w:r>
      <w:r w:rsidR="00445347">
        <w:t xml:space="preserve">for approved </w:t>
      </w:r>
      <w:r w:rsidR="00B50C88">
        <w:t>proposed investment</w:t>
      </w:r>
      <w:r w:rsidR="00445347">
        <w:t>.</w:t>
      </w:r>
    </w:p>
    <w:p w14:paraId="7205C338" w14:textId="24BF5DCD" w:rsidR="009C3884" w:rsidRDefault="0030707C" w:rsidP="00DB1EB4">
      <w:r>
        <w:t xml:space="preserve">The value of approvals </w:t>
      </w:r>
      <w:r w:rsidR="00EC0311">
        <w:t xml:space="preserve">from United States investors </w:t>
      </w:r>
      <w:r>
        <w:t>increased</w:t>
      </w:r>
      <w:r w:rsidR="00B50C88">
        <w:t xml:space="preserve"> from </w:t>
      </w:r>
      <w:r>
        <w:t>$26.5 billion in 2016–17</w:t>
      </w:r>
      <w:r w:rsidR="00B50C88">
        <w:t xml:space="preserve"> to </w:t>
      </w:r>
      <w:r>
        <w:t>$36.5 billion</w:t>
      </w:r>
      <w:r w:rsidR="00B50C88">
        <w:t xml:space="preserve"> </w:t>
      </w:r>
      <w:r w:rsidR="00DE24D9">
        <w:t>in 2017</w:t>
      </w:r>
      <w:r>
        <w:t>–</w:t>
      </w:r>
      <w:r w:rsidR="00DE24D9">
        <w:t>18</w:t>
      </w:r>
      <w:r>
        <w:t>.</w:t>
      </w:r>
      <w:r w:rsidR="00A61352">
        <w:t xml:space="preserve"> </w:t>
      </w:r>
      <w:r w:rsidR="009C3884">
        <w:t xml:space="preserve">Key sectors of interest </w:t>
      </w:r>
      <w:r w:rsidR="00E73B69">
        <w:t>for the U</w:t>
      </w:r>
      <w:r w:rsidR="00703BD1">
        <w:t xml:space="preserve">nited </w:t>
      </w:r>
      <w:r w:rsidR="00E73B69">
        <w:t>S</w:t>
      </w:r>
      <w:r w:rsidR="00703BD1">
        <w:t>tates</w:t>
      </w:r>
      <w:r w:rsidR="009C3884">
        <w:t xml:space="preserve"> included </w:t>
      </w:r>
      <w:r w:rsidR="009C3884" w:rsidRPr="009E79EE">
        <w:rPr>
          <w:color w:val="auto"/>
          <w:szCs w:val="24"/>
        </w:rPr>
        <w:t>the services sector (</w:t>
      </w:r>
      <w:r w:rsidR="009E79EE">
        <w:rPr>
          <w:color w:val="auto"/>
          <w:szCs w:val="24"/>
        </w:rPr>
        <w:t>which increased in approvals value from $12.</w:t>
      </w:r>
      <w:r w:rsidR="00BA10B4">
        <w:rPr>
          <w:color w:val="auto"/>
          <w:szCs w:val="24"/>
        </w:rPr>
        <w:t>7</w:t>
      </w:r>
      <w:r w:rsidR="009E79EE">
        <w:rPr>
          <w:color w:val="auto"/>
          <w:szCs w:val="24"/>
        </w:rPr>
        <w:t xml:space="preserve"> billion in 2016–17 to $19.</w:t>
      </w:r>
      <w:r w:rsidR="00BA10B4">
        <w:rPr>
          <w:color w:val="auto"/>
          <w:szCs w:val="24"/>
        </w:rPr>
        <w:t>7</w:t>
      </w:r>
      <w:r w:rsidR="009E79EE">
        <w:rPr>
          <w:color w:val="auto"/>
          <w:szCs w:val="24"/>
        </w:rPr>
        <w:t xml:space="preserve"> billion) and the</w:t>
      </w:r>
      <w:r w:rsidR="009E79EE" w:rsidRPr="009E79EE">
        <w:rPr>
          <w:color w:val="auto"/>
          <w:szCs w:val="24"/>
        </w:rPr>
        <w:t xml:space="preserve"> manufacturing</w:t>
      </w:r>
      <w:r w:rsidR="009E79EE">
        <w:rPr>
          <w:color w:val="auto"/>
          <w:szCs w:val="24"/>
        </w:rPr>
        <w:t>,</w:t>
      </w:r>
      <w:r w:rsidR="009E79EE" w:rsidRPr="009E79EE">
        <w:rPr>
          <w:color w:val="auto"/>
          <w:szCs w:val="24"/>
        </w:rPr>
        <w:t xml:space="preserve"> electricity and gas</w:t>
      </w:r>
      <w:r w:rsidR="009E79EE">
        <w:rPr>
          <w:color w:val="auto"/>
          <w:szCs w:val="24"/>
        </w:rPr>
        <w:t xml:space="preserve"> sector (which increased in approvals value from $</w:t>
      </w:r>
      <w:r w:rsidR="00931839">
        <w:rPr>
          <w:color w:val="auto"/>
          <w:szCs w:val="24"/>
        </w:rPr>
        <w:t>983 </w:t>
      </w:r>
      <w:r w:rsidR="009E79EE">
        <w:rPr>
          <w:color w:val="auto"/>
          <w:szCs w:val="24"/>
        </w:rPr>
        <w:t>million in 2016–17 to $3.7 billion)</w:t>
      </w:r>
      <w:r w:rsidR="009C3884">
        <w:rPr>
          <w:color w:val="auto"/>
          <w:szCs w:val="24"/>
        </w:rPr>
        <w:t>.</w:t>
      </w:r>
    </w:p>
    <w:p w14:paraId="05E0BAC8" w14:textId="184FAF46" w:rsidR="00E83190" w:rsidRDefault="00DB1EB4" w:rsidP="00E83190">
      <w:r>
        <w:t xml:space="preserve">As mentioned </w:t>
      </w:r>
      <w:r w:rsidR="00A61352">
        <w:t>earlier</w:t>
      </w:r>
      <w:r>
        <w:t>, there was</w:t>
      </w:r>
      <w:r w:rsidR="00B50C88">
        <w:t xml:space="preserve"> a notable decrease </w:t>
      </w:r>
      <w:r w:rsidR="00DE24D9">
        <w:t xml:space="preserve">in </w:t>
      </w:r>
      <w:r>
        <w:t xml:space="preserve">2017–18 </w:t>
      </w:r>
      <w:r w:rsidR="00DE24D9">
        <w:t xml:space="preserve">in </w:t>
      </w:r>
      <w:r w:rsidR="00B50C88">
        <w:t xml:space="preserve">both the number </w:t>
      </w:r>
      <w:r w:rsidR="00652E20">
        <w:t xml:space="preserve">of applications </w:t>
      </w:r>
      <w:r w:rsidR="00B50C88">
        <w:t xml:space="preserve">and </w:t>
      </w:r>
      <w:r>
        <w:t xml:space="preserve">the value of </w:t>
      </w:r>
      <w:r w:rsidR="00652E20">
        <w:t xml:space="preserve">proposed </w:t>
      </w:r>
      <w:r w:rsidR="00B50C88">
        <w:t>investment</w:t>
      </w:r>
      <w:r>
        <w:t xml:space="preserve"> from China</w:t>
      </w:r>
      <w:r w:rsidR="00B50C88">
        <w:t xml:space="preserve">. </w:t>
      </w:r>
      <w:r w:rsidR="009C3884">
        <w:t>In 2017–18, there was a 30 per cent fall in the number of approvals from China</w:t>
      </w:r>
      <w:r w:rsidR="00EC0311">
        <w:t>,</w:t>
      </w:r>
      <w:r w:rsidR="009C3884">
        <w:t xml:space="preserve"> and </w:t>
      </w:r>
      <w:r w:rsidR="00EC0311">
        <w:t>almost</w:t>
      </w:r>
      <w:r w:rsidR="009C3884">
        <w:t xml:space="preserve"> a 40 per cent decline in the value of these approvals</w:t>
      </w:r>
      <w:r w:rsidR="00EC0311">
        <w:t xml:space="preserve"> (from $38.9 billion to $23.7 billion)</w:t>
      </w:r>
      <w:r w:rsidR="009C3884">
        <w:t xml:space="preserve">. </w:t>
      </w:r>
      <w:r w:rsidR="00EC0311">
        <w:t>In 2017–18, there was a marked fall in the value of approvals from China in the manufacturing, electricity and gas sector, the mineral exploration and development sector, the services sector, and in real estate.</w:t>
      </w:r>
    </w:p>
    <w:p w14:paraId="4635D59D" w14:textId="77777777" w:rsidR="00332751" w:rsidRDefault="00332751">
      <w:pPr>
        <w:spacing w:after="200" w:line="276" w:lineRule="auto"/>
        <w:jc w:val="left"/>
      </w:pPr>
      <w:r>
        <w:br w:type="page"/>
      </w:r>
    </w:p>
    <w:p w14:paraId="1B7A999A" w14:textId="0A2C2B87" w:rsidR="00B50C88" w:rsidRDefault="00DE24D9" w:rsidP="00E83190">
      <w:proofErr w:type="spellStart"/>
      <w:r>
        <w:t>Unibail</w:t>
      </w:r>
      <w:r>
        <w:noBreakHyphen/>
        <w:t>Rodamco’s</w:t>
      </w:r>
      <w:proofErr w:type="spellEnd"/>
      <w:r>
        <w:t xml:space="preserve"> approved </w:t>
      </w:r>
      <w:r w:rsidR="003D5EB7">
        <w:t>merger with</w:t>
      </w:r>
      <w:r>
        <w:t xml:space="preserve"> </w:t>
      </w:r>
      <w:r w:rsidR="0068100A">
        <w:t>the Australian headquartered</w:t>
      </w:r>
      <w:r w:rsidR="00FB4086">
        <w:t xml:space="preserve"> and ASX listed</w:t>
      </w:r>
      <w:r w:rsidR="0068100A">
        <w:t xml:space="preserve"> </w:t>
      </w:r>
      <w:r>
        <w:t xml:space="preserve">Westfield Corporation, </w:t>
      </w:r>
      <w:r w:rsidR="003D5EB7">
        <w:t xml:space="preserve">which valued Westfield Corporation at </w:t>
      </w:r>
      <w:r w:rsidR="000309C9" w:rsidRPr="004260E5">
        <w:t>over $28</w:t>
      </w:r>
      <w:r w:rsidRPr="004260E5">
        <w:t> billion</w:t>
      </w:r>
      <w:r>
        <w:t>, had a notable impact on the rankings</w:t>
      </w:r>
      <w:r w:rsidR="0068100A">
        <w:t xml:space="preserve"> for 2017</w:t>
      </w:r>
      <w:r w:rsidR="0080522B">
        <w:t>–</w:t>
      </w:r>
      <w:r w:rsidR="0068100A">
        <w:t>18</w:t>
      </w:r>
      <w:r w:rsidR="0030707C">
        <w:t xml:space="preserve">. </w:t>
      </w:r>
      <w:proofErr w:type="spellStart"/>
      <w:r w:rsidR="00F92CF0">
        <w:t>Unibail</w:t>
      </w:r>
      <w:r w:rsidR="00F92CF0">
        <w:noBreakHyphen/>
        <w:t>Rodamco</w:t>
      </w:r>
      <w:proofErr w:type="spellEnd"/>
      <w:r w:rsidR="00F92CF0">
        <w:t xml:space="preserve"> is dual listed on French and Dutch stock exchanges.</w:t>
      </w:r>
      <w:r w:rsidR="0068100A">
        <w:t xml:space="preserve"> </w:t>
      </w:r>
      <w:r w:rsidR="004123C0">
        <w:t>T</w:t>
      </w:r>
      <w:r w:rsidR="00F92CF0">
        <w:t>he Netherlands</w:t>
      </w:r>
      <w:r w:rsidR="004123C0">
        <w:t xml:space="preserve"> and France </w:t>
      </w:r>
      <w:r w:rsidR="00F92CF0">
        <w:t xml:space="preserve">were ranked </w:t>
      </w:r>
      <w:r w:rsidR="00CB015C">
        <w:t xml:space="preserve">sixth </w:t>
      </w:r>
      <w:r w:rsidR="00F92CF0">
        <w:t xml:space="preserve">and </w:t>
      </w:r>
      <w:r w:rsidR="00CB015C">
        <w:t xml:space="preserve">seventh </w:t>
      </w:r>
      <w:r w:rsidR="00F92CF0">
        <w:t>in 2017–18 by approvals value</w:t>
      </w:r>
      <w:r>
        <w:t>.</w:t>
      </w:r>
      <w:r w:rsidR="00F92CF0">
        <w:t xml:space="preserve"> France was not within the top 18 countries by approvals value in 2016–17.</w:t>
      </w:r>
      <w:r w:rsidR="0009655C">
        <w:t xml:space="preserve"> The Netherlands </w:t>
      </w:r>
      <w:r w:rsidR="00C56BB0">
        <w:t xml:space="preserve">recorded an </w:t>
      </w:r>
      <w:r w:rsidR="0009655C">
        <w:t>increase in approvals value from $4</w:t>
      </w:r>
      <w:r w:rsidR="00B410F8">
        <w:t> </w:t>
      </w:r>
      <w:r w:rsidR="0009655C">
        <w:t>billion in 2016–17 to $10.</w:t>
      </w:r>
      <w:r w:rsidR="003A63DC">
        <w:t>4 </w:t>
      </w:r>
      <w:r w:rsidR="0009655C">
        <w:t>billion in 2017–18, largely as an outcome of Dutch interests in the Westfield merger.</w:t>
      </w:r>
    </w:p>
    <w:p w14:paraId="05E0BACC" w14:textId="3E06158A" w:rsidR="00E83190" w:rsidRDefault="00B072FF" w:rsidP="00E83190">
      <w:pPr>
        <w:rPr>
          <w:color w:val="auto"/>
          <w:szCs w:val="24"/>
        </w:rPr>
      </w:pPr>
      <w:r>
        <w:t xml:space="preserve">The </w:t>
      </w:r>
      <w:proofErr w:type="spellStart"/>
      <w:r>
        <w:t>Unibail</w:t>
      </w:r>
      <w:r>
        <w:noBreakHyphen/>
        <w:t>Rodamco</w:t>
      </w:r>
      <w:proofErr w:type="spellEnd"/>
      <w:r>
        <w:t xml:space="preserve"> investment also involved shareholders primarily located in the United</w:t>
      </w:r>
      <w:r w:rsidR="001B3347">
        <w:t> </w:t>
      </w:r>
      <w:r>
        <w:t xml:space="preserve">Kingdom and the United States. In 2017–18, the </w:t>
      </w:r>
      <w:r w:rsidR="00A43CB8">
        <w:t xml:space="preserve">value of </w:t>
      </w:r>
      <w:r>
        <w:t xml:space="preserve">investment </w:t>
      </w:r>
      <w:r w:rsidR="00A43CB8">
        <w:t>approvals from U</w:t>
      </w:r>
      <w:r w:rsidR="00D63E9A">
        <w:t xml:space="preserve">nited </w:t>
      </w:r>
      <w:r w:rsidR="00A43CB8">
        <w:t>K</w:t>
      </w:r>
      <w:r w:rsidR="00D63E9A">
        <w:t>ingdom</w:t>
      </w:r>
      <w:r w:rsidR="00A43CB8">
        <w:t xml:space="preserve"> investors increased from $4.2 billion in 2016–17 to $17.7 billion</w:t>
      </w:r>
      <w:r>
        <w:t>.</w:t>
      </w:r>
    </w:p>
    <w:p w14:paraId="05E0BACD" w14:textId="1D0E4D96" w:rsidR="00E83190" w:rsidRPr="00886605" w:rsidRDefault="00E83190" w:rsidP="00E83190"/>
    <w:p w14:paraId="228A1E28" w14:textId="77777777" w:rsidR="0094214B" w:rsidRDefault="0094214B" w:rsidP="00886605">
      <w:pPr>
        <w:sectPr w:rsidR="0094214B" w:rsidSect="003E1D3A">
          <w:type w:val="oddPage"/>
          <w:pgSz w:w="11907" w:h="16840" w:code="9"/>
          <w:pgMar w:top="2466" w:right="2098" w:bottom="2466" w:left="2098" w:header="1899" w:footer="1899" w:gutter="0"/>
          <w:cols w:space="720"/>
          <w:titlePg/>
          <w:docGrid w:linePitch="360"/>
        </w:sectPr>
      </w:pPr>
    </w:p>
    <w:p w14:paraId="5034162D" w14:textId="5C7E3C37" w:rsidR="0094214B" w:rsidRDefault="0094214B" w:rsidP="00AC7688">
      <w:pPr>
        <w:pStyle w:val="TableHeading"/>
      </w:pPr>
      <w:bookmarkStart w:id="1003" w:name="_Toc529970049"/>
      <w:bookmarkStart w:id="1004" w:name="_Toc529979404"/>
      <w:bookmarkStart w:id="1005" w:name="_Toc530050449"/>
      <w:bookmarkStart w:id="1006" w:name="_Toc530065528"/>
      <w:bookmarkStart w:id="1007" w:name="_Toc530066356"/>
      <w:bookmarkStart w:id="1008" w:name="_Toc530145075"/>
      <w:bookmarkStart w:id="1009" w:name="_Toc530146045"/>
      <w:bookmarkStart w:id="1010" w:name="_Toc530146966"/>
      <w:bookmarkStart w:id="1011" w:name="_Toc530148324"/>
      <w:bookmarkStart w:id="1012" w:name="_Toc530148525"/>
      <w:bookmarkStart w:id="1013" w:name="_Toc530149197"/>
      <w:bookmarkStart w:id="1014" w:name="_Toc530149821"/>
      <w:bookmarkStart w:id="1015" w:name="_Toc530401673"/>
      <w:bookmarkStart w:id="1016" w:name="_Toc530491426"/>
      <w:bookmarkStart w:id="1017" w:name="_Toc530495844"/>
      <w:bookmarkStart w:id="1018" w:name="_Toc530497747"/>
      <w:bookmarkStart w:id="1019" w:name="_Toc530663567"/>
      <w:bookmarkStart w:id="1020" w:name="_Toc530753861"/>
      <w:bookmarkStart w:id="1021" w:name="_Toc530756430"/>
      <w:bookmarkStart w:id="1022" w:name="_Toc530759867"/>
      <w:bookmarkStart w:id="1023" w:name="_Toc532223713"/>
      <w:bookmarkStart w:id="1024" w:name="_Toc532224172"/>
      <w:bookmarkStart w:id="1025" w:name="_Toc532226651"/>
      <w:bookmarkStart w:id="1026" w:name="_Toc536029353"/>
      <w:bookmarkStart w:id="1027" w:name="_Toc1054893"/>
      <w:r w:rsidRPr="00637250">
        <w:t>Table</w:t>
      </w:r>
      <w:r>
        <w:t xml:space="preserve"> 3.</w:t>
      </w:r>
      <w:r w:rsidR="00D261FB">
        <w:t>14</w:t>
      </w:r>
      <w:r w:rsidRPr="00637250">
        <w:t>:</w:t>
      </w:r>
      <w:r w:rsidR="00665F25" w:rsidRPr="00665F25">
        <w:t xml:space="preserve"> </w:t>
      </w:r>
      <w:r w:rsidRPr="00637250">
        <w:t>Approvals by country of investor</w:t>
      </w:r>
      <w:r>
        <w:t>,</w:t>
      </w:r>
      <w:r w:rsidRPr="00637250">
        <w:t xml:space="preserve"> by industry sector in 201</w:t>
      </w:r>
      <w:r>
        <w:t>7–18</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376F17BE" w14:textId="0F4B74E2" w:rsidR="0080257D" w:rsidRDefault="002710EB">
      <w:pPr>
        <w:pStyle w:val="TableGraphic"/>
      </w:pPr>
      <w:r>
        <w:object w:dxaOrig="11975" w:dyaOrig="6249" w14:anchorId="332295DD">
          <v:shape id="_x0000_i1040" type="#_x0000_t75" alt="Table shows the number and value of approvals in 2017-18 and categorisese these by country and industry sector.&#10;The United States had the largest value of approvals in 2017-18, $36.5 billion, with over 50 per cent of this coming from the services sector.  China had $23.7 billion of proposed investment. Over 50 per cent of this was in real estate with $12.7 billion approved for China in this sector in 2017-18. " style="width:598.75pt;height:312.75pt;mso-position-horizontal:absolute" o:ole="">
            <v:imagedata r:id="rId89" o:title=""/>
          </v:shape>
          <o:OLEObject Type="Link" ProgID="Excel.Sheet.12" ShapeID="_x0000_i1040" DrawAspect="Content" r:id="rId90" UpdateMode="Always">
            <o:LinkType>EnhancedMetaFile</o:LinkType>
            <o:LockedField>false</o:LockedField>
          </o:OLEObject>
        </w:object>
      </w:r>
    </w:p>
    <w:p w14:paraId="3F014524" w14:textId="77777777" w:rsidR="00440010" w:rsidRPr="00440010" w:rsidRDefault="00440010" w:rsidP="00440010"/>
    <w:p w14:paraId="06FDB2AE" w14:textId="77777777" w:rsidR="00440010" w:rsidRPr="00440010" w:rsidRDefault="00440010" w:rsidP="00440010">
      <w:pPr>
        <w:sectPr w:rsidR="00440010" w:rsidRPr="00440010" w:rsidSect="002229ED">
          <w:headerReference w:type="first" r:id="rId91"/>
          <w:footerReference w:type="first" r:id="rId92"/>
          <w:pgSz w:w="16840" w:h="11907" w:orient="landscape" w:code="9"/>
          <w:pgMar w:top="2098" w:right="2466" w:bottom="2098" w:left="2466" w:header="1531" w:footer="1531" w:gutter="0"/>
          <w:cols w:space="720"/>
          <w:titlePg/>
          <w:docGrid w:linePitch="360"/>
        </w:sectPr>
      </w:pPr>
    </w:p>
    <w:p w14:paraId="2E9F8FC0" w14:textId="333B6C7E" w:rsidR="00886605" w:rsidRPr="00FF621D" w:rsidRDefault="00E83190" w:rsidP="00752D59">
      <w:pPr>
        <w:pStyle w:val="TableMainHeadingContd"/>
        <w:spacing w:after="40"/>
      </w:pPr>
      <w:bookmarkStart w:id="1028" w:name="_1548074941"/>
      <w:bookmarkEnd w:id="1028"/>
      <w:r w:rsidRPr="00FF621D">
        <w:t xml:space="preserve">Notes applying to </w:t>
      </w:r>
      <w:r w:rsidR="00DF63BF" w:rsidRPr="00FF621D">
        <w:t>Table</w:t>
      </w:r>
      <w:r w:rsidR="000D3CAC" w:rsidRPr="00FF621D">
        <w:t xml:space="preserve"> </w:t>
      </w:r>
      <w:r w:rsidR="00E47AEB" w:rsidRPr="00FF621D">
        <w:t>3</w:t>
      </w:r>
      <w:r w:rsidRPr="00FF621D">
        <w:t>.</w:t>
      </w:r>
      <w:r w:rsidR="00D261FB" w:rsidRPr="00FF621D">
        <w:t>1</w:t>
      </w:r>
      <w:r w:rsidR="00D261FB">
        <w:t>4</w:t>
      </w:r>
    </w:p>
    <w:p w14:paraId="21694C4F" w14:textId="77777777" w:rsidR="00886605" w:rsidRPr="00F77CA3" w:rsidRDefault="00886605" w:rsidP="00397941">
      <w:pPr>
        <w:pStyle w:val="ChartandTableFootnoteAlpha"/>
        <w:numPr>
          <w:ilvl w:val="0"/>
          <w:numId w:val="31"/>
        </w:numPr>
      </w:pPr>
      <w:r w:rsidRPr="00F77CA3">
        <w:t>Includes overseas territories.</w:t>
      </w:r>
    </w:p>
    <w:p w14:paraId="5FA13276" w14:textId="77777777" w:rsidR="00886605" w:rsidRPr="00F77CA3" w:rsidRDefault="00886605" w:rsidP="00CB7103">
      <w:pPr>
        <w:pStyle w:val="ChartandTableFootnoteAlpha"/>
        <w:ind w:left="284" w:hanging="284"/>
      </w:pPr>
      <w:r w:rsidRPr="00F77CA3">
        <w:t>China excludes Special Administrative Regions and Taiwan.</w:t>
      </w:r>
    </w:p>
    <w:p w14:paraId="4619C8CF" w14:textId="77777777" w:rsidR="00886605" w:rsidRPr="00F77CA3" w:rsidRDefault="00886605" w:rsidP="00CB7103">
      <w:pPr>
        <w:pStyle w:val="ChartandTableFootnoteAlpha"/>
        <w:ind w:left="284" w:hanging="284"/>
      </w:pPr>
      <w:r w:rsidRPr="00F77CA3">
        <w:t>‘Other’ comprises all other</w:t>
      </w:r>
      <w:r>
        <w:t xml:space="preserve"> countries not specifically listed in the top countries by value, from which there is </w:t>
      </w:r>
      <w:r w:rsidRPr="00F77CA3">
        <w:t>proposed investment approved.</w:t>
      </w:r>
    </w:p>
    <w:p w14:paraId="66399546" w14:textId="05E55651" w:rsidR="00886605" w:rsidRPr="00F77CA3" w:rsidRDefault="00886605" w:rsidP="0051473A">
      <w:pPr>
        <w:pStyle w:val="ChartandTableFootnoteAlpha"/>
        <w:ind w:left="284" w:hanging="284"/>
      </w:pPr>
      <w:r w:rsidRPr="00F77CA3">
        <w:t>One new dwelling exemption certificate (previously advanced ‘off</w:t>
      </w:r>
      <w:r w:rsidRPr="00F77CA3">
        <w:noBreakHyphen/>
        <w:t>the</w:t>
      </w:r>
      <w:r w:rsidRPr="00F77CA3">
        <w:noBreakHyphen/>
        <w:t>plan’ certificate) equates to one</w:t>
      </w:r>
      <w:r>
        <w:t> </w:t>
      </w:r>
      <w:r w:rsidRPr="00F77CA3">
        <w:t xml:space="preserve">approval in terms of the number of approvals but the </w:t>
      </w:r>
      <w:r w:rsidR="001314E6">
        <w:t xml:space="preserve">value reflects </w:t>
      </w:r>
      <w:r w:rsidR="001314E6" w:rsidRPr="001314E6">
        <w:t xml:space="preserve">the maximum amount </w:t>
      </w:r>
      <w:r w:rsidR="001314E6">
        <w:t xml:space="preserve">that </w:t>
      </w:r>
      <w:r w:rsidR="001314E6" w:rsidRPr="001314E6">
        <w:t xml:space="preserve">foreign persons may acquire under the certificate </w:t>
      </w:r>
      <w:r w:rsidR="001314E6">
        <w:t>in</w:t>
      </w:r>
      <w:r w:rsidRPr="00F77CA3">
        <w:t xml:space="preserve"> the proposed development</w:t>
      </w:r>
      <w:r w:rsidR="001314E6">
        <w:t xml:space="preserve">. As of the </w:t>
      </w:r>
      <w:r w:rsidR="001314E6" w:rsidRPr="004435B6">
        <w:t>2017–18 Budget</w:t>
      </w:r>
      <w:r w:rsidR="001314E6">
        <w:t>, the maximum number of dwellings that could be sold to foreign persons under new certificates was reduced from 100 per cent to 50 per cent of the dwellings a development</w:t>
      </w:r>
      <w:r w:rsidRPr="00F77CA3">
        <w:t>.</w:t>
      </w:r>
      <w:r w:rsidRPr="00F77CA3" w:rsidDel="00AD239D">
        <w:t xml:space="preserve"> </w:t>
      </w:r>
      <w:r w:rsidRPr="00F77CA3">
        <w:t xml:space="preserve">Further details are provided in the section on </w:t>
      </w:r>
      <w:r w:rsidR="0065659D">
        <w:t xml:space="preserve">residential </w:t>
      </w:r>
      <w:r w:rsidRPr="00F77CA3">
        <w:t>real estate.</w:t>
      </w:r>
      <w:r w:rsidR="00E612A4">
        <w:t xml:space="preserve"> </w:t>
      </w:r>
    </w:p>
    <w:p w14:paraId="4A2083BC" w14:textId="049F2B79" w:rsidR="00886605" w:rsidRPr="00F77CA3" w:rsidRDefault="00886605" w:rsidP="00CB7103">
      <w:pPr>
        <w:pStyle w:val="ChartandTableFootnoteAlpha"/>
        <w:ind w:left="284" w:hanging="284"/>
      </w:pPr>
      <w:r w:rsidRPr="00F77CA3">
        <w:t xml:space="preserve">Comprises </w:t>
      </w:r>
      <w:r w:rsidR="002D52D5">
        <w:t>approvals</w:t>
      </w:r>
      <w:r w:rsidR="002D52D5" w:rsidRPr="00F77CA3">
        <w:t xml:space="preserve"> </w:t>
      </w:r>
      <w:r w:rsidRPr="00F77CA3">
        <w:t>where Australian</w:t>
      </w:r>
      <w:r w:rsidR="00F61559">
        <w:t xml:space="preserve">s hold disclosed beneficial interests in the investor, or </w:t>
      </w:r>
      <w:r w:rsidR="00F61559" w:rsidRPr="00F61559">
        <w:t xml:space="preserve">where widely held interests have been allocated to </w:t>
      </w:r>
      <w:r w:rsidR="00F61559">
        <w:t xml:space="preserve">Australia based on other factors such as location or </w:t>
      </w:r>
      <w:r w:rsidR="00F61559" w:rsidRPr="00F61559">
        <w:t>control of the investor</w:t>
      </w:r>
      <w:r w:rsidR="00F61559">
        <w:t>. Also includes when</w:t>
      </w:r>
      <w:r w:rsidRPr="00F77CA3">
        <w:t xml:space="preserve"> an Australian investor(s) jointly intends to make a proposed investment with a foreign </w:t>
      </w:r>
      <w:r w:rsidR="0075502D">
        <w:t>person</w:t>
      </w:r>
      <w:r w:rsidR="00F61559">
        <w:t xml:space="preserve"> through a new entity</w:t>
      </w:r>
      <w:r w:rsidRPr="00F77CA3">
        <w:t>, or jointly establish a new business with a foreign government investor.</w:t>
      </w:r>
    </w:p>
    <w:p w14:paraId="5C6A8CF3" w14:textId="06CE0D5B" w:rsidR="00886605" w:rsidRDefault="00886605" w:rsidP="00CB7103">
      <w:pPr>
        <w:pStyle w:val="ChartandTableFootnoteAlpha"/>
        <w:ind w:left="284" w:hanging="284"/>
      </w:pPr>
      <w:r w:rsidRPr="00F77CA3">
        <w:t xml:space="preserve">These figures indicate the total number of </w:t>
      </w:r>
      <w:r w:rsidR="002D52D5">
        <w:t>approvals</w:t>
      </w:r>
      <w:r w:rsidR="002D52D5" w:rsidRPr="00F77CA3">
        <w:t xml:space="preserve"> </w:t>
      </w:r>
      <w:r w:rsidRPr="00F77CA3">
        <w:t>in which investors from the particular country have a</w:t>
      </w:r>
      <w:r w:rsidR="00D261FB">
        <w:t xml:space="preserve"> disclosed beneficial </w:t>
      </w:r>
      <w:r w:rsidRPr="00F77CA3">
        <w:t>interest</w:t>
      </w:r>
      <w:r w:rsidR="00D261FB">
        <w:t xml:space="preserve"> in or where widely held interests have been allocated to a country based on </w:t>
      </w:r>
      <w:r w:rsidR="004173ED">
        <w:t xml:space="preserve">factors such as </w:t>
      </w:r>
      <w:r w:rsidR="00D261FB">
        <w:t>the largest interest holder or country of control of the investor</w:t>
      </w:r>
      <w:r w:rsidRPr="00F77CA3">
        <w:t xml:space="preserve">. </w:t>
      </w:r>
      <w:r w:rsidR="002D52D5">
        <w:t>Approvals</w:t>
      </w:r>
      <w:r w:rsidR="002D52D5" w:rsidRPr="00F77CA3">
        <w:t xml:space="preserve"> </w:t>
      </w:r>
      <w:r w:rsidRPr="00F77CA3">
        <w:t xml:space="preserve">involving investment originating from more than one country </w:t>
      </w:r>
      <w:r w:rsidRPr="00D37120">
        <w:t>are generally counted</w:t>
      </w:r>
      <w:r w:rsidRPr="00F77CA3">
        <w:t xml:space="preserve"> as one </w:t>
      </w:r>
      <w:r w:rsidR="002D52D5">
        <w:t>approval</w:t>
      </w:r>
      <w:r w:rsidR="002D52D5" w:rsidRPr="00F77CA3">
        <w:t xml:space="preserve"> </w:t>
      </w:r>
      <w:r w:rsidRPr="00F77CA3">
        <w:t xml:space="preserve">for each of the countries concerned </w:t>
      </w:r>
      <w:r w:rsidRPr="00D37120">
        <w:t>where</w:t>
      </w:r>
      <w:r w:rsidRPr="00F77CA3">
        <w:t xml:space="preserve"> they include investment from foreign </w:t>
      </w:r>
      <w:r w:rsidR="007C388D">
        <w:t>person</w:t>
      </w:r>
      <w:r w:rsidRPr="00F77CA3">
        <w:t>s</w:t>
      </w:r>
      <w:r w:rsidRPr="00D37120">
        <w:t xml:space="preserve"> </w:t>
      </w:r>
      <w:r>
        <w:t xml:space="preserve">greater than </w:t>
      </w:r>
      <w:r w:rsidR="00E73B69">
        <w:t>five</w:t>
      </w:r>
      <w:r>
        <w:t xml:space="preserve"> per cent</w:t>
      </w:r>
      <w:r w:rsidRPr="00D37120">
        <w:t xml:space="preserve"> or where there is shared control</w:t>
      </w:r>
      <w:r w:rsidRPr="00F77CA3">
        <w:t>.</w:t>
      </w:r>
    </w:p>
    <w:p w14:paraId="7D3FB4AA" w14:textId="60ED30B7" w:rsidR="0051473A" w:rsidRDefault="00886605" w:rsidP="00886605">
      <w:pPr>
        <w:pStyle w:val="StyleChartorTableNoteLeft0cmHanging1cm"/>
      </w:pPr>
      <w:r w:rsidRPr="00F77CA3">
        <w:t>Note</w:t>
      </w:r>
      <w:r>
        <w:t>s</w:t>
      </w:r>
      <w:r w:rsidRPr="00F77CA3">
        <w:t>:</w:t>
      </w:r>
      <w:r w:rsidRPr="00F77CA3">
        <w:tab/>
        <w:t>Totals may not add due to rounding.</w:t>
      </w:r>
    </w:p>
    <w:p w14:paraId="7C406BF8" w14:textId="4A3A0792" w:rsidR="00886605" w:rsidRPr="00F77CA3" w:rsidRDefault="0051473A" w:rsidP="00886605">
      <w:pPr>
        <w:pStyle w:val="StyleChartorTableNoteLeft0cmHanging1cm"/>
      </w:pPr>
      <w:r>
        <w:tab/>
      </w:r>
      <w:r w:rsidR="00886605">
        <w:t>In</w:t>
      </w:r>
      <w:r w:rsidR="00886605" w:rsidRPr="007945DC">
        <w:t>cludes corporate reorganisations</w:t>
      </w:r>
      <w:r w:rsidR="00CD1E0E">
        <w:t>,</w:t>
      </w:r>
      <w:r w:rsidR="00886605" w:rsidRPr="007945DC">
        <w:t xml:space="preserve"> </w:t>
      </w:r>
      <w:r w:rsidR="00886605">
        <w:t>exemption certificates</w:t>
      </w:r>
      <w:r w:rsidR="00CD1E0E">
        <w:t xml:space="preserve"> </w:t>
      </w:r>
      <w:r w:rsidR="00CD1E0E" w:rsidRPr="0051473A">
        <w:t>and new businesses</w:t>
      </w:r>
      <w:r w:rsidR="00886605" w:rsidRPr="007945DC">
        <w:t>.</w:t>
      </w:r>
    </w:p>
    <w:p w14:paraId="4E7AF990" w14:textId="77777777" w:rsidR="00886605" w:rsidRDefault="00886605" w:rsidP="00886605">
      <w:pPr>
        <w:pStyle w:val="StyleChartorTableNoteLeft0cmHanging1cm"/>
      </w:pPr>
      <w:r w:rsidRPr="00F77CA3">
        <w:tab/>
        <w:t>‘</w:t>
      </w:r>
      <w:r w:rsidRPr="00F77CA3">
        <w:noBreakHyphen/>
        <w:t>‘ indicates a figure of $10 million or less.</w:t>
      </w:r>
    </w:p>
    <w:p w14:paraId="5EC4D583" w14:textId="06FD2AC4" w:rsidR="00886605" w:rsidRDefault="00886605" w:rsidP="00886605">
      <w:pPr>
        <w:pStyle w:val="StyleChartorTableNoteLeft0cmHanging1cm"/>
        <w:ind w:firstLine="0"/>
      </w:pPr>
      <w:r w:rsidRPr="007945DC">
        <w:t xml:space="preserve">Total number of approvals in </w:t>
      </w:r>
      <w:r>
        <w:t>this table</w:t>
      </w:r>
      <w:r w:rsidRPr="007945DC">
        <w:t xml:space="preserve"> may be greater than or equal to the</w:t>
      </w:r>
      <w:r>
        <w:t xml:space="preserve"> total</w:t>
      </w:r>
      <w:r w:rsidRPr="007945DC">
        <w:t xml:space="preserve"> number of approvals in Tables </w:t>
      </w:r>
      <w:r>
        <w:t>3.1,</w:t>
      </w:r>
      <w:r w:rsidRPr="007945DC">
        <w:t xml:space="preserve"> </w:t>
      </w:r>
      <w:r>
        <w:t>3</w:t>
      </w:r>
      <w:r w:rsidRPr="007945DC">
        <w:t>.3</w:t>
      </w:r>
      <w:r>
        <w:t>, and 3.4</w:t>
      </w:r>
      <w:r w:rsidRPr="007945DC">
        <w:t xml:space="preserve"> as </w:t>
      </w:r>
      <w:r>
        <w:t xml:space="preserve">the data is recorded by </w:t>
      </w:r>
      <w:r w:rsidRPr="007945DC">
        <w:t xml:space="preserve">target, </w:t>
      </w:r>
      <w:r w:rsidR="004173ED">
        <w:t>for</w:t>
      </w:r>
      <w:r>
        <w:t xml:space="preserve"> both</w:t>
      </w:r>
      <w:r w:rsidRPr="007945DC">
        <w:t xml:space="preserve"> industry sectors</w:t>
      </w:r>
      <w:r>
        <w:t xml:space="preserve"> and investor countries</w:t>
      </w:r>
      <w:r w:rsidRPr="007945DC">
        <w:t>.</w:t>
      </w:r>
      <w:r>
        <w:t xml:space="preserve"> F</w:t>
      </w:r>
      <w:r w:rsidRPr="007945DC">
        <w:t xml:space="preserve">or </w:t>
      </w:r>
      <w:r>
        <w:t>instance,</w:t>
      </w:r>
      <w:r w:rsidRPr="007945DC">
        <w:t xml:space="preserve"> one </w:t>
      </w:r>
      <w:r w:rsidR="002D52D5">
        <w:t xml:space="preserve">application </w:t>
      </w:r>
      <w:r>
        <w:t>from two investor countries</w:t>
      </w:r>
      <w:r w:rsidRPr="007945DC">
        <w:t xml:space="preserve"> to acquire two targets that operate in separate sectors will appear as one approval per sector</w:t>
      </w:r>
      <w:r>
        <w:t>, per country (that is, it will be reflected as four approvals).</w:t>
      </w:r>
    </w:p>
    <w:p w14:paraId="3B43DB1C" w14:textId="77777777" w:rsidR="00EE602F" w:rsidRPr="00361BFB" w:rsidRDefault="00EE602F" w:rsidP="00361BFB">
      <w:pPr>
        <w:pStyle w:val="StyleChartorTableNoteLeft0cmHanging1cm"/>
        <w:ind w:firstLine="0"/>
      </w:pPr>
      <w:r w:rsidRPr="00361BFB">
        <w:t>The 2017</w:t>
      </w:r>
      <w:r w:rsidRPr="00361BFB">
        <w:noBreakHyphen/>
        <w:t>18 figures were impacted by the reforms announced in the 2017</w:t>
      </w:r>
      <w:r w:rsidRPr="00361BFB">
        <w:noBreakHyphen/>
        <w:t>18 Budget, which were given effect on 1 July 2017. The reforms may affect data comparability.</w:t>
      </w:r>
    </w:p>
    <w:p w14:paraId="2C9D07B4" w14:textId="77777777" w:rsidR="0060053B" w:rsidRPr="007D3940" w:rsidRDefault="0060053B" w:rsidP="007D3940">
      <w:bookmarkStart w:id="1029" w:name="_Toc529970073"/>
      <w:bookmarkStart w:id="1030" w:name="_Toc529979428"/>
      <w:bookmarkStart w:id="1031" w:name="_Toc530050474"/>
      <w:bookmarkStart w:id="1032" w:name="_Toc530065553"/>
      <w:bookmarkStart w:id="1033" w:name="_Toc530066381"/>
      <w:bookmarkStart w:id="1034" w:name="_Toc530145101"/>
      <w:bookmarkStart w:id="1035" w:name="_Toc530146071"/>
      <w:bookmarkStart w:id="1036" w:name="_Toc530146992"/>
      <w:bookmarkStart w:id="1037" w:name="_Toc530148350"/>
      <w:bookmarkStart w:id="1038" w:name="_Toc530148551"/>
      <w:bookmarkStart w:id="1039" w:name="_Toc530149223"/>
      <w:bookmarkStart w:id="1040" w:name="_Toc530149794"/>
      <w:r w:rsidRPr="007D3940">
        <w:br w:type="page"/>
      </w:r>
    </w:p>
    <w:p w14:paraId="71286964" w14:textId="77777777" w:rsidR="00886605" w:rsidRPr="002F2A53" w:rsidRDefault="00886605" w:rsidP="00752D59">
      <w:pPr>
        <w:pStyle w:val="Heading2"/>
        <w:spacing w:before="60" w:after="120"/>
      </w:pPr>
      <w:bookmarkStart w:id="1041" w:name="_Toc532207338"/>
      <w:bookmarkStart w:id="1042" w:name="_Toc532217726"/>
      <w:bookmarkStart w:id="1043" w:name="_Toc532218747"/>
      <w:bookmarkStart w:id="1044" w:name="_Toc532219059"/>
      <w:bookmarkStart w:id="1045" w:name="_Toc532223743"/>
      <w:bookmarkStart w:id="1046" w:name="_Toc532224202"/>
      <w:bookmarkStart w:id="1047" w:name="_Toc532226681"/>
      <w:bookmarkStart w:id="1048" w:name="_Toc536029382"/>
      <w:bookmarkStart w:id="1049" w:name="_Toc1120404"/>
      <w:bookmarkStart w:id="1050" w:name="_Toc1121975"/>
      <w:r w:rsidRPr="002F2A53">
        <w:t>Variations</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36601E76" w14:textId="60A782A5" w:rsidR="00886605" w:rsidRDefault="00886605" w:rsidP="00752D59">
      <w:pPr>
        <w:spacing w:after="160" w:line="252" w:lineRule="exact"/>
        <w:rPr>
          <w:color w:val="auto"/>
          <w:szCs w:val="24"/>
        </w:rPr>
      </w:pPr>
      <w:r w:rsidRPr="00843C9A">
        <w:rPr>
          <w:color w:val="auto"/>
          <w:szCs w:val="24"/>
        </w:rPr>
        <w:t>The</w:t>
      </w:r>
      <w:r>
        <w:rPr>
          <w:color w:val="auto"/>
          <w:szCs w:val="24"/>
        </w:rPr>
        <w:t xml:space="preserve"> </w:t>
      </w:r>
      <w:r w:rsidRPr="00843C9A">
        <w:rPr>
          <w:color w:val="auto"/>
          <w:szCs w:val="24"/>
        </w:rPr>
        <w:t xml:space="preserve">Act allows </w:t>
      </w:r>
      <w:r w:rsidR="007F5A67">
        <w:rPr>
          <w:color w:val="auto"/>
          <w:szCs w:val="24"/>
        </w:rPr>
        <w:t>foreign persons</w:t>
      </w:r>
      <w:r w:rsidR="007F5A67" w:rsidRPr="00843C9A">
        <w:rPr>
          <w:color w:val="auto"/>
          <w:szCs w:val="24"/>
        </w:rPr>
        <w:t xml:space="preserve"> </w:t>
      </w:r>
      <w:r w:rsidRPr="00843C9A">
        <w:rPr>
          <w:color w:val="auto"/>
          <w:szCs w:val="24"/>
        </w:rPr>
        <w:t xml:space="preserve">to apply for variations </w:t>
      </w:r>
      <w:r>
        <w:rPr>
          <w:color w:val="auto"/>
          <w:szCs w:val="24"/>
        </w:rPr>
        <w:t>relating to approvals</w:t>
      </w:r>
      <w:r w:rsidRPr="00843C9A">
        <w:rPr>
          <w:color w:val="auto"/>
          <w:szCs w:val="24"/>
        </w:rPr>
        <w:t xml:space="preserve">, </w:t>
      </w:r>
      <w:r w:rsidR="00AC7688">
        <w:rPr>
          <w:color w:val="auto"/>
          <w:szCs w:val="24"/>
        </w:rPr>
        <w:t xml:space="preserve">to </w:t>
      </w:r>
      <w:r w:rsidRPr="00843C9A">
        <w:rPr>
          <w:color w:val="auto"/>
          <w:szCs w:val="24"/>
        </w:rPr>
        <w:t xml:space="preserve">conditions that are imposed in </w:t>
      </w:r>
      <w:r>
        <w:rPr>
          <w:color w:val="auto"/>
          <w:szCs w:val="24"/>
        </w:rPr>
        <w:t>an approval,</w:t>
      </w:r>
      <w:r w:rsidRPr="00843C9A">
        <w:rPr>
          <w:color w:val="auto"/>
          <w:szCs w:val="24"/>
        </w:rPr>
        <w:t xml:space="preserve"> to exemption certificates</w:t>
      </w:r>
      <w:r w:rsidR="00AC7688">
        <w:rPr>
          <w:color w:val="auto"/>
          <w:szCs w:val="24"/>
        </w:rPr>
        <w:t>, and to orders</w:t>
      </w:r>
      <w:r>
        <w:rPr>
          <w:color w:val="auto"/>
          <w:szCs w:val="24"/>
        </w:rPr>
        <w:t xml:space="preserve">. </w:t>
      </w:r>
      <w:r w:rsidR="002D0AB1">
        <w:rPr>
          <w:color w:val="auto"/>
          <w:szCs w:val="24"/>
        </w:rPr>
        <w:t>Variations may also be made at the Treasurer’s own initiative if the person consents to the variation or the variation meets a no disadvantage to the foreign person test. Irrespective of</w:t>
      </w:r>
      <w:r w:rsidR="002D0AB1" w:rsidDel="00D07950">
        <w:rPr>
          <w:color w:val="auto"/>
          <w:szCs w:val="24"/>
        </w:rPr>
        <w:t xml:space="preserve"> </w:t>
      </w:r>
      <w:r w:rsidR="00D07950">
        <w:rPr>
          <w:color w:val="auto"/>
          <w:szCs w:val="24"/>
        </w:rPr>
        <w:t xml:space="preserve">whether </w:t>
      </w:r>
      <w:r w:rsidR="002D0AB1">
        <w:rPr>
          <w:color w:val="auto"/>
          <w:szCs w:val="24"/>
        </w:rPr>
        <w:t>an application is received or the variation is at the Treasurer’s initiative, t</w:t>
      </w:r>
      <w:r w:rsidR="002D0AB1" w:rsidRPr="00843C9A">
        <w:rPr>
          <w:color w:val="auto"/>
          <w:szCs w:val="24"/>
        </w:rPr>
        <w:t xml:space="preserve">he </w:t>
      </w:r>
      <w:r w:rsidR="002D0AB1">
        <w:rPr>
          <w:color w:val="auto"/>
          <w:szCs w:val="24"/>
        </w:rPr>
        <w:t xml:space="preserve">variation may only be made </w:t>
      </w:r>
      <w:r w:rsidRPr="00843C9A">
        <w:rPr>
          <w:color w:val="auto"/>
          <w:szCs w:val="24"/>
        </w:rPr>
        <w:t>if the Treasurer is satisfied that it is not contrary to the national interest.</w:t>
      </w:r>
      <w:r>
        <w:rPr>
          <w:color w:val="auto"/>
          <w:szCs w:val="24"/>
        </w:rPr>
        <w:t xml:space="preserve"> </w:t>
      </w:r>
      <w:r w:rsidRPr="00843C9A">
        <w:rPr>
          <w:color w:val="auto"/>
          <w:szCs w:val="24"/>
        </w:rPr>
        <w:t>Variation applications are considered on a case</w:t>
      </w:r>
      <w:r>
        <w:rPr>
          <w:color w:val="auto"/>
          <w:szCs w:val="24"/>
        </w:rPr>
        <w:t>-</w:t>
      </w:r>
      <w:r w:rsidRPr="00843C9A">
        <w:rPr>
          <w:color w:val="auto"/>
          <w:szCs w:val="24"/>
        </w:rPr>
        <w:t>by</w:t>
      </w:r>
      <w:r>
        <w:rPr>
          <w:color w:val="auto"/>
          <w:szCs w:val="24"/>
        </w:rPr>
        <w:t>-</w:t>
      </w:r>
      <w:r w:rsidRPr="00843C9A">
        <w:rPr>
          <w:color w:val="auto"/>
          <w:szCs w:val="24"/>
        </w:rPr>
        <w:t>case basis</w:t>
      </w:r>
      <w:r>
        <w:rPr>
          <w:color w:val="auto"/>
          <w:szCs w:val="24"/>
        </w:rPr>
        <w:t>, and are usually limited to more technical changes and extension</w:t>
      </w:r>
      <w:r w:rsidR="00C611EE">
        <w:rPr>
          <w:color w:val="auto"/>
          <w:szCs w:val="24"/>
        </w:rPr>
        <w:t>s</w:t>
      </w:r>
      <w:r>
        <w:rPr>
          <w:color w:val="auto"/>
          <w:szCs w:val="24"/>
        </w:rPr>
        <w:t xml:space="preserve"> of deadlines in condition</w:t>
      </w:r>
      <w:r w:rsidR="00C611EE">
        <w:rPr>
          <w:color w:val="auto"/>
          <w:szCs w:val="24"/>
        </w:rPr>
        <w:t>s</w:t>
      </w:r>
      <w:r>
        <w:rPr>
          <w:color w:val="auto"/>
          <w:szCs w:val="24"/>
        </w:rPr>
        <w:t>.</w:t>
      </w:r>
    </w:p>
    <w:p w14:paraId="207D5562" w14:textId="6A479BAB" w:rsidR="00886605" w:rsidRPr="00752D59" w:rsidRDefault="00886605" w:rsidP="00752D59">
      <w:pPr>
        <w:spacing w:after="160" w:line="252" w:lineRule="exact"/>
      </w:pPr>
      <w:r w:rsidRPr="00752D59">
        <w:t xml:space="preserve">For example, a commercial real estate development condition has a deadline of five years for the commencement of construction from the date of approval. Where, due to circumstances beyond the developer’s control, the developer is unlikely to meet the deadline, the developer may apply </w:t>
      </w:r>
      <w:r w:rsidR="00B36FE2">
        <w:t>for</w:t>
      </w:r>
      <w:r w:rsidRPr="00752D59">
        <w:t xml:space="preserve"> the deadline for the condition to be varied to provide further time.</w:t>
      </w:r>
    </w:p>
    <w:p w14:paraId="03415324" w14:textId="3E81F3D9" w:rsidR="00886605" w:rsidRPr="00752D59" w:rsidRDefault="00886605" w:rsidP="00752D59">
      <w:pPr>
        <w:spacing w:after="160" w:line="252" w:lineRule="exact"/>
      </w:pPr>
      <w:r w:rsidRPr="00752D59">
        <w:t>A significant departure from the original application or approval will generally require a further application.</w:t>
      </w:r>
      <w:r w:rsidR="00E73B69">
        <w:t xml:space="preserve"> This could include the add</w:t>
      </w:r>
      <w:r w:rsidR="00E612A4">
        <w:t>ition of another foreign person</w:t>
      </w:r>
      <w:r w:rsidR="00E73B69">
        <w:t xml:space="preserve"> to the application or increasing the equity interest in the proposed investment.</w:t>
      </w:r>
    </w:p>
    <w:p w14:paraId="403AE112" w14:textId="068948B3" w:rsidR="00886605" w:rsidRDefault="00886605" w:rsidP="00DA5BD6">
      <w:pPr>
        <w:spacing w:after="160" w:line="252" w:lineRule="exact"/>
      </w:pPr>
      <w:r w:rsidRPr="00752D59">
        <w:t xml:space="preserve">In 2017–18, there were 504 variations </w:t>
      </w:r>
      <w:r w:rsidR="005B10D2">
        <w:t>considered</w:t>
      </w:r>
      <w:r w:rsidRPr="00752D59">
        <w:t>, compared to 629 in 2016–17</w:t>
      </w:r>
      <w:r w:rsidR="00DA5BD6">
        <w:t xml:space="preserve">. Of these, </w:t>
      </w:r>
      <w:r w:rsidR="008B7049">
        <w:t>453 </w:t>
      </w:r>
      <w:r w:rsidR="00DA5BD6">
        <w:t>were approved in 2017-18, a decrease of 158 on 2016-17</w:t>
      </w:r>
      <w:r w:rsidRPr="00752D59">
        <w:t xml:space="preserve">. </w:t>
      </w:r>
      <w:r w:rsidR="002D0AB1" w:rsidRPr="00752D59">
        <w:t>All variations made in 2017</w:t>
      </w:r>
      <w:r w:rsidR="002D0AB1" w:rsidRPr="00752D59">
        <w:noBreakHyphen/>
        <w:t>18 related to approvals (with or without conditions) or exemption certificates. There were no variations made in 2017</w:t>
      </w:r>
      <w:r w:rsidR="002D0AB1" w:rsidRPr="00752D59">
        <w:noBreakHyphen/>
        <w:t>18 to orders made in 2017</w:t>
      </w:r>
      <w:r w:rsidR="002D0AB1" w:rsidRPr="00752D59">
        <w:noBreakHyphen/>
        <w:t>18 or earlier years.</w:t>
      </w:r>
      <w:r w:rsidR="00FC53D9">
        <w:t xml:space="preserve"> There were </w:t>
      </w:r>
      <w:r w:rsidR="000B3062">
        <w:t>four </w:t>
      </w:r>
      <w:r w:rsidR="00FC53D9">
        <w:t>variations declined, an increase of two on 2016</w:t>
      </w:r>
      <w:r w:rsidR="00FC53D9">
        <w:noBreakHyphen/>
        <w:t>17.</w:t>
      </w:r>
    </w:p>
    <w:p w14:paraId="0E9F13E0" w14:textId="77777777" w:rsidR="00C33612" w:rsidRPr="007D3940" w:rsidRDefault="00C33612" w:rsidP="007D3940"/>
    <w:p w14:paraId="696F62E3" w14:textId="77777777" w:rsidR="007D3940" w:rsidRPr="002229ED" w:rsidRDefault="007D3940" w:rsidP="00752D59">
      <w:pPr>
        <w:spacing w:after="0" w:line="252" w:lineRule="exact"/>
        <w:sectPr w:rsidR="007D3940" w:rsidRPr="002229ED" w:rsidSect="002229ED">
          <w:headerReference w:type="first" r:id="rId93"/>
          <w:footerReference w:type="first" r:id="rId94"/>
          <w:pgSz w:w="11907" w:h="16840" w:code="9"/>
          <w:pgMar w:top="2466" w:right="2098" w:bottom="2466" w:left="2098" w:header="1899" w:footer="1899" w:gutter="0"/>
          <w:cols w:space="720"/>
          <w:titlePg/>
          <w:docGrid w:linePitch="360"/>
        </w:sectPr>
      </w:pPr>
    </w:p>
    <w:p w14:paraId="2903C219" w14:textId="086C4534" w:rsidR="000C12FF" w:rsidRDefault="000C12FF" w:rsidP="00AC7688">
      <w:pPr>
        <w:pStyle w:val="TableHeading"/>
      </w:pPr>
      <w:bookmarkStart w:id="1051" w:name="_Toc529878047"/>
      <w:bookmarkStart w:id="1052" w:name="_Toc529879271"/>
      <w:bookmarkStart w:id="1053" w:name="_Toc529882536"/>
      <w:bookmarkStart w:id="1054" w:name="_Toc529885207"/>
      <w:bookmarkStart w:id="1055" w:name="_Toc529890679"/>
      <w:bookmarkStart w:id="1056" w:name="_Toc529970050"/>
      <w:bookmarkStart w:id="1057" w:name="_Toc529979405"/>
      <w:bookmarkStart w:id="1058" w:name="_Toc530050450"/>
      <w:bookmarkStart w:id="1059" w:name="_Toc530065529"/>
      <w:bookmarkStart w:id="1060" w:name="_Toc530066357"/>
      <w:bookmarkStart w:id="1061" w:name="_Toc530145076"/>
      <w:bookmarkStart w:id="1062" w:name="_Toc530146046"/>
      <w:bookmarkStart w:id="1063" w:name="_Toc530146967"/>
      <w:bookmarkStart w:id="1064" w:name="_Toc530148325"/>
      <w:bookmarkStart w:id="1065" w:name="_Toc530148526"/>
      <w:bookmarkStart w:id="1066" w:name="_Toc530149198"/>
      <w:bookmarkStart w:id="1067" w:name="_Toc530149822"/>
      <w:bookmarkStart w:id="1068" w:name="_Toc530401674"/>
      <w:bookmarkStart w:id="1069" w:name="_Toc530491427"/>
      <w:bookmarkStart w:id="1070" w:name="_Toc530495845"/>
      <w:bookmarkStart w:id="1071" w:name="_Toc530497748"/>
      <w:bookmarkStart w:id="1072" w:name="_Toc530663568"/>
      <w:bookmarkStart w:id="1073" w:name="_Toc530753862"/>
      <w:bookmarkStart w:id="1074" w:name="_Toc530756431"/>
      <w:bookmarkStart w:id="1075" w:name="_Toc530759868"/>
      <w:bookmarkStart w:id="1076" w:name="_Toc532223714"/>
      <w:bookmarkStart w:id="1077" w:name="_Toc532224173"/>
      <w:bookmarkStart w:id="1078" w:name="_Toc532226652"/>
      <w:bookmarkStart w:id="1079" w:name="_Toc536029354"/>
      <w:bookmarkStart w:id="1080" w:name="_Toc1054894"/>
      <w:r w:rsidRPr="000C12FF">
        <w:t xml:space="preserve">Table </w:t>
      </w:r>
      <w:r w:rsidR="00794BDA">
        <w:t>3.</w:t>
      </w:r>
      <w:r w:rsidR="009F7A76">
        <w:t>15</w:t>
      </w:r>
      <w:r w:rsidRPr="000C12FF">
        <w:t>:</w:t>
      </w:r>
      <w:r w:rsidR="00665F25">
        <w:t xml:space="preserve"> </w:t>
      </w:r>
      <w:r w:rsidRPr="000C12FF">
        <w:t>Variations considered: 2016</w:t>
      </w:r>
      <w:r w:rsidR="00166388">
        <w:t>–</w:t>
      </w:r>
      <w:r w:rsidRPr="000C12FF">
        <w:t>17 to 2017</w:t>
      </w:r>
      <w:r w:rsidR="00166388">
        <w:t>–</w:t>
      </w:r>
      <w:r w:rsidRPr="000C12FF">
        <w:t>18 (number of variations by variation type)</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50424E33" w14:textId="1B3108AA" w:rsidR="003E1D3A" w:rsidRDefault="007F0E9D" w:rsidP="001D65FC">
      <w:pPr>
        <w:pStyle w:val="TableGraphic"/>
      </w:pPr>
      <w:r>
        <w:object w:dxaOrig="11961" w:dyaOrig="2735" w14:anchorId="2FDB7CC5">
          <v:shape id="_x0000_i1041" type="#_x0000_t75" alt="Table shows the number of variations considered in 2016-17 and 2017-18 and categorises these by variation type and outcome. Outcomes were approved, declined, withdrawn or determined to not be a variation. &#10;The total number of variations  considered and decided decreased in 2017-18 compared to 2016-17. Most variations considered related to variations in residential land approvals in both periods." style="width:594.45pt;height:151.5pt;mso-position-horizontal:absolute" o:ole="">
            <v:imagedata r:id="rId95" o:title=""/>
          </v:shape>
          <o:OLEObject Type="Link" ProgID="Excel.Sheet.12" ShapeID="_x0000_i1041" DrawAspect="Content" r:id="rId96" UpdateMode="Always">
            <o:LinkType>EnhancedMetaFile</o:LinkType>
            <o:LockedField>false</o:LockedField>
          </o:OLEObject>
        </w:object>
      </w:r>
    </w:p>
    <w:p w14:paraId="4C64836A" w14:textId="77777777" w:rsidR="001D65FC" w:rsidRPr="001D65FC" w:rsidRDefault="001D65FC" w:rsidP="001D65FC">
      <w:bookmarkStart w:id="1081" w:name="_Toc529878048"/>
      <w:bookmarkStart w:id="1082" w:name="_Toc529879272"/>
      <w:bookmarkStart w:id="1083" w:name="_Toc529882537"/>
      <w:bookmarkStart w:id="1084" w:name="_Toc529885208"/>
      <w:bookmarkStart w:id="1085" w:name="_Toc529890680"/>
      <w:bookmarkStart w:id="1086" w:name="_Toc529970051"/>
      <w:bookmarkStart w:id="1087" w:name="_Toc529979406"/>
      <w:bookmarkStart w:id="1088" w:name="_Toc530050451"/>
      <w:bookmarkStart w:id="1089" w:name="_Toc530065530"/>
      <w:bookmarkStart w:id="1090" w:name="_Toc530066358"/>
      <w:bookmarkStart w:id="1091" w:name="_Toc530145077"/>
      <w:bookmarkStart w:id="1092" w:name="_Toc530146047"/>
      <w:bookmarkStart w:id="1093" w:name="_Toc530146968"/>
      <w:bookmarkStart w:id="1094" w:name="_Toc530148326"/>
      <w:bookmarkStart w:id="1095" w:name="_Toc530148527"/>
      <w:bookmarkStart w:id="1096" w:name="_Toc530149199"/>
      <w:bookmarkStart w:id="1097" w:name="_Toc530149823"/>
      <w:bookmarkStart w:id="1098" w:name="_Toc530401675"/>
      <w:bookmarkStart w:id="1099" w:name="_Toc530491428"/>
      <w:bookmarkStart w:id="1100" w:name="_Toc530495846"/>
      <w:bookmarkStart w:id="1101" w:name="_Toc530497749"/>
      <w:bookmarkStart w:id="1102" w:name="_Toc530663569"/>
      <w:bookmarkStart w:id="1103" w:name="_Toc530753863"/>
      <w:bookmarkStart w:id="1104" w:name="_Toc530756432"/>
      <w:bookmarkStart w:id="1105" w:name="_Toc530759869"/>
      <w:bookmarkStart w:id="1106" w:name="_Toc532223715"/>
      <w:bookmarkStart w:id="1107" w:name="_Toc532224174"/>
      <w:bookmarkStart w:id="1108" w:name="_Toc532226653"/>
    </w:p>
    <w:p w14:paraId="20762210" w14:textId="5836BDDD" w:rsidR="000C12FF" w:rsidRDefault="000C12FF" w:rsidP="001D65FC">
      <w:pPr>
        <w:pStyle w:val="TableHeading"/>
      </w:pPr>
      <w:bookmarkStart w:id="1109" w:name="_Toc536029355"/>
      <w:bookmarkStart w:id="1110" w:name="_Toc1054895"/>
      <w:r w:rsidRPr="000C12FF">
        <w:t xml:space="preserve">Table </w:t>
      </w:r>
      <w:r w:rsidR="00794BDA">
        <w:t>3.</w:t>
      </w:r>
      <w:r w:rsidR="009F7A76">
        <w:t>16</w:t>
      </w:r>
      <w:r w:rsidR="00DB3D2A">
        <w:t>:</w:t>
      </w:r>
      <w:r w:rsidR="00665F25">
        <w:t xml:space="preserve"> </w:t>
      </w:r>
      <w:r w:rsidRPr="000C12FF">
        <w:t>Variations approved: 2016</w:t>
      </w:r>
      <w:r w:rsidR="00437653">
        <w:t>–</w:t>
      </w:r>
      <w:r w:rsidRPr="000C12FF">
        <w:t xml:space="preserve">17 to </w:t>
      </w:r>
      <w:r w:rsidRPr="001D65FC">
        <w:t>2017</w:t>
      </w:r>
      <w:r w:rsidR="00437653">
        <w:t>–</w:t>
      </w:r>
      <w:r w:rsidRPr="000C12FF">
        <w:t>18 (number of variations by variation reason)</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6E2DB0B2" w14:textId="631300E5" w:rsidR="00680476" w:rsidRPr="00920BF7" w:rsidRDefault="007F0E9D" w:rsidP="001D65FC">
      <w:pPr>
        <w:pStyle w:val="TableGraphic"/>
      </w:pPr>
      <w:r>
        <w:object w:dxaOrig="11961" w:dyaOrig="2844" w14:anchorId="4300CD3B">
          <v:shape id="_x0000_i1042" type="#_x0000_t75" alt="Table shows the number of variations approved in 2016-17 and 2017-18 and categorises these by variation type and variation reason. Reasons for variations were categorised as longer time to undertake action only, change to conditions only and other/more than one reason. &#10;2017-18 saw a large decrease in the number of variations approved due to other/more than one reason and a small decline in those due to change to conditions only. Cases that were granted as a result of a longer time to take action, more than doubled in 2017-18 from 2016-17.  " style="width:594.45pt;height:157pt;mso-position-horizontal:absolute" o:ole="">
            <v:imagedata r:id="rId97" o:title=""/>
          </v:shape>
          <o:OLEObject Type="Link" ProgID="Excel.Sheet.12" ShapeID="_x0000_i1042" DrawAspect="Content" r:id="rId98" UpdateMode="Always">
            <o:LinkType>EnhancedMetaFile</o:LinkType>
            <o:LockedField>false</o:LockedField>
          </o:OLEObject>
        </w:object>
      </w:r>
    </w:p>
    <w:p w14:paraId="6AAFFB1E" w14:textId="34A33C57" w:rsidR="003E1D3A" w:rsidRDefault="003E1D3A"/>
    <w:p w14:paraId="60EC4D14" w14:textId="67B75385" w:rsidR="00794BDA" w:rsidRDefault="00794BDA" w:rsidP="00794BDA">
      <w:pPr>
        <w:sectPr w:rsidR="00794BDA" w:rsidSect="00786181">
          <w:headerReference w:type="even" r:id="rId99"/>
          <w:footerReference w:type="even" r:id="rId100"/>
          <w:headerReference w:type="first" r:id="rId101"/>
          <w:footerReference w:type="first" r:id="rId102"/>
          <w:pgSz w:w="16840" w:h="11907" w:orient="landscape" w:code="9"/>
          <w:pgMar w:top="2098" w:right="2466" w:bottom="2098" w:left="2466" w:header="1531" w:footer="1531" w:gutter="0"/>
          <w:cols w:space="708"/>
          <w:titlePg/>
          <w:docGrid w:linePitch="360"/>
        </w:sectPr>
      </w:pPr>
    </w:p>
    <w:p w14:paraId="6E9FD0F6" w14:textId="20C01978" w:rsidR="006E3ADD" w:rsidRPr="00091A1A" w:rsidRDefault="000C6ED9" w:rsidP="002229ED">
      <w:pPr>
        <w:pStyle w:val="TableMainHeadingContd"/>
        <w:spacing w:after="60"/>
      </w:pPr>
      <w:r>
        <w:t xml:space="preserve">Notes apply to </w:t>
      </w:r>
      <w:r w:rsidR="006E3ADD" w:rsidRPr="00091A1A">
        <w:t>Table</w:t>
      </w:r>
      <w:r w:rsidR="001C4CC8">
        <w:t>s</w:t>
      </w:r>
      <w:r w:rsidR="006E3ADD" w:rsidRPr="00091A1A">
        <w:t xml:space="preserve"> 3.</w:t>
      </w:r>
      <w:r w:rsidR="009F7A76" w:rsidRPr="00091A1A">
        <w:t>1</w:t>
      </w:r>
      <w:r w:rsidR="009F7A76">
        <w:t xml:space="preserve">5 </w:t>
      </w:r>
      <w:r w:rsidR="001C4CC8">
        <w:t>and 3.</w:t>
      </w:r>
      <w:r w:rsidR="009F7A76">
        <w:t>16</w:t>
      </w:r>
    </w:p>
    <w:p w14:paraId="316A990C" w14:textId="7A1CDB4C" w:rsidR="00C64EA7" w:rsidRDefault="0047392E" w:rsidP="00397941">
      <w:pPr>
        <w:pStyle w:val="ChartandTableFootnoteAlpha"/>
        <w:numPr>
          <w:ilvl w:val="0"/>
          <w:numId w:val="32"/>
        </w:numPr>
      </w:pPr>
      <w:r>
        <w:t>Exemption certificate</w:t>
      </w:r>
      <w:r w:rsidR="007020DA">
        <w:t xml:space="preserve"> refers to exemption certificates that allow for a program of acquisitions </w:t>
      </w:r>
      <w:r w:rsidR="002A4B3D">
        <w:t xml:space="preserve">by a foreign person </w:t>
      </w:r>
      <w:r w:rsidR="007020DA">
        <w:t xml:space="preserve">or </w:t>
      </w:r>
      <w:r w:rsidR="002A4B3D">
        <w:t>exempts foreign persons from purchasing a new dwelling or near new dwelling from developers to whom a certificate is given</w:t>
      </w:r>
      <w:r w:rsidR="007020DA">
        <w:t xml:space="preserve"> (</w:t>
      </w:r>
      <w:r w:rsidR="002A4B3D">
        <w:t>see (d) and (e) below</w:t>
      </w:r>
      <w:r w:rsidR="007020DA">
        <w:t xml:space="preserve">). It does not include </w:t>
      </w:r>
      <w:r w:rsidR="002A4B3D">
        <w:t>residential land certificates given to foreign persons to make a single purchase</w:t>
      </w:r>
      <w:r w:rsidR="0068163E">
        <w:t>. T</w:t>
      </w:r>
      <w:r w:rsidR="009509B1">
        <w:t xml:space="preserve">hese </w:t>
      </w:r>
      <w:r w:rsidR="002A4B3D">
        <w:t>are included in variation to land approval – residential.</w:t>
      </w:r>
    </w:p>
    <w:p w14:paraId="69992497" w14:textId="038F31D2" w:rsidR="00C64EA7" w:rsidRDefault="0047392E" w:rsidP="00CB7103">
      <w:pPr>
        <w:pStyle w:val="ChartandTableFootnoteAlpha"/>
        <w:ind w:left="284" w:hanging="284"/>
      </w:pPr>
      <w:r>
        <w:t>Land approval</w:t>
      </w:r>
      <w:r w:rsidR="0097583C">
        <w:t xml:space="preserve"> refers to no objection notifications covering </w:t>
      </w:r>
      <w:r>
        <w:t xml:space="preserve">interests in </w:t>
      </w:r>
      <w:r w:rsidR="0097583C">
        <w:t xml:space="preserve">Australian land (that is, agricultural land, commercial land, residential land and mining and production tenements) and tenement interests, including </w:t>
      </w:r>
      <w:r>
        <w:t xml:space="preserve">interests in </w:t>
      </w:r>
      <w:r w:rsidR="0097583C">
        <w:t xml:space="preserve">land entities. It also includes </w:t>
      </w:r>
      <w:r w:rsidR="0097583C" w:rsidRPr="0097583C">
        <w:t xml:space="preserve">residential land </w:t>
      </w:r>
      <w:r w:rsidR="00AD7DB0">
        <w:t xml:space="preserve">exemption </w:t>
      </w:r>
      <w:r w:rsidR="0097583C" w:rsidRPr="0097583C">
        <w:t xml:space="preserve">certificates given to foreign persons to make a single </w:t>
      </w:r>
      <w:r>
        <w:t xml:space="preserve">property </w:t>
      </w:r>
      <w:r w:rsidR="0097583C" w:rsidRPr="0097583C">
        <w:t>purchase</w:t>
      </w:r>
      <w:r w:rsidR="0097583C">
        <w:t>.</w:t>
      </w:r>
      <w:r w:rsidR="004149B1">
        <w:t xml:space="preserve"> It excludes variations relating to c</w:t>
      </w:r>
      <w:r w:rsidR="004149B1" w:rsidRPr="004149B1">
        <w:t>orporate reorganisations</w:t>
      </w:r>
      <w:r w:rsidR="004149B1">
        <w:t>.</w:t>
      </w:r>
    </w:p>
    <w:p w14:paraId="1D152949" w14:textId="4015DB49" w:rsidR="00C64EA7" w:rsidRDefault="0047392E" w:rsidP="00CB7103">
      <w:pPr>
        <w:pStyle w:val="ChartandTableFootnoteAlpha"/>
        <w:ind w:left="284" w:hanging="284"/>
      </w:pPr>
      <w:r>
        <w:t>Other approval</w:t>
      </w:r>
      <w:r w:rsidR="0097583C">
        <w:t xml:space="preserve"> includes variations to all other approvals. For example, variations to approvals for the acquisition of securities in an entity or for the acquisition of assets of an Australian business.</w:t>
      </w:r>
      <w:r w:rsidR="007020DA">
        <w:t xml:space="preserve"> </w:t>
      </w:r>
      <w:r w:rsidR="009509B1">
        <w:t xml:space="preserve">It includes any variations relating to corporate reorganisations. </w:t>
      </w:r>
      <w:r>
        <w:t>It does not include any exemption certificates.</w:t>
      </w:r>
    </w:p>
    <w:p w14:paraId="55557E42" w14:textId="6F7CCA59" w:rsidR="00C64EA7" w:rsidRDefault="0047392E" w:rsidP="00CB7103">
      <w:pPr>
        <w:pStyle w:val="ChartandTableFootnoteAlpha"/>
        <w:ind w:left="284" w:hanging="284"/>
      </w:pPr>
      <w:r>
        <w:t xml:space="preserve">Acquisition program certificate </w:t>
      </w:r>
      <w:r w:rsidR="007020DA">
        <w:t>refers to land exemption c</w:t>
      </w:r>
      <w:r w:rsidR="007020DA" w:rsidRPr="007020DA">
        <w:t>ertificates for foreign persons (</w:t>
      </w:r>
      <w:r w:rsidR="007020DA">
        <w:t>formerly annual programs), b</w:t>
      </w:r>
      <w:r w:rsidR="007020DA" w:rsidRPr="007020DA">
        <w:t>usiness</w:t>
      </w:r>
      <w:r w:rsidR="007020DA">
        <w:t xml:space="preserve"> exemption certificates</w:t>
      </w:r>
      <w:r>
        <w:t>,</w:t>
      </w:r>
      <w:r w:rsidR="007020DA" w:rsidRPr="007020DA">
        <w:t xml:space="preserve"> </w:t>
      </w:r>
      <w:r w:rsidR="007020DA">
        <w:t>and t</w:t>
      </w:r>
      <w:r w:rsidR="007020DA" w:rsidRPr="007020DA">
        <w:t>enements and mining, production or exploration entit</w:t>
      </w:r>
      <w:r w:rsidR="00E14222">
        <w:t>y</w:t>
      </w:r>
      <w:r w:rsidR="007020DA" w:rsidRPr="007020DA">
        <w:t xml:space="preserve"> certificate</w:t>
      </w:r>
      <w:r>
        <w:t>s</w:t>
      </w:r>
      <w:r w:rsidR="007020DA" w:rsidRPr="007020DA">
        <w:t>.</w:t>
      </w:r>
    </w:p>
    <w:p w14:paraId="34977AB5" w14:textId="218A4FEB" w:rsidR="00C64EA7" w:rsidRPr="00C64EA7" w:rsidRDefault="0047392E" w:rsidP="00CB7103">
      <w:pPr>
        <w:pStyle w:val="ChartandTableFootnoteAlpha"/>
        <w:ind w:left="284" w:hanging="284"/>
      </w:pPr>
      <w:r>
        <w:t>New dwelling certificate</w:t>
      </w:r>
      <w:r w:rsidR="007020DA">
        <w:t xml:space="preserve"> refers to new dwelling exemption c</w:t>
      </w:r>
      <w:r w:rsidR="007020DA" w:rsidRPr="007020DA">
        <w:t>ertificate</w:t>
      </w:r>
      <w:r w:rsidR="0041652D">
        <w:t>s</w:t>
      </w:r>
      <w:r w:rsidR="007020DA" w:rsidRPr="007020DA">
        <w:t xml:space="preserve"> (</w:t>
      </w:r>
      <w:r w:rsidR="0097583C" w:rsidRPr="0097583C">
        <w:t>previously off</w:t>
      </w:r>
      <w:r w:rsidR="0097583C">
        <w:noBreakHyphen/>
      </w:r>
      <w:r w:rsidR="0097583C" w:rsidRPr="0097583C">
        <w:t>the</w:t>
      </w:r>
      <w:r w:rsidR="0097583C">
        <w:noBreakHyphen/>
      </w:r>
      <w:r w:rsidR="0097583C" w:rsidRPr="0097583C">
        <w:t>plan approvals</w:t>
      </w:r>
      <w:r w:rsidR="007020DA">
        <w:t>) and r</w:t>
      </w:r>
      <w:r w:rsidR="007020DA" w:rsidRPr="007020DA">
        <w:t xml:space="preserve">esidential land (near-new dwelling interests) </w:t>
      </w:r>
      <w:r w:rsidR="007020DA">
        <w:t xml:space="preserve">exemption </w:t>
      </w:r>
      <w:r w:rsidR="007020DA" w:rsidRPr="007020DA">
        <w:t>certificate</w:t>
      </w:r>
      <w:r w:rsidR="007020DA">
        <w:t>s</w:t>
      </w:r>
      <w:r w:rsidR="005C1C66">
        <w:t>.</w:t>
      </w:r>
      <w:r w:rsidR="004103E2">
        <w:t xml:space="preserve"> </w:t>
      </w:r>
      <w:r w:rsidR="005C1C66">
        <w:t>These</w:t>
      </w:r>
      <w:r w:rsidR="009509B1">
        <w:t xml:space="preserve"> allow developers to obtain pre-approval for foreign purchases.</w:t>
      </w:r>
    </w:p>
    <w:p w14:paraId="79A42B06" w14:textId="212C1457" w:rsidR="00C87145" w:rsidRDefault="00C87145" w:rsidP="00CB7103">
      <w:pPr>
        <w:pStyle w:val="ChartandTableFootnoteAlpha"/>
        <w:ind w:left="284" w:hanging="284"/>
      </w:pPr>
      <w:r>
        <w:t>Includes variations that have been made so that an approval reflects a property’s street address when the property street address has become available after the approval has been granted. Fees are generally waived in this situation.</w:t>
      </w:r>
    </w:p>
    <w:p w14:paraId="01DF1BFD" w14:textId="5228C063" w:rsidR="00C64EA7" w:rsidRDefault="009A2C69" w:rsidP="00CB7103">
      <w:pPr>
        <w:pStyle w:val="ChartandTableFootnoteAlpha"/>
        <w:ind w:left="284" w:hanging="284"/>
      </w:pPr>
      <w:r>
        <w:t xml:space="preserve">Other includes </w:t>
      </w:r>
      <w:r w:rsidRPr="009A2C69">
        <w:t>interests in Australian land (that is, agricultural land, commercial land, and mining and production tenements) and tenement interests, including interests in land entities</w:t>
      </w:r>
      <w:r>
        <w:t xml:space="preserve">, except interests in </w:t>
      </w:r>
      <w:r w:rsidRPr="009A2C69">
        <w:t>residential land</w:t>
      </w:r>
      <w:r w:rsidR="00E21603">
        <w:t>,</w:t>
      </w:r>
      <w:r>
        <w:t xml:space="preserve"> or where residential land is the dominant land type of a land entity</w:t>
      </w:r>
      <w:r w:rsidRPr="009A2C69">
        <w:t>.</w:t>
      </w:r>
    </w:p>
    <w:p w14:paraId="6DA6D10A" w14:textId="414A9E49" w:rsidR="00DE3491" w:rsidRDefault="00DE3491" w:rsidP="00CB7103">
      <w:pPr>
        <w:pStyle w:val="ChartandTableFootnoteAlpha"/>
        <w:ind w:left="284" w:hanging="284"/>
      </w:pPr>
      <w:r>
        <w:t xml:space="preserve">The application received is for a variation, </w:t>
      </w:r>
      <w:r w:rsidRPr="00DE3491">
        <w:t xml:space="preserve">but </w:t>
      </w:r>
      <w:r>
        <w:t xml:space="preserve">the variation is determined to be </w:t>
      </w:r>
      <w:r w:rsidRPr="00DE3491">
        <w:t>contrary to the national interest.</w:t>
      </w:r>
    </w:p>
    <w:p w14:paraId="3B121F61" w14:textId="50FD0E46" w:rsidR="00DE3491" w:rsidRDefault="00DE3491" w:rsidP="00CB7103">
      <w:pPr>
        <w:pStyle w:val="ChartandTableFootnoteAlpha"/>
        <w:ind w:left="284" w:hanging="284"/>
      </w:pPr>
      <w:r>
        <w:t>The outcome of ‘not a variation’ was introduced as of 2017</w:t>
      </w:r>
      <w:r>
        <w:noBreakHyphen/>
        <w:t>18</w:t>
      </w:r>
      <w:r w:rsidR="001C5A99">
        <w:t xml:space="preserve"> for variation applications lodged via the </w:t>
      </w:r>
      <w:r w:rsidR="00E6710D">
        <w:t>FIRB</w:t>
      </w:r>
      <w:r w:rsidR="001C5A99">
        <w:t xml:space="preserve"> </w:t>
      </w:r>
      <w:r w:rsidR="003A57EC">
        <w:t>Application Portal</w:t>
      </w:r>
      <w:r>
        <w:t xml:space="preserve">. </w:t>
      </w:r>
      <w:r w:rsidR="008353B1">
        <w:t xml:space="preserve">This data is not available for residential variation applications lodged with the Australian Taxation Office. </w:t>
      </w:r>
      <w:r>
        <w:t xml:space="preserve">This refers to </w:t>
      </w:r>
      <w:r w:rsidR="00E612A4">
        <w:t xml:space="preserve">a </w:t>
      </w:r>
      <w:r w:rsidRPr="00DE3491">
        <w:t xml:space="preserve">variation </w:t>
      </w:r>
      <w:r>
        <w:t>application that does not meet the requirements to be treated as a variation.</w:t>
      </w:r>
      <w:r w:rsidR="001C5A99">
        <w:t xml:space="preserve"> In such situations, the application may ha</w:t>
      </w:r>
      <w:r w:rsidR="00E612A4">
        <w:t xml:space="preserve">ve been subsequently </w:t>
      </w:r>
      <w:r w:rsidR="001C5A99">
        <w:t xml:space="preserve">lodged as a normal application reported on </w:t>
      </w:r>
      <w:r w:rsidR="008353B1">
        <w:t>in Table 3.1.</w:t>
      </w:r>
    </w:p>
    <w:p w14:paraId="5DC0D3B1" w14:textId="21505549" w:rsidR="00DE3491" w:rsidRDefault="007A537B" w:rsidP="00CB7103">
      <w:pPr>
        <w:pStyle w:val="ChartandTableFootnoteAlpha"/>
        <w:ind w:left="284" w:hanging="284"/>
      </w:pPr>
      <w:r>
        <w:t>Includes variation applications where the application was withdrawn prior to a decision being made.</w:t>
      </w:r>
    </w:p>
    <w:p w14:paraId="66736210" w14:textId="4FA8A63E" w:rsidR="009540E9" w:rsidRDefault="009540E9" w:rsidP="00CB7103">
      <w:pPr>
        <w:pStyle w:val="ChartandTableFootnoteAlpha"/>
        <w:ind w:left="284" w:hanging="284"/>
      </w:pPr>
      <w:r>
        <w:t>An extension is given to the time to enter into an agreement to make the covered acquisition(s).</w:t>
      </w:r>
    </w:p>
    <w:p w14:paraId="4EC0A5E2" w14:textId="0DE8B348" w:rsidR="009540E9" w:rsidRDefault="009540E9" w:rsidP="00CB7103">
      <w:pPr>
        <w:pStyle w:val="ChartandTableFootnoteAlpha"/>
        <w:ind w:left="284" w:hanging="284"/>
      </w:pPr>
      <w:r>
        <w:t xml:space="preserve">A </w:t>
      </w:r>
      <w:r w:rsidRPr="009540E9">
        <w:t xml:space="preserve">substantive change to a condition, including an amendment </w:t>
      </w:r>
      <w:r>
        <w:t xml:space="preserve">to </w:t>
      </w:r>
      <w:r w:rsidRPr="009540E9">
        <w:t>(</w:t>
      </w:r>
      <w:r>
        <w:t xml:space="preserve">for example, </w:t>
      </w:r>
      <w:r w:rsidRPr="009540E9">
        <w:t xml:space="preserve">an extension of time to take an action required by a condition), </w:t>
      </w:r>
      <w:r>
        <w:t xml:space="preserve">or the </w:t>
      </w:r>
      <w:r w:rsidRPr="009540E9">
        <w:t xml:space="preserve">removal </w:t>
      </w:r>
      <w:r>
        <w:t xml:space="preserve">or addition </w:t>
      </w:r>
      <w:r w:rsidRPr="009540E9">
        <w:t>of a condition.</w:t>
      </w:r>
    </w:p>
    <w:p w14:paraId="28589C47" w14:textId="656C975A" w:rsidR="008604B4" w:rsidRPr="00C64EA7" w:rsidRDefault="00DF7CD3" w:rsidP="00CB7103">
      <w:pPr>
        <w:pStyle w:val="ChartandTableFootnoteAlpha"/>
        <w:ind w:left="284" w:hanging="284"/>
      </w:pPr>
      <w:r>
        <w:t>Examples of ‘other’ include</w:t>
      </w:r>
      <w:r w:rsidRPr="00DF7CD3">
        <w:t xml:space="preserve"> typographical correction</w:t>
      </w:r>
      <w:r>
        <w:t>s</w:t>
      </w:r>
      <w:r w:rsidRPr="00DF7CD3">
        <w:t>, non-substantive updating of identifiers such as name or address (</w:t>
      </w:r>
      <w:r>
        <w:t>for example, address is issued for lot)</w:t>
      </w:r>
      <w:r w:rsidRPr="00DF7CD3">
        <w:t xml:space="preserve"> </w:t>
      </w:r>
      <w:r>
        <w:t xml:space="preserve">or adding a </w:t>
      </w:r>
      <w:r w:rsidRPr="00DF7CD3">
        <w:t xml:space="preserve">wholly-owned subsidiary </w:t>
      </w:r>
      <w:r>
        <w:t xml:space="preserve">of the approval holder </w:t>
      </w:r>
      <w:r w:rsidRPr="00DF7CD3">
        <w:t xml:space="preserve">as an </w:t>
      </w:r>
      <w:r>
        <w:t xml:space="preserve">additional </w:t>
      </w:r>
      <w:r w:rsidRPr="00DF7CD3">
        <w:t xml:space="preserve">acquirer. </w:t>
      </w:r>
    </w:p>
    <w:p w14:paraId="03DCFEEF" w14:textId="0C33C829" w:rsidR="00626FB0" w:rsidRDefault="00C87145" w:rsidP="008A40A9">
      <w:pPr>
        <w:pStyle w:val="ChartorTableNote"/>
        <w:spacing w:after="40"/>
        <w:ind w:left="567" w:hanging="567"/>
      </w:pPr>
      <w:r>
        <w:t xml:space="preserve">Notes: </w:t>
      </w:r>
      <w:r w:rsidR="008A40A9">
        <w:tab/>
      </w:r>
      <w:r w:rsidR="00626FB0">
        <w:t>Variations have been reported on since 1 December 2015. In 2015</w:t>
      </w:r>
      <w:r w:rsidR="00626FB0">
        <w:noBreakHyphen/>
        <w:t>16, there were 373 variations approved.</w:t>
      </w:r>
    </w:p>
    <w:p w14:paraId="3F607AD2" w14:textId="502CD158" w:rsidR="0060711B" w:rsidRDefault="0060711B" w:rsidP="00626FB0">
      <w:pPr>
        <w:pStyle w:val="ChartorTableNote"/>
        <w:spacing w:after="40"/>
        <w:ind w:left="567"/>
      </w:pPr>
      <w:r>
        <w:t>These tables only include variations relating to exemption certificates and no objection notifications, irrespective of if resulting from an application</w:t>
      </w:r>
      <w:r w:rsidR="00BC0745">
        <w:t xml:space="preserve"> by a foreign person</w:t>
      </w:r>
      <w:r w:rsidR="00AD6108">
        <w:t>, the</w:t>
      </w:r>
      <w:r>
        <w:t xml:space="preserve"> Treasurer’s initiative</w:t>
      </w:r>
      <w:r w:rsidR="00BC0745">
        <w:t>,</w:t>
      </w:r>
      <w:r w:rsidR="00AD6108">
        <w:t xml:space="preserve"> or a compliance action</w:t>
      </w:r>
      <w:r>
        <w:t xml:space="preserve">. </w:t>
      </w:r>
      <w:r w:rsidR="00BC0745">
        <w:t>In 2017</w:t>
      </w:r>
      <w:r w:rsidR="00BC0745">
        <w:noBreakHyphen/>
        <w:t>18, t</w:t>
      </w:r>
      <w:r>
        <w:t>hey do not include variations relating to orders.</w:t>
      </w:r>
    </w:p>
    <w:p w14:paraId="1B3499A3" w14:textId="125D19C6" w:rsidR="00DE3491" w:rsidRDefault="00DE3491" w:rsidP="008A40A9">
      <w:pPr>
        <w:pStyle w:val="ChartorTableNote"/>
        <w:tabs>
          <w:tab w:val="left" w:pos="567"/>
        </w:tabs>
        <w:ind w:left="567"/>
      </w:pPr>
      <w:r>
        <w:t xml:space="preserve">Excluding the outcome of ‘not a variation’, to be counted as a variation considered, any required foreign investment application </w:t>
      </w:r>
      <w:r w:rsidR="009509B1">
        <w:t xml:space="preserve">fee </w:t>
      </w:r>
      <w:r>
        <w:t>must have been paid or waived.</w:t>
      </w:r>
    </w:p>
    <w:p w14:paraId="2712FE0A" w14:textId="73549118" w:rsidR="006E3ADD" w:rsidRDefault="006E3ADD" w:rsidP="008A40A9">
      <w:pPr>
        <w:pStyle w:val="ChartorTableNote"/>
        <w:tabs>
          <w:tab w:val="left" w:pos="567"/>
        </w:tabs>
        <w:ind w:left="567"/>
      </w:pPr>
      <w:r>
        <w:t xml:space="preserve">Variations are not attributed a value as applicable values have been attributed to the </w:t>
      </w:r>
      <w:r w:rsidR="0060711B">
        <w:t xml:space="preserve">exemption </w:t>
      </w:r>
      <w:r>
        <w:t>certificate or no objection notification that is subject to the variation.</w:t>
      </w:r>
    </w:p>
    <w:p w14:paraId="111B0FAA" w14:textId="5634949E" w:rsidR="00C611EE" w:rsidRPr="00C611EE" w:rsidRDefault="006E3ADD" w:rsidP="00C611EE">
      <w:pPr>
        <w:pStyle w:val="ChartorTableNote"/>
        <w:tabs>
          <w:tab w:val="left" w:pos="567"/>
        </w:tabs>
        <w:ind w:left="567"/>
      </w:pPr>
      <w:r>
        <w:t xml:space="preserve">Variations </w:t>
      </w:r>
      <w:r w:rsidR="0060711B">
        <w:t>are</w:t>
      </w:r>
      <w:r>
        <w:t xml:space="preserve"> </w:t>
      </w:r>
      <w:r w:rsidR="0060711B">
        <w:t xml:space="preserve">reported in the </w:t>
      </w:r>
      <w:r>
        <w:t xml:space="preserve">financial year </w:t>
      </w:r>
      <w:r w:rsidR="0060711B">
        <w:t>in which the variation is</w:t>
      </w:r>
      <w:r w:rsidR="00627C88">
        <w:t xml:space="preserve"> considered</w:t>
      </w:r>
      <w:r w:rsidR="00C611EE">
        <w:t xml:space="preserve"> irrespective of when the original approval was given</w:t>
      </w:r>
      <w:r>
        <w:t>.</w:t>
      </w:r>
      <w:r w:rsidR="00C611EE" w:rsidRPr="00C611EE">
        <w:t xml:space="preserve"> </w:t>
      </w:r>
    </w:p>
    <w:p w14:paraId="1EA89CED" w14:textId="7139031D" w:rsidR="006E3ADD" w:rsidRDefault="00C611EE" w:rsidP="008A40A9">
      <w:pPr>
        <w:pStyle w:val="ChartorTableNote"/>
        <w:tabs>
          <w:tab w:val="left" w:pos="567"/>
        </w:tabs>
        <w:ind w:left="567"/>
      </w:pPr>
      <w:r>
        <w:t xml:space="preserve">Over time multiple variations could be made to a single approval. </w:t>
      </w:r>
    </w:p>
    <w:p w14:paraId="0C72B47B" w14:textId="6E1146E0" w:rsidR="001F02F5" w:rsidRPr="007D3940" w:rsidRDefault="006E3ADD" w:rsidP="001D65FC">
      <w:pPr>
        <w:pStyle w:val="ChartorTableNote"/>
        <w:tabs>
          <w:tab w:val="left" w:pos="567"/>
        </w:tabs>
        <w:ind w:left="567"/>
      </w:pPr>
      <w:r w:rsidRPr="006412BC">
        <w:t>Changes of conditions result</w:t>
      </w:r>
      <w:r w:rsidR="00C87145">
        <w:t>ing</w:t>
      </w:r>
      <w:r w:rsidRPr="006412BC">
        <w:t xml:space="preserve"> from residential real estate investigations </w:t>
      </w:r>
      <w:r w:rsidR="00C87145">
        <w:t>are</w:t>
      </w:r>
      <w:r w:rsidRPr="006412BC">
        <w:t xml:space="preserve"> also</w:t>
      </w:r>
      <w:r w:rsidR="00ED1450">
        <w:t xml:space="preserve"> included in Table 4.2, </w:t>
      </w:r>
      <w:r w:rsidRPr="006412BC">
        <w:t>Chapter</w:t>
      </w:r>
      <w:r w:rsidR="00983754">
        <w:t xml:space="preserve"> Four: Compliance</w:t>
      </w:r>
      <w:r w:rsidRPr="006412BC">
        <w:t>.</w:t>
      </w:r>
      <w:bookmarkStart w:id="1111" w:name="_Toc530145102"/>
      <w:bookmarkStart w:id="1112" w:name="_Toc530146072"/>
      <w:bookmarkStart w:id="1113" w:name="_Toc530146993"/>
      <w:bookmarkStart w:id="1114" w:name="_Toc530148351"/>
      <w:bookmarkStart w:id="1115" w:name="_Toc530148552"/>
      <w:bookmarkStart w:id="1116" w:name="_Toc530149224"/>
      <w:bookmarkStart w:id="1117" w:name="_Toc530149795"/>
      <w:r w:rsidR="001F02F5" w:rsidRPr="007D3940">
        <w:br w:type="page"/>
      </w:r>
    </w:p>
    <w:p w14:paraId="54F42A1C" w14:textId="1155322D" w:rsidR="00794BDA" w:rsidRDefault="00FF3EC4" w:rsidP="001D65FC">
      <w:pPr>
        <w:pStyle w:val="Heading2"/>
      </w:pPr>
      <w:bookmarkStart w:id="1118" w:name="_Toc532207339"/>
      <w:bookmarkStart w:id="1119" w:name="_Toc532217727"/>
      <w:bookmarkStart w:id="1120" w:name="_Toc532218748"/>
      <w:bookmarkStart w:id="1121" w:name="_Toc532219060"/>
      <w:bookmarkStart w:id="1122" w:name="_Toc532223744"/>
      <w:bookmarkStart w:id="1123" w:name="_Toc532224203"/>
      <w:bookmarkStart w:id="1124" w:name="_Toc532226682"/>
      <w:bookmarkStart w:id="1125" w:name="_Toc536029383"/>
      <w:bookmarkStart w:id="1126" w:name="_Toc1120405"/>
      <w:bookmarkStart w:id="1127" w:name="_Toc1121976"/>
      <w:r>
        <w:t xml:space="preserve">Foreign investment </w:t>
      </w:r>
      <w:r w:rsidRPr="001D65FC">
        <w:t>application</w:t>
      </w:r>
      <w:r>
        <w:t xml:space="preserve"> fee collections</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69478DFB" w14:textId="11AA2DD8" w:rsidR="00FF3EC4" w:rsidRDefault="00FF3EC4">
      <w:r>
        <w:t xml:space="preserve">The </w:t>
      </w:r>
      <w:r w:rsidR="009509B1">
        <w:t>ATO</w:t>
      </w:r>
      <w:r>
        <w:t xml:space="preserve"> is responsible for collecting foreign investment application fees</w:t>
      </w:r>
      <w:r w:rsidR="00C1179D">
        <w:t xml:space="preserve"> and reports on these in its Annual Report</w:t>
      </w:r>
      <w:r>
        <w:t>. In 2017</w:t>
      </w:r>
      <w:r>
        <w:noBreakHyphen/>
        <w:t>18, fee collections were down on 2016</w:t>
      </w:r>
      <w:r>
        <w:noBreakHyphen/>
        <w:t xml:space="preserve">17 reflecting a decline in applications considered and the </w:t>
      </w:r>
      <w:r w:rsidR="009509B1">
        <w:t xml:space="preserve">introduction of a </w:t>
      </w:r>
      <w:r w:rsidR="00DE38F2">
        <w:t xml:space="preserve">new </w:t>
      </w:r>
      <w:r>
        <w:t xml:space="preserve">fee structure, which came into effect on </w:t>
      </w:r>
      <w:r w:rsidR="006F478A">
        <w:t>1 </w:t>
      </w:r>
      <w:r>
        <w:t>July 2017.</w:t>
      </w:r>
    </w:p>
    <w:p w14:paraId="7E6C0BD3" w14:textId="4FE9FBE3" w:rsidR="00DC39FF" w:rsidRDefault="00DC39FF" w:rsidP="00DE38F2">
      <w:pPr>
        <w:pStyle w:val="TableHeading"/>
      </w:pPr>
      <w:bookmarkStart w:id="1128" w:name="_Toc530145078"/>
      <w:bookmarkStart w:id="1129" w:name="_Toc530146048"/>
      <w:bookmarkStart w:id="1130" w:name="_Toc530146969"/>
      <w:bookmarkStart w:id="1131" w:name="_Toc530148327"/>
      <w:bookmarkStart w:id="1132" w:name="_Toc530148528"/>
      <w:bookmarkStart w:id="1133" w:name="_Toc530149200"/>
      <w:bookmarkStart w:id="1134" w:name="_Toc530149824"/>
      <w:bookmarkStart w:id="1135" w:name="_Toc530401676"/>
      <w:bookmarkStart w:id="1136" w:name="_Toc530491429"/>
      <w:bookmarkStart w:id="1137" w:name="_Toc530495847"/>
      <w:bookmarkStart w:id="1138" w:name="_Toc530497750"/>
      <w:bookmarkStart w:id="1139" w:name="_Toc530663570"/>
      <w:bookmarkStart w:id="1140" w:name="_Toc530753864"/>
      <w:bookmarkStart w:id="1141" w:name="_Toc530756433"/>
      <w:bookmarkStart w:id="1142" w:name="_Toc530759870"/>
      <w:bookmarkStart w:id="1143" w:name="_Toc532223716"/>
      <w:bookmarkStart w:id="1144" w:name="_Toc532224175"/>
      <w:bookmarkStart w:id="1145" w:name="_Toc532226654"/>
      <w:bookmarkStart w:id="1146" w:name="_Toc536029356"/>
      <w:bookmarkStart w:id="1147" w:name="_Toc1054896"/>
      <w:r w:rsidRPr="000C12FF">
        <w:t xml:space="preserve">Table </w:t>
      </w:r>
      <w:r>
        <w:t>3.</w:t>
      </w:r>
      <w:r w:rsidR="009F7A76">
        <w:t>17</w:t>
      </w:r>
      <w:r>
        <w:t>:</w:t>
      </w:r>
      <w:r w:rsidR="00665F25">
        <w:t xml:space="preserve"> </w:t>
      </w:r>
      <w:r>
        <w:t xml:space="preserve">Foreign investment </w:t>
      </w:r>
      <w:r w:rsidR="003C22EF">
        <w:t xml:space="preserve">application </w:t>
      </w:r>
      <w:r>
        <w:t>fee collections: 2015</w:t>
      </w:r>
      <w:r>
        <w:noBreakHyphen/>
        <w:t>16</w:t>
      </w:r>
      <w:r w:rsidRPr="000C12FF">
        <w:t xml:space="preserve"> to 2017</w:t>
      </w:r>
      <w:r>
        <w:noBreakHyphen/>
        <w:t>18</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tbl>
      <w:tblPr>
        <w:tblW w:w="7902" w:type="dxa"/>
        <w:tblBorders>
          <w:top w:val="dotted" w:sz="4" w:space="0" w:color="auto"/>
          <w:bottom w:val="dotted" w:sz="4" w:space="0" w:color="auto"/>
          <w:insideH w:val="dotted" w:sz="4" w:space="0" w:color="auto"/>
        </w:tblBorders>
        <w:tblLayout w:type="fixed"/>
        <w:tblLook w:val="04A0" w:firstRow="1" w:lastRow="0" w:firstColumn="1" w:lastColumn="0" w:noHBand="0" w:noVBand="1"/>
      </w:tblPr>
      <w:tblGrid>
        <w:gridCol w:w="3651"/>
        <w:gridCol w:w="1417"/>
        <w:gridCol w:w="1417"/>
        <w:gridCol w:w="1417"/>
      </w:tblGrid>
      <w:tr w:rsidR="00C1179D" w:rsidRPr="007C1542" w14:paraId="50BF7F66" w14:textId="5365D162" w:rsidTr="00071729">
        <w:trPr>
          <w:trHeight w:val="134"/>
        </w:trPr>
        <w:tc>
          <w:tcPr>
            <w:tcW w:w="3651" w:type="dxa"/>
            <w:tcBorders>
              <w:bottom w:val="nil"/>
            </w:tcBorders>
            <w:hideMark/>
          </w:tcPr>
          <w:p w14:paraId="50EA8A11" w14:textId="52F05F12" w:rsidR="00C1179D" w:rsidRPr="007C1542" w:rsidRDefault="00C1179D" w:rsidP="00FF4B79">
            <w:pPr>
              <w:pStyle w:val="TableColumnHeadingCentred-White"/>
              <w:rPr>
                <w:lang w:eastAsia="en-US"/>
              </w:rPr>
            </w:pPr>
          </w:p>
        </w:tc>
        <w:tc>
          <w:tcPr>
            <w:tcW w:w="1417" w:type="dxa"/>
          </w:tcPr>
          <w:p w14:paraId="2FFBA45A" w14:textId="372C36EB" w:rsidR="00C1179D" w:rsidRPr="00FF4B79" w:rsidRDefault="000965D7" w:rsidP="0075193D">
            <w:pPr>
              <w:pStyle w:val="TableTextRight"/>
              <w:rPr>
                <w:rFonts w:cs="Arial"/>
                <w:bCs/>
                <w:iCs/>
                <w:color w:val="auto"/>
                <w:szCs w:val="16"/>
              </w:rPr>
            </w:pPr>
            <w:r w:rsidRPr="00FF4B79">
              <w:t>2015</w:t>
            </w:r>
            <w:r w:rsidRPr="00FF4B79">
              <w:noBreakHyphen/>
              <w:t>16</w:t>
            </w:r>
          </w:p>
        </w:tc>
        <w:tc>
          <w:tcPr>
            <w:tcW w:w="1417" w:type="dxa"/>
          </w:tcPr>
          <w:p w14:paraId="50717CD7" w14:textId="06BE41F3" w:rsidR="00C1179D" w:rsidRPr="00FF4B79" w:rsidRDefault="000965D7" w:rsidP="0075193D">
            <w:pPr>
              <w:pStyle w:val="TableTextRight"/>
              <w:rPr>
                <w:rFonts w:cs="Arial"/>
                <w:bCs/>
                <w:iCs/>
                <w:color w:val="auto"/>
                <w:szCs w:val="16"/>
              </w:rPr>
            </w:pPr>
            <w:r w:rsidRPr="00FF4B79">
              <w:t>2016</w:t>
            </w:r>
            <w:r w:rsidRPr="00FF4B79">
              <w:noBreakHyphen/>
              <w:t>17</w:t>
            </w:r>
          </w:p>
        </w:tc>
        <w:tc>
          <w:tcPr>
            <w:tcW w:w="1417" w:type="dxa"/>
            <w:shd w:val="clear" w:color="auto" w:fill="E6E6E6"/>
          </w:tcPr>
          <w:p w14:paraId="041E8009" w14:textId="7431B4ED" w:rsidR="00C1179D" w:rsidRPr="00FF4B79" w:rsidRDefault="000965D7" w:rsidP="0075193D">
            <w:pPr>
              <w:pStyle w:val="TableTextRight"/>
              <w:rPr>
                <w:rFonts w:cs="Arial"/>
                <w:bCs/>
                <w:iCs/>
                <w:color w:val="auto"/>
                <w:szCs w:val="16"/>
              </w:rPr>
            </w:pPr>
            <w:r w:rsidRPr="00FF4B79">
              <w:t>2017</w:t>
            </w:r>
            <w:r w:rsidRPr="00FF4B79">
              <w:noBreakHyphen/>
              <w:t>18</w:t>
            </w:r>
          </w:p>
        </w:tc>
      </w:tr>
      <w:tr w:rsidR="000965D7" w:rsidRPr="007C1542" w14:paraId="21C2B0D0" w14:textId="77777777" w:rsidTr="00071729">
        <w:trPr>
          <w:trHeight w:val="245"/>
        </w:trPr>
        <w:tc>
          <w:tcPr>
            <w:tcW w:w="3651" w:type="dxa"/>
            <w:tcBorders>
              <w:top w:val="nil"/>
            </w:tcBorders>
          </w:tcPr>
          <w:p w14:paraId="0C075FDC" w14:textId="6178FF2B" w:rsidR="000965D7" w:rsidRPr="007C1542" w:rsidRDefault="000965D7" w:rsidP="00FF4B79">
            <w:pPr>
              <w:pStyle w:val="TableColumnHeadingCentred-Black"/>
            </w:pPr>
          </w:p>
        </w:tc>
        <w:tc>
          <w:tcPr>
            <w:tcW w:w="1417" w:type="dxa"/>
          </w:tcPr>
          <w:p w14:paraId="11F53F1C" w14:textId="0220377F" w:rsidR="000965D7" w:rsidRPr="00DE38F2" w:rsidRDefault="000965D7" w:rsidP="0075193D">
            <w:pPr>
              <w:pStyle w:val="TableTextRight"/>
              <w:rPr>
                <w:b/>
              </w:rPr>
            </w:pPr>
            <w:r w:rsidRPr="00425684">
              <w:t>$m</w:t>
            </w:r>
          </w:p>
        </w:tc>
        <w:tc>
          <w:tcPr>
            <w:tcW w:w="1417" w:type="dxa"/>
          </w:tcPr>
          <w:p w14:paraId="0882D3E4" w14:textId="62074837" w:rsidR="000965D7" w:rsidRDefault="000965D7" w:rsidP="0075193D">
            <w:pPr>
              <w:pStyle w:val="TableTextRight"/>
              <w:rPr>
                <w:rFonts w:cs="Arial"/>
                <w:bCs/>
                <w:iCs/>
                <w:color w:val="FFFFFF" w:themeColor="background1"/>
                <w:szCs w:val="16"/>
              </w:rPr>
            </w:pPr>
            <w:r w:rsidRPr="00425684">
              <w:t>$m</w:t>
            </w:r>
          </w:p>
        </w:tc>
        <w:tc>
          <w:tcPr>
            <w:tcW w:w="1417" w:type="dxa"/>
            <w:shd w:val="clear" w:color="auto" w:fill="E6E6E6"/>
          </w:tcPr>
          <w:p w14:paraId="1E078694" w14:textId="05F34A60" w:rsidR="000965D7" w:rsidRDefault="000965D7" w:rsidP="0075193D">
            <w:pPr>
              <w:pStyle w:val="TableTextRight"/>
              <w:rPr>
                <w:rFonts w:cs="Arial"/>
                <w:bCs/>
                <w:iCs/>
                <w:color w:val="FFFFFF" w:themeColor="background1"/>
                <w:szCs w:val="16"/>
              </w:rPr>
            </w:pPr>
            <w:r w:rsidRPr="00425684">
              <w:t>$m</w:t>
            </w:r>
          </w:p>
        </w:tc>
      </w:tr>
      <w:tr w:rsidR="00C1179D" w:rsidRPr="007C1542" w14:paraId="0A219667" w14:textId="21228E2C" w:rsidTr="00071729">
        <w:tc>
          <w:tcPr>
            <w:tcW w:w="3651" w:type="dxa"/>
            <w:hideMark/>
          </w:tcPr>
          <w:p w14:paraId="77F842A4" w14:textId="6FFCBC3F" w:rsidR="00C1179D" w:rsidRPr="00EB0856" w:rsidRDefault="00C1179D" w:rsidP="00FF4B79">
            <w:pPr>
              <w:pStyle w:val="TableTextLeft"/>
              <w:spacing w:before="40" w:after="40"/>
            </w:pPr>
            <w:r w:rsidRPr="00EB0856">
              <w:t>Fee collections</w:t>
            </w:r>
          </w:p>
        </w:tc>
        <w:tc>
          <w:tcPr>
            <w:tcW w:w="1417" w:type="dxa"/>
          </w:tcPr>
          <w:p w14:paraId="4F53A45E" w14:textId="1385CFD7" w:rsidR="00C1179D" w:rsidRPr="007C1542" w:rsidRDefault="000965D7" w:rsidP="0075193D">
            <w:pPr>
              <w:pStyle w:val="TableTextRight"/>
              <w:rPr>
                <w:rFonts w:cs="Arial"/>
                <w:szCs w:val="16"/>
              </w:rPr>
            </w:pPr>
            <w:r w:rsidRPr="000965D7">
              <w:t>78</w:t>
            </w:r>
          </w:p>
        </w:tc>
        <w:tc>
          <w:tcPr>
            <w:tcW w:w="1417" w:type="dxa"/>
          </w:tcPr>
          <w:p w14:paraId="61D40699" w14:textId="6718C37E" w:rsidR="00C1179D" w:rsidRPr="007C1542" w:rsidRDefault="000965D7" w:rsidP="0075193D">
            <w:pPr>
              <w:pStyle w:val="TableTextRight"/>
              <w:rPr>
                <w:rFonts w:cs="Arial"/>
                <w:szCs w:val="16"/>
              </w:rPr>
            </w:pPr>
            <w:r w:rsidRPr="000965D7">
              <w:t>134</w:t>
            </w:r>
          </w:p>
        </w:tc>
        <w:tc>
          <w:tcPr>
            <w:tcW w:w="1417" w:type="dxa"/>
            <w:shd w:val="clear" w:color="auto" w:fill="E6E6E6"/>
          </w:tcPr>
          <w:p w14:paraId="45B4EA9A" w14:textId="49FDA2EE" w:rsidR="00C1179D" w:rsidRPr="007C1542" w:rsidRDefault="000C4629" w:rsidP="0075193D">
            <w:pPr>
              <w:pStyle w:val="TableTextRight"/>
              <w:rPr>
                <w:rFonts w:cs="Arial"/>
                <w:szCs w:val="16"/>
              </w:rPr>
            </w:pPr>
            <w:r>
              <w:t>114</w:t>
            </w:r>
          </w:p>
        </w:tc>
      </w:tr>
    </w:tbl>
    <w:p w14:paraId="6539BB08" w14:textId="0C1BC88B" w:rsidR="00FD69DF" w:rsidRDefault="00F70753" w:rsidP="0075193D">
      <w:pPr>
        <w:pStyle w:val="ChartorTableNote"/>
        <w:tabs>
          <w:tab w:val="left" w:pos="567"/>
        </w:tabs>
        <w:spacing w:before="60"/>
        <w:ind w:left="567" w:hanging="567"/>
      </w:pPr>
      <w:r>
        <w:t xml:space="preserve">Notes: </w:t>
      </w:r>
      <w:r>
        <w:tab/>
      </w:r>
      <w:r w:rsidR="00FD69DF">
        <w:t>Fees were introduced as of 1 December 2015.</w:t>
      </w:r>
    </w:p>
    <w:p w14:paraId="3C4075F8" w14:textId="150AD5F9" w:rsidR="00C1179D" w:rsidRDefault="00FD69DF" w:rsidP="00F70753">
      <w:pPr>
        <w:pStyle w:val="ChartorTableNote"/>
        <w:tabs>
          <w:tab w:val="left" w:pos="567"/>
        </w:tabs>
        <w:ind w:left="567" w:hanging="567"/>
      </w:pPr>
      <w:r>
        <w:tab/>
      </w:r>
      <w:r w:rsidR="00F70753">
        <w:t>F</w:t>
      </w:r>
      <w:r w:rsidR="00F70753" w:rsidRPr="00F70753">
        <w:t xml:space="preserve">ees are collected when an application is submitted to the </w:t>
      </w:r>
      <w:r w:rsidR="00520E3F">
        <w:t>FIRB</w:t>
      </w:r>
      <w:r w:rsidR="00F70753" w:rsidRPr="00F70753">
        <w:t>. The revenue recognised is based on the receipt of the application and/or payment during the reporting period less an estimate of future outflows relating to cases where the fee might be waived.</w:t>
      </w:r>
    </w:p>
    <w:p w14:paraId="75984D4F" w14:textId="7CF06B98" w:rsidR="00F70753" w:rsidRDefault="00F70753" w:rsidP="001D65FC">
      <w:pPr>
        <w:pStyle w:val="ChartorTableNote"/>
        <w:tabs>
          <w:tab w:val="left" w:pos="567"/>
        </w:tabs>
        <w:ind w:left="567" w:hanging="567"/>
      </w:pPr>
      <w:r>
        <w:t xml:space="preserve">Source: </w:t>
      </w:r>
      <w:r w:rsidRPr="00DE38F2">
        <w:rPr>
          <w:i/>
        </w:rPr>
        <w:t>ATO Annual Report</w:t>
      </w:r>
      <w:r w:rsidRPr="00F70753">
        <w:t xml:space="preserve"> </w:t>
      </w:r>
      <w:r>
        <w:t xml:space="preserve">for each applicable period, </w:t>
      </w:r>
      <w:r w:rsidR="000C4629">
        <w:t xml:space="preserve">see the table </w:t>
      </w:r>
      <w:r w:rsidRPr="00DE38F2">
        <w:t>ATO net tax collections</w:t>
      </w:r>
      <w:r w:rsidRPr="00F70753">
        <w:t>.</w:t>
      </w:r>
    </w:p>
    <w:p w14:paraId="2D5A1561" w14:textId="77777777" w:rsidR="00FF3EC4" w:rsidRDefault="00FF3EC4"/>
    <w:p w14:paraId="45A1E1BC" w14:textId="77777777" w:rsidR="00794BDA" w:rsidRDefault="00794BDA">
      <w:pPr>
        <w:sectPr w:rsidR="00794BDA" w:rsidSect="00786181">
          <w:headerReference w:type="even" r:id="rId103"/>
          <w:footerReference w:type="even" r:id="rId104"/>
          <w:headerReference w:type="first" r:id="rId105"/>
          <w:footerReference w:type="first" r:id="rId106"/>
          <w:pgSz w:w="11907" w:h="16840" w:code="9"/>
          <w:pgMar w:top="2466" w:right="2098" w:bottom="2466" w:left="2098" w:header="1899" w:footer="1899" w:gutter="0"/>
          <w:cols w:space="708"/>
          <w:titlePg/>
          <w:docGrid w:linePitch="360"/>
        </w:sectPr>
      </w:pPr>
    </w:p>
    <w:p w14:paraId="5A62ACA3" w14:textId="77777777" w:rsidR="00654BAA" w:rsidRPr="00654BAA" w:rsidRDefault="00654BAA" w:rsidP="00F84EAC">
      <w:pPr>
        <w:spacing w:after="0" w:line="240" w:lineRule="auto"/>
        <w:jc w:val="center"/>
        <w:rPr>
          <w:rFonts w:ascii="Calibri" w:hAnsi="Calibri"/>
          <w:color w:val="003E74"/>
        </w:rPr>
      </w:pPr>
      <w:r w:rsidRPr="00654BAA">
        <w:rPr>
          <w:rFonts w:ascii="Calibri" w:hAnsi="Calibri"/>
          <w:noProof/>
          <w:color w:val="003E74"/>
        </w:rPr>
        <w:drawing>
          <wp:inline distT="0" distB="0" distL="0" distR="0" wp14:anchorId="73FC9440" wp14:editId="68F1A206">
            <wp:extent cx="4895995" cy="305980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B part page5.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895995" cy="3059807"/>
                    </a:xfrm>
                    <a:prstGeom prst="rect">
                      <a:avLst/>
                    </a:prstGeom>
                  </pic:spPr>
                </pic:pic>
              </a:graphicData>
            </a:graphic>
          </wp:inline>
        </w:drawing>
      </w:r>
    </w:p>
    <w:p w14:paraId="3E814C39" w14:textId="56D501F8" w:rsidR="00E30A27" w:rsidRPr="00811442" w:rsidRDefault="00811442" w:rsidP="00811442">
      <w:pPr>
        <w:pStyle w:val="Heading1"/>
      </w:pPr>
      <w:bookmarkStart w:id="1148" w:name="_Toc529530646"/>
      <w:bookmarkStart w:id="1149" w:name="_Toc529545249"/>
      <w:bookmarkStart w:id="1150" w:name="_Toc529795013"/>
      <w:bookmarkStart w:id="1151" w:name="_Toc529802496"/>
      <w:bookmarkStart w:id="1152" w:name="_Toc529878071"/>
      <w:bookmarkStart w:id="1153" w:name="_Toc529879295"/>
      <w:bookmarkStart w:id="1154" w:name="_Toc529882560"/>
      <w:bookmarkStart w:id="1155" w:name="_Toc529885231"/>
      <w:bookmarkStart w:id="1156" w:name="_Toc529890703"/>
      <w:bookmarkStart w:id="1157" w:name="_Toc529970074"/>
      <w:bookmarkStart w:id="1158" w:name="_Toc529979429"/>
      <w:bookmarkStart w:id="1159" w:name="_Toc530050475"/>
      <w:bookmarkStart w:id="1160" w:name="_Toc530065554"/>
      <w:bookmarkStart w:id="1161" w:name="_Toc530066382"/>
      <w:bookmarkStart w:id="1162" w:name="_Toc530145103"/>
      <w:bookmarkStart w:id="1163" w:name="_Toc530146073"/>
      <w:bookmarkStart w:id="1164" w:name="_Toc530146994"/>
      <w:bookmarkStart w:id="1165" w:name="_Toc530148352"/>
      <w:bookmarkStart w:id="1166" w:name="_Toc530148553"/>
      <w:bookmarkStart w:id="1167" w:name="_Toc530149225"/>
      <w:bookmarkStart w:id="1168" w:name="_Toc530149796"/>
      <w:bookmarkStart w:id="1169" w:name="_Toc532207340"/>
      <w:bookmarkStart w:id="1170" w:name="_Toc532217728"/>
      <w:bookmarkStart w:id="1171" w:name="_Toc532218749"/>
      <w:bookmarkStart w:id="1172" w:name="_Toc532219061"/>
      <w:bookmarkStart w:id="1173" w:name="_Toc532223745"/>
      <w:bookmarkStart w:id="1174" w:name="_Toc532224204"/>
      <w:bookmarkStart w:id="1175" w:name="_Toc532226683"/>
      <w:bookmarkStart w:id="1176" w:name="_Toc536029384"/>
      <w:bookmarkStart w:id="1177" w:name="_Toc1120406"/>
      <w:bookmarkStart w:id="1178" w:name="_Toc1121977"/>
      <w:r w:rsidRPr="00811442">
        <w:t>Chapter Four</w:t>
      </w:r>
      <w:r w:rsidR="00E30A27" w:rsidRPr="00811442">
        <w:t>: Compliance</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001098EB" w14:textId="78494F64" w:rsidR="00F84EAC" w:rsidRDefault="00654BAA" w:rsidP="00E30A27">
      <w:r w:rsidRPr="00654BAA">
        <w:t xml:space="preserve">This chapter discusses the approach to compliance by </w:t>
      </w:r>
      <w:r w:rsidR="00520E3F">
        <w:t>FIRB</w:t>
      </w:r>
      <w:r w:rsidRPr="00654BAA">
        <w:t xml:space="preserve"> agencies and the work underway to provide strengthened assurance that foreign </w:t>
      </w:r>
      <w:r w:rsidR="00ED619A">
        <w:t>person</w:t>
      </w:r>
      <w:r w:rsidRPr="00654BAA">
        <w:t xml:space="preserve">s are meeting their obligations, including education and stakeholder engagement, audits and investigations, and the </w:t>
      </w:r>
      <w:r w:rsidR="00F77CBA">
        <w:t>imposition</w:t>
      </w:r>
      <w:r w:rsidR="00F84EAC">
        <w:t xml:space="preserve"> of penalties under the</w:t>
      </w:r>
      <w:r w:rsidR="00CC2C1A" w:rsidRPr="00CB54C2">
        <w:t xml:space="preserve"> </w:t>
      </w:r>
      <w:r w:rsidR="00CC2C1A" w:rsidRPr="00CB54C2">
        <w:rPr>
          <w:i/>
        </w:rPr>
        <w:t>Foreign Acquisitions and Takeovers Act 1975</w:t>
      </w:r>
      <w:r w:rsidR="00CC2C1A" w:rsidRPr="00CB54C2">
        <w:t xml:space="preserve"> </w:t>
      </w:r>
      <w:r w:rsidR="00CC2C1A">
        <w:t xml:space="preserve">(the </w:t>
      </w:r>
      <w:r w:rsidR="00F84EAC">
        <w:t>Act</w:t>
      </w:r>
      <w:r w:rsidR="00CC2C1A">
        <w:t>)</w:t>
      </w:r>
      <w:r w:rsidR="00F84EAC">
        <w:t>.</w:t>
      </w:r>
    </w:p>
    <w:p w14:paraId="26D7A7E5" w14:textId="0E0E26F5" w:rsidR="00654BAA" w:rsidRPr="00654BAA" w:rsidRDefault="002C28A1" w:rsidP="001D65FC">
      <w:pPr>
        <w:pStyle w:val="Heading2"/>
        <w:rPr>
          <w:rFonts w:eastAsiaTheme="minorHAnsi"/>
          <w:b w:val="0"/>
          <w:lang w:eastAsia="en-US"/>
        </w:rPr>
      </w:pPr>
      <w:bookmarkStart w:id="1179" w:name="_Toc529530647"/>
      <w:bookmarkStart w:id="1180" w:name="_Toc529545250"/>
      <w:bookmarkStart w:id="1181" w:name="_Toc529795014"/>
      <w:bookmarkStart w:id="1182" w:name="_Toc529802497"/>
      <w:bookmarkStart w:id="1183" w:name="_Toc529878072"/>
      <w:bookmarkStart w:id="1184" w:name="_Toc529879296"/>
      <w:bookmarkStart w:id="1185" w:name="_Toc529882561"/>
      <w:bookmarkStart w:id="1186" w:name="_Toc529885232"/>
      <w:bookmarkStart w:id="1187" w:name="_Toc529890704"/>
      <w:bookmarkStart w:id="1188" w:name="_Toc529970075"/>
      <w:bookmarkStart w:id="1189" w:name="_Toc529979430"/>
      <w:bookmarkStart w:id="1190" w:name="_Toc530050476"/>
      <w:bookmarkStart w:id="1191" w:name="_Toc530065555"/>
      <w:bookmarkStart w:id="1192" w:name="_Toc530066383"/>
      <w:bookmarkStart w:id="1193" w:name="_Toc530145104"/>
      <w:bookmarkStart w:id="1194" w:name="_Toc530146074"/>
      <w:bookmarkStart w:id="1195" w:name="_Toc530146995"/>
      <w:bookmarkStart w:id="1196" w:name="_Toc530148353"/>
      <w:bookmarkStart w:id="1197" w:name="_Toc530148554"/>
      <w:bookmarkStart w:id="1198" w:name="_Toc530149226"/>
      <w:bookmarkStart w:id="1199" w:name="_Toc530149797"/>
      <w:bookmarkStart w:id="1200" w:name="_Toc532207341"/>
      <w:bookmarkStart w:id="1201" w:name="_Toc532217729"/>
      <w:bookmarkStart w:id="1202" w:name="_Toc532218750"/>
      <w:bookmarkStart w:id="1203" w:name="_Toc532219062"/>
      <w:bookmarkStart w:id="1204" w:name="_Toc532223746"/>
      <w:bookmarkStart w:id="1205" w:name="_Toc532224205"/>
      <w:bookmarkStart w:id="1206" w:name="_Toc532226684"/>
      <w:bookmarkStart w:id="1207" w:name="_Toc536029385"/>
      <w:bookmarkStart w:id="1208" w:name="_Toc1120407"/>
      <w:bookmarkStart w:id="1209" w:name="_Toc1121978"/>
      <w:r>
        <w:rPr>
          <w:rFonts w:eastAsiaTheme="minorHAnsi"/>
          <w:lang w:eastAsia="en-US"/>
        </w:rPr>
        <w:t>C</w:t>
      </w:r>
      <w:r w:rsidR="00654BAA" w:rsidRPr="00654BAA">
        <w:rPr>
          <w:rFonts w:eastAsiaTheme="minorHAnsi"/>
          <w:lang w:eastAsia="en-US"/>
        </w:rPr>
        <w:t xml:space="preserve">ompliance </w:t>
      </w:r>
      <w:r w:rsidR="00654BAA" w:rsidRPr="001D65FC">
        <w:rPr>
          <w:rFonts w:eastAsiaTheme="minorHAnsi"/>
        </w:rPr>
        <w:t>approach</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3A50C300" w14:textId="2DBD765E" w:rsidR="00654BAA" w:rsidRPr="00654BAA" w:rsidRDefault="002C28A1" w:rsidP="002229ED">
      <w:r>
        <w:t>C</w:t>
      </w:r>
      <w:r w:rsidR="00654BAA" w:rsidRPr="00654BAA">
        <w:t xml:space="preserve">ompliance activities support the integrity of the </w:t>
      </w:r>
      <w:r w:rsidR="00851B25">
        <w:t>foreign investment framework</w:t>
      </w:r>
      <w:r w:rsidR="00654BAA" w:rsidRPr="00654BAA">
        <w:t xml:space="preserve"> by providing strengthened assurance that foreign </w:t>
      </w:r>
      <w:r w:rsidR="00ED619A">
        <w:t>person</w:t>
      </w:r>
      <w:r w:rsidR="00654BAA" w:rsidRPr="00654BAA">
        <w:t>s are meeting their obligations while minimising the regulatory burden on investors.</w:t>
      </w:r>
    </w:p>
    <w:p w14:paraId="4755A36D" w14:textId="440BD9DB" w:rsidR="00654BAA" w:rsidRPr="00654BAA" w:rsidRDefault="00654BAA" w:rsidP="002229ED">
      <w:r w:rsidRPr="00654BAA">
        <w:t xml:space="preserve">Treasury is responsible for compliance and enforcement activities in relation to business, agricultural, and some commercial land </w:t>
      </w:r>
      <w:r w:rsidR="00D47218">
        <w:t>investments</w:t>
      </w:r>
      <w:r w:rsidRPr="00654BAA">
        <w:t xml:space="preserve">, while the ATO is responsible for compliance and enforcement activities in relation to residential real estate and some commercial land </w:t>
      </w:r>
      <w:r w:rsidR="00D47218">
        <w:t>investments</w:t>
      </w:r>
      <w:r w:rsidRPr="00654BAA">
        <w:t>.</w:t>
      </w:r>
    </w:p>
    <w:p w14:paraId="3AAEBF60" w14:textId="747C2D67" w:rsidR="00071729" w:rsidRDefault="00654BAA" w:rsidP="001D65FC">
      <w:r w:rsidRPr="00654BAA">
        <w:rPr>
          <w:szCs w:val="26"/>
        </w:rPr>
        <w:t>In</w:t>
      </w:r>
      <w:r w:rsidRPr="00654BAA">
        <w:t xml:space="preserve"> undertaking compliance work, </w:t>
      </w:r>
      <w:r w:rsidR="00520E3F">
        <w:t>FIRB</w:t>
      </w:r>
      <w:r w:rsidR="00851B25">
        <w:t xml:space="preserve"> agencies</w:t>
      </w:r>
      <w:r w:rsidRPr="00654BAA">
        <w:t xml:space="preserve"> use a risk-based approach. We aim to achieve a balance between providing assurance, detecting and remedying non-compliance, and limiting the impact on foreign </w:t>
      </w:r>
      <w:r w:rsidR="00ED619A">
        <w:t>person</w:t>
      </w:r>
      <w:r w:rsidRPr="00654BAA">
        <w:t>s</w:t>
      </w:r>
      <w:r w:rsidR="001D65FC">
        <w:t xml:space="preserve"> who are doing the right thing.</w:t>
      </w:r>
      <w:r w:rsidR="00071729">
        <w:br w:type="page"/>
      </w:r>
    </w:p>
    <w:p w14:paraId="23D81641" w14:textId="14DD6104" w:rsidR="00654BAA" w:rsidRPr="00654BAA" w:rsidRDefault="00654BAA" w:rsidP="002229ED">
      <w:r w:rsidRPr="00654BAA">
        <w:t xml:space="preserve">Compliance activities undertaken by </w:t>
      </w:r>
      <w:r w:rsidR="00520E3F">
        <w:t>FIRB</w:t>
      </w:r>
      <w:r w:rsidR="00851B25">
        <w:t xml:space="preserve"> agencies</w:t>
      </w:r>
      <w:r w:rsidRPr="00654BAA">
        <w:t xml:space="preserve"> include:</w:t>
      </w:r>
    </w:p>
    <w:p w14:paraId="33DA9381" w14:textId="3B37A6F6" w:rsidR="00654BAA" w:rsidRPr="00654BAA" w:rsidRDefault="00C74F49" w:rsidP="002229ED">
      <w:pPr>
        <w:pStyle w:val="Bullet"/>
      </w:pPr>
      <w:r>
        <w:t xml:space="preserve">identifying and analysing </w:t>
      </w:r>
      <w:r w:rsidR="00654BAA" w:rsidRPr="00654BAA">
        <w:t>compliance risk</w:t>
      </w:r>
      <w:r>
        <w:t>s, such as failing to notify or failing to meet the conditions imposed on an investment</w:t>
      </w:r>
      <w:r w:rsidR="00654BAA" w:rsidRPr="00654BAA">
        <w:t>;</w:t>
      </w:r>
    </w:p>
    <w:p w14:paraId="6359982C" w14:textId="77777777" w:rsidR="00654BAA" w:rsidRPr="00654BAA" w:rsidRDefault="00654BAA" w:rsidP="002229ED">
      <w:pPr>
        <w:pStyle w:val="Bullet"/>
      </w:pPr>
      <w:r w:rsidRPr="00654BAA">
        <w:t>compliance assurance activities, such as compliance audits;</w:t>
      </w:r>
    </w:p>
    <w:p w14:paraId="7F2FC7CB" w14:textId="0C02DA77" w:rsidR="00654BAA" w:rsidRPr="00654BAA" w:rsidRDefault="00654BAA" w:rsidP="002229ED">
      <w:pPr>
        <w:pStyle w:val="Bullet"/>
      </w:pPr>
      <w:r w:rsidRPr="00654BAA">
        <w:t xml:space="preserve">analysis of data and trends, such as </w:t>
      </w:r>
      <w:r w:rsidR="00851B25">
        <w:t xml:space="preserve">monitoring </w:t>
      </w:r>
      <w:r w:rsidRPr="00654BAA">
        <w:t>shareholding activities and property sales</w:t>
      </w:r>
      <w:r w:rsidR="00851B25">
        <w:t xml:space="preserve"> for ownership changes</w:t>
      </w:r>
      <w:r w:rsidRPr="00654BAA">
        <w:t>; and</w:t>
      </w:r>
    </w:p>
    <w:p w14:paraId="6710A197" w14:textId="7BB0D39D" w:rsidR="00654BAA" w:rsidRPr="00654BAA" w:rsidRDefault="00654BAA" w:rsidP="002229ED">
      <w:pPr>
        <w:pStyle w:val="Bullet"/>
      </w:pPr>
      <w:r w:rsidRPr="00654BAA">
        <w:t>formal investigations.</w:t>
      </w:r>
    </w:p>
    <w:p w14:paraId="04141ED0" w14:textId="3F35DE55" w:rsidR="00654BAA" w:rsidRPr="00654BAA" w:rsidRDefault="00654BAA" w:rsidP="002229ED">
      <w:r w:rsidRPr="00654BAA">
        <w:t xml:space="preserve">Foreign investment compliance and enforcement activities are also supported by other regulatory regimes and specialist advice from other entities, including Australian Government </w:t>
      </w:r>
      <w:r w:rsidR="006D5071">
        <w:t>regulatory agencies</w:t>
      </w:r>
      <w:r w:rsidRPr="00654BAA">
        <w:t xml:space="preserve"> as required.</w:t>
      </w:r>
      <w:r w:rsidR="00C20B81">
        <w:t xml:space="preserve"> Also, some conditions require the foreign person subject to the conditions to engage professional auditors to audit their co</w:t>
      </w:r>
      <w:r w:rsidR="00166388">
        <w:t>mpliance with their conditions.</w:t>
      </w:r>
    </w:p>
    <w:p w14:paraId="3E832901" w14:textId="671BFD89" w:rsidR="004B653D" w:rsidRPr="00654BAA" w:rsidRDefault="004B653D" w:rsidP="002229ED">
      <w:bookmarkStart w:id="1210" w:name="_Toc529530648"/>
      <w:bookmarkStart w:id="1211" w:name="_Toc529545251"/>
      <w:bookmarkStart w:id="1212" w:name="_Toc529795015"/>
      <w:bookmarkStart w:id="1213" w:name="_Toc529802498"/>
      <w:bookmarkStart w:id="1214" w:name="_Toc529878073"/>
      <w:bookmarkStart w:id="1215" w:name="_Toc529879297"/>
      <w:bookmarkStart w:id="1216" w:name="_Toc529882562"/>
      <w:bookmarkStart w:id="1217" w:name="_Toc529885233"/>
      <w:bookmarkStart w:id="1218" w:name="_Toc529890705"/>
      <w:bookmarkStart w:id="1219" w:name="_Toc529970076"/>
      <w:bookmarkStart w:id="1220" w:name="_Toc529979431"/>
      <w:bookmarkStart w:id="1221" w:name="_Toc530050477"/>
      <w:bookmarkStart w:id="1222" w:name="_Toc530065556"/>
      <w:bookmarkStart w:id="1223" w:name="_Toc530066384"/>
      <w:bookmarkStart w:id="1224" w:name="_Toc530145105"/>
      <w:bookmarkStart w:id="1225" w:name="_Toc530146075"/>
      <w:bookmarkStart w:id="1226" w:name="_Toc530146996"/>
      <w:bookmarkStart w:id="1227" w:name="_Toc530148354"/>
      <w:bookmarkStart w:id="1228" w:name="_Toc530148555"/>
      <w:bookmarkStart w:id="1229" w:name="_Toc530149227"/>
      <w:bookmarkStart w:id="1230" w:name="_Toc530149798"/>
      <w:r>
        <w:t xml:space="preserve">In 2017-18, </w:t>
      </w:r>
      <w:r w:rsidR="00520E3F">
        <w:t>FIRB</w:t>
      </w:r>
      <w:r>
        <w:t xml:space="preserve"> agencies supported the Australian National Audit Office in the completion of a performance </w:t>
      </w:r>
      <w:r w:rsidR="00851B25">
        <w:t xml:space="preserve">review </w:t>
      </w:r>
      <w:r>
        <w:t xml:space="preserve">into the </w:t>
      </w:r>
      <w:r w:rsidRPr="000A39B0">
        <w:rPr>
          <w:i/>
        </w:rPr>
        <w:t>Management of foreign investment compliance obligations for residential real estate</w:t>
      </w:r>
      <w:r>
        <w:t xml:space="preserve">. The final report, tabled </w:t>
      </w:r>
      <w:r w:rsidR="00851B25">
        <w:t xml:space="preserve">in </w:t>
      </w:r>
      <w:r>
        <w:t xml:space="preserve">June 2018, was largely positive </w:t>
      </w:r>
      <w:r w:rsidR="00145988">
        <w:t xml:space="preserve">about </w:t>
      </w:r>
      <w:r>
        <w:t xml:space="preserve">the processes implemented by </w:t>
      </w:r>
      <w:r w:rsidR="00145988">
        <w:t>the ATO</w:t>
      </w:r>
      <w:r>
        <w:t xml:space="preserve"> to manage compliance.</w:t>
      </w:r>
      <w:r w:rsidR="00145988" w:rsidRPr="00145988">
        <w:t xml:space="preserve"> There are additional improvements being made as a result of the report.</w:t>
      </w:r>
      <w:r w:rsidR="006D5071">
        <w:t xml:space="preserve"> </w:t>
      </w:r>
      <w:r>
        <w:t xml:space="preserve">Further information on the report, and the work underway to address the recommendations, is included at page </w:t>
      </w:r>
      <w:r w:rsidR="006D1889">
        <w:t>17</w:t>
      </w:r>
      <w:r>
        <w:t>.</w:t>
      </w:r>
    </w:p>
    <w:p w14:paraId="12EEB5D5" w14:textId="77777777" w:rsidR="00654BAA" w:rsidRPr="00654BAA" w:rsidRDefault="00654BAA" w:rsidP="001D65FC">
      <w:pPr>
        <w:pStyle w:val="Heading2"/>
        <w:rPr>
          <w:rFonts w:eastAsiaTheme="minorHAnsi"/>
          <w:lang w:eastAsia="en-US"/>
        </w:rPr>
      </w:pPr>
      <w:bookmarkStart w:id="1231" w:name="_Toc532207342"/>
      <w:bookmarkStart w:id="1232" w:name="_Toc532217730"/>
      <w:bookmarkStart w:id="1233" w:name="_Toc532218751"/>
      <w:bookmarkStart w:id="1234" w:name="_Toc532219063"/>
      <w:bookmarkStart w:id="1235" w:name="_Toc532223747"/>
      <w:bookmarkStart w:id="1236" w:name="_Toc532224206"/>
      <w:bookmarkStart w:id="1237" w:name="_Toc532226685"/>
      <w:bookmarkStart w:id="1238" w:name="_Toc536029386"/>
      <w:bookmarkStart w:id="1239" w:name="_Toc1120408"/>
      <w:bookmarkStart w:id="1240" w:name="_Toc1121979"/>
      <w:r w:rsidRPr="00654BAA">
        <w:rPr>
          <w:rFonts w:eastAsiaTheme="minorHAnsi"/>
          <w:lang w:eastAsia="en-US"/>
        </w:rPr>
        <w:t>Education and promotion</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6AC25C8E" w14:textId="5C59D09A" w:rsidR="00654BAA" w:rsidRPr="00654BAA" w:rsidRDefault="00654BAA" w:rsidP="002229ED">
      <w:pPr>
        <w:rPr>
          <w:rFonts w:ascii="Calibri" w:hAnsi="Calibri" w:cs="Calibri"/>
        </w:rPr>
      </w:pPr>
      <w:r w:rsidRPr="00654BAA">
        <w:rPr>
          <w:rFonts w:ascii="Calibri" w:hAnsi="Calibri" w:cs="Calibri"/>
        </w:rPr>
        <w:t xml:space="preserve">The </w:t>
      </w:r>
      <w:r w:rsidR="00520E3F">
        <w:rPr>
          <w:rFonts w:ascii="Calibri" w:hAnsi="Calibri" w:cs="Calibri"/>
        </w:rPr>
        <w:t>Board</w:t>
      </w:r>
      <w:r w:rsidRPr="00654BAA">
        <w:rPr>
          <w:rFonts w:ascii="Calibri" w:hAnsi="Calibri" w:cs="Calibri"/>
        </w:rPr>
        <w:t xml:space="preserve"> and </w:t>
      </w:r>
      <w:r w:rsidR="00520E3F">
        <w:rPr>
          <w:rFonts w:ascii="Calibri" w:hAnsi="Calibri" w:cs="Calibri"/>
        </w:rPr>
        <w:t>FIRB</w:t>
      </w:r>
      <w:r w:rsidR="009509B1">
        <w:rPr>
          <w:rFonts w:ascii="Calibri" w:hAnsi="Calibri" w:cs="Calibri"/>
        </w:rPr>
        <w:t xml:space="preserve"> agencies</w:t>
      </w:r>
      <w:r w:rsidRPr="00654BAA">
        <w:rPr>
          <w:rFonts w:ascii="Calibri" w:hAnsi="Calibri" w:cs="Calibri"/>
        </w:rPr>
        <w:t xml:space="preserve"> undertake numerous activities to educate and provide information to individuals and organisations affected directly and indirectly by the foreign investment framework to ensure foreign </w:t>
      </w:r>
      <w:r w:rsidR="00ED619A">
        <w:rPr>
          <w:rFonts w:ascii="Calibri" w:hAnsi="Calibri" w:cs="Calibri"/>
        </w:rPr>
        <w:t>person</w:t>
      </w:r>
      <w:r w:rsidRPr="00654BAA">
        <w:rPr>
          <w:rFonts w:ascii="Calibri" w:hAnsi="Calibri" w:cs="Calibri"/>
        </w:rPr>
        <w:t xml:space="preserve">s and related parties </w:t>
      </w:r>
      <w:r w:rsidRPr="00654BAA">
        <w:t>understand and meet their foreign investment obligations.</w:t>
      </w:r>
    </w:p>
    <w:p w14:paraId="3D65ABEC" w14:textId="05E3916C" w:rsidR="00654BAA" w:rsidRPr="00654BAA" w:rsidRDefault="00654BAA" w:rsidP="002229ED">
      <w:pPr>
        <w:ind w:left="284" w:hanging="284"/>
      </w:pPr>
      <w:r w:rsidRPr="00654BAA">
        <w:rPr>
          <w:rFonts w:ascii="Calibri" w:hAnsi="Calibri" w:cs="Calibri"/>
        </w:rPr>
        <w:t>During 2017</w:t>
      </w:r>
      <w:r w:rsidR="0080522B">
        <w:rPr>
          <w:rFonts w:ascii="Calibri" w:hAnsi="Calibri" w:cs="Calibri"/>
        </w:rPr>
        <w:t>–</w:t>
      </w:r>
      <w:r w:rsidRPr="00654BAA">
        <w:rPr>
          <w:rFonts w:ascii="Calibri" w:hAnsi="Calibri" w:cs="Calibri"/>
        </w:rPr>
        <w:t xml:space="preserve">18, education activities undertaken by </w:t>
      </w:r>
      <w:r w:rsidR="00520E3F">
        <w:rPr>
          <w:rFonts w:ascii="Calibri" w:hAnsi="Calibri" w:cs="Calibri"/>
        </w:rPr>
        <w:t>FIRB</w:t>
      </w:r>
      <w:r w:rsidR="000C486F">
        <w:rPr>
          <w:rFonts w:ascii="Calibri" w:hAnsi="Calibri" w:cs="Calibri"/>
        </w:rPr>
        <w:t xml:space="preserve"> agencies</w:t>
      </w:r>
      <w:r w:rsidRPr="00654BAA">
        <w:rPr>
          <w:rFonts w:ascii="Calibri" w:hAnsi="Calibri" w:cs="Calibri"/>
        </w:rPr>
        <w:t xml:space="preserve"> included:</w:t>
      </w:r>
    </w:p>
    <w:p w14:paraId="00814BA3" w14:textId="6B9E52B0" w:rsidR="00654BAA" w:rsidRPr="00654BAA" w:rsidRDefault="00654BAA" w:rsidP="002229ED">
      <w:pPr>
        <w:pStyle w:val="Bullet"/>
      </w:pPr>
      <w:r w:rsidRPr="00654BAA">
        <w:t>regular meetings with key stakeholders;</w:t>
      </w:r>
    </w:p>
    <w:p w14:paraId="7B3F69F4" w14:textId="30400FBA" w:rsidR="00654BAA" w:rsidRPr="00654BAA" w:rsidRDefault="00654BAA" w:rsidP="002229ED">
      <w:pPr>
        <w:pStyle w:val="Bullet"/>
      </w:pPr>
      <w:r w:rsidRPr="00654BAA">
        <w:t>presentations at industry forums and seminars;</w:t>
      </w:r>
    </w:p>
    <w:p w14:paraId="4AD0A941" w14:textId="30400DBA" w:rsidR="00654BAA" w:rsidRPr="00654BAA" w:rsidRDefault="00654BAA" w:rsidP="002229ED">
      <w:pPr>
        <w:pStyle w:val="Bullet"/>
      </w:pPr>
      <w:r w:rsidRPr="00654BAA">
        <w:t xml:space="preserve">publishing of guidance material on the </w:t>
      </w:r>
      <w:r w:rsidR="00520E3F">
        <w:t>FIRB</w:t>
      </w:r>
      <w:r w:rsidRPr="00654BAA">
        <w:t>’s website; and</w:t>
      </w:r>
    </w:p>
    <w:p w14:paraId="41FA1255" w14:textId="3E4D13D7" w:rsidR="00654BAA" w:rsidRPr="00654BAA" w:rsidRDefault="00654BAA" w:rsidP="002229ED">
      <w:pPr>
        <w:pStyle w:val="Bullet"/>
      </w:pPr>
      <w:r w:rsidRPr="00654BAA">
        <w:t xml:space="preserve">responding to written enquiries and </w:t>
      </w:r>
      <w:r w:rsidR="009509B1">
        <w:t>phone calls</w:t>
      </w:r>
      <w:r w:rsidRPr="00654BAA">
        <w:t xml:space="preserve"> </w:t>
      </w:r>
      <w:r w:rsidR="00B004B7">
        <w:t>to</w:t>
      </w:r>
      <w:r w:rsidRPr="00654BAA">
        <w:t xml:space="preserve"> the </w:t>
      </w:r>
      <w:r w:rsidR="00520E3F">
        <w:t>FIRB</w:t>
      </w:r>
      <w:r w:rsidR="00851B25">
        <w:t xml:space="preserve"> </w:t>
      </w:r>
      <w:r w:rsidR="009509B1">
        <w:t xml:space="preserve">agency </w:t>
      </w:r>
      <w:r w:rsidR="00851B25">
        <w:t>hotlines</w:t>
      </w:r>
      <w:r w:rsidRPr="00654BAA">
        <w:t>.</w:t>
      </w:r>
    </w:p>
    <w:p w14:paraId="319E1A0D" w14:textId="5370618D" w:rsidR="00654BAA" w:rsidRPr="00654BAA" w:rsidRDefault="00654BAA" w:rsidP="00654BAA">
      <w:r w:rsidRPr="00654BAA">
        <w:t xml:space="preserve">Specific activities designed to assist foreign </w:t>
      </w:r>
      <w:r w:rsidR="00ED619A">
        <w:t>person</w:t>
      </w:r>
      <w:r w:rsidRPr="00654BAA">
        <w:t>s to understand and meet new obligations introduced during 2017</w:t>
      </w:r>
      <w:r w:rsidR="0080522B">
        <w:t>–</w:t>
      </w:r>
      <w:r w:rsidRPr="00654BAA">
        <w:t xml:space="preserve">18 were also undertaken by the ATO. This work has included live webinars and face-to-face visits with foreign investment </w:t>
      </w:r>
      <w:r w:rsidR="00EB4A38">
        <w:t>advisers</w:t>
      </w:r>
      <w:r w:rsidR="00EB4A38" w:rsidRPr="00654BAA">
        <w:t xml:space="preserve"> </w:t>
      </w:r>
      <w:r w:rsidRPr="00654BAA">
        <w:t>on the introduction of the Water Entitlements Register and vacancy fees for residential property.</w:t>
      </w:r>
    </w:p>
    <w:p w14:paraId="195A3007" w14:textId="6575557E" w:rsidR="00654BAA" w:rsidRPr="004B7E5B" w:rsidRDefault="006473D2" w:rsidP="004B7E5B">
      <w:r w:rsidRPr="005610C8">
        <w:t>F</w:t>
      </w:r>
      <w:r w:rsidR="00654BAA" w:rsidRPr="005610C8">
        <w:t xml:space="preserve">urther information on the </w:t>
      </w:r>
      <w:r w:rsidR="00520E3F">
        <w:t>Board</w:t>
      </w:r>
      <w:r w:rsidR="00654BAA" w:rsidRPr="005610C8">
        <w:t>’s engagement activities</w:t>
      </w:r>
      <w:r w:rsidRPr="005610C8">
        <w:t xml:space="preserve"> are available </w:t>
      </w:r>
      <w:r w:rsidR="00654BAA" w:rsidRPr="005610C8">
        <w:t xml:space="preserve">in Chapter </w:t>
      </w:r>
      <w:r w:rsidR="003E1146" w:rsidRPr="005610C8">
        <w:t>Two</w:t>
      </w:r>
      <w:r w:rsidR="00BE091A">
        <w:t>: The Foreign Investment Framework</w:t>
      </w:r>
      <w:r w:rsidR="00654BAA" w:rsidRPr="005610C8">
        <w:t xml:space="preserve"> and </w:t>
      </w:r>
      <w:r w:rsidRPr="005610C8">
        <w:t>in</w:t>
      </w:r>
      <w:r w:rsidR="00654BAA" w:rsidRPr="005610C8">
        <w:t xml:space="preserve"> Regulator Performance Framework </w:t>
      </w:r>
      <w:r w:rsidRPr="005610C8">
        <w:t>(RPF) r</w:t>
      </w:r>
      <w:r w:rsidR="00654BAA" w:rsidRPr="005610C8">
        <w:t>eport</w:t>
      </w:r>
      <w:r w:rsidR="005610C8" w:rsidRPr="005610C8">
        <w:t>s</w:t>
      </w:r>
      <w:r w:rsidR="00654BAA" w:rsidRPr="005610C8">
        <w:t>.</w:t>
      </w:r>
      <w:r w:rsidR="005610C8">
        <w:rPr>
          <w:rStyle w:val="FootnoteReference"/>
        </w:rPr>
        <w:footnoteReference w:id="17"/>
      </w:r>
    </w:p>
    <w:p w14:paraId="49F3BD26" w14:textId="77777777" w:rsidR="00654BAA" w:rsidRPr="00654BAA" w:rsidRDefault="00654BAA" w:rsidP="001D65FC">
      <w:pPr>
        <w:pStyle w:val="Heading2"/>
        <w:rPr>
          <w:b w:val="0"/>
        </w:rPr>
      </w:pPr>
      <w:bookmarkStart w:id="1241" w:name="_Toc529530649"/>
      <w:bookmarkStart w:id="1242" w:name="_Toc529545252"/>
      <w:bookmarkStart w:id="1243" w:name="_Toc529795016"/>
      <w:bookmarkStart w:id="1244" w:name="_Toc529802499"/>
      <w:bookmarkStart w:id="1245" w:name="_Toc529878074"/>
      <w:bookmarkStart w:id="1246" w:name="_Toc529879298"/>
      <w:bookmarkStart w:id="1247" w:name="_Toc529882563"/>
      <w:bookmarkStart w:id="1248" w:name="_Toc529885234"/>
      <w:bookmarkStart w:id="1249" w:name="_Toc529890706"/>
      <w:bookmarkStart w:id="1250" w:name="_Toc529970077"/>
      <w:bookmarkStart w:id="1251" w:name="_Toc529979432"/>
      <w:bookmarkStart w:id="1252" w:name="_Toc530050478"/>
      <w:bookmarkStart w:id="1253" w:name="_Toc530065557"/>
      <w:bookmarkStart w:id="1254" w:name="_Toc530066385"/>
      <w:bookmarkStart w:id="1255" w:name="_Toc530145106"/>
      <w:bookmarkStart w:id="1256" w:name="_Toc530146076"/>
      <w:bookmarkStart w:id="1257" w:name="_Toc530146997"/>
      <w:bookmarkStart w:id="1258" w:name="_Toc530148355"/>
      <w:bookmarkStart w:id="1259" w:name="_Toc530148556"/>
      <w:bookmarkStart w:id="1260" w:name="_Toc530149228"/>
      <w:bookmarkStart w:id="1261" w:name="_Toc530149799"/>
      <w:bookmarkStart w:id="1262" w:name="_Toc532207343"/>
      <w:bookmarkStart w:id="1263" w:name="_Toc532217731"/>
      <w:bookmarkStart w:id="1264" w:name="_Toc532218752"/>
      <w:bookmarkStart w:id="1265" w:name="_Toc532219064"/>
      <w:bookmarkStart w:id="1266" w:name="_Toc532223748"/>
      <w:bookmarkStart w:id="1267" w:name="_Toc532224207"/>
      <w:bookmarkStart w:id="1268" w:name="_Toc532226686"/>
      <w:bookmarkStart w:id="1269" w:name="_Toc536029387"/>
      <w:bookmarkStart w:id="1270" w:name="_Toc1120409"/>
      <w:bookmarkStart w:id="1271" w:name="_Toc1121980"/>
      <w:r w:rsidRPr="00654BAA">
        <w:rPr>
          <w:rFonts w:eastAsiaTheme="minorHAnsi"/>
          <w:lang w:eastAsia="en-US"/>
        </w:rPr>
        <w:t xml:space="preserve">Penalties and </w:t>
      </w:r>
      <w:r w:rsidRPr="001D65FC">
        <w:rPr>
          <w:rFonts w:eastAsiaTheme="minorHAnsi"/>
        </w:rPr>
        <w:t>enforcement</w:t>
      </w:r>
      <w:r w:rsidRPr="00654BAA">
        <w:rPr>
          <w:rFonts w:eastAsiaTheme="minorHAnsi"/>
          <w:lang w:eastAsia="en-US"/>
        </w:rPr>
        <w:t xml:space="preserve"> powers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26AC2D14" w14:textId="2AA8201A" w:rsidR="00654BAA" w:rsidRPr="00654BAA" w:rsidRDefault="00654BAA" w:rsidP="00654BAA">
      <w:pPr>
        <w:spacing w:line="276" w:lineRule="auto"/>
      </w:pPr>
      <w:r w:rsidRPr="00654BAA">
        <w:t xml:space="preserve">The </w:t>
      </w:r>
      <w:r w:rsidR="00DE38F2">
        <w:t>foreign investment laws include</w:t>
      </w:r>
      <w:r w:rsidRPr="00654BAA">
        <w:t xml:space="preserve"> criminal and civil penalties for non-compliance. These apply to a range of breaches in the </w:t>
      </w:r>
      <w:r w:rsidR="00DE38F2">
        <w:t>legislation</w:t>
      </w:r>
      <w:r w:rsidRPr="00654BAA">
        <w:t xml:space="preserve">, including failing to notify investments which fall within </w:t>
      </w:r>
      <w:r w:rsidR="00932EEB">
        <w:t>relevant</w:t>
      </w:r>
      <w:r w:rsidRPr="00654BAA">
        <w:t xml:space="preserve"> screening threshold</w:t>
      </w:r>
      <w:r w:rsidR="00851B25">
        <w:t>s</w:t>
      </w:r>
      <w:r w:rsidRPr="00654BAA">
        <w:t xml:space="preserve">, or not complying with conditions on investments or an order made by the Treasurer. The Treasurer may also order a foreign </w:t>
      </w:r>
      <w:r w:rsidR="00ED619A">
        <w:t>person</w:t>
      </w:r>
      <w:r w:rsidRPr="00654BAA">
        <w:t xml:space="preserve"> to dispose of interests in assets, </w:t>
      </w:r>
      <w:r w:rsidR="00F9594D">
        <w:t>land</w:t>
      </w:r>
      <w:r w:rsidRPr="00654BAA">
        <w:t xml:space="preserve"> or </w:t>
      </w:r>
      <w:r w:rsidR="00A90F49">
        <w:t>securities</w:t>
      </w:r>
      <w:r w:rsidR="00F5774E">
        <w:t xml:space="preserve">, in cases of serious </w:t>
      </w:r>
      <w:r w:rsidR="00C74F49">
        <w:t xml:space="preserve">and / or deliberate </w:t>
      </w:r>
      <w:r w:rsidR="00F5774E">
        <w:t>non-compliance</w:t>
      </w:r>
      <w:r w:rsidRPr="00654BAA">
        <w:t xml:space="preserve">. </w:t>
      </w:r>
      <w:r w:rsidRPr="00654BAA">
        <w:rPr>
          <w:rFonts w:ascii="Calibri" w:hAnsi="Calibri" w:cs="Calibri"/>
        </w:rPr>
        <w:t xml:space="preserve">Other penalties can also be applied to third parties who knowingly assist foreign </w:t>
      </w:r>
      <w:r w:rsidR="00ED619A">
        <w:rPr>
          <w:rFonts w:ascii="Calibri" w:hAnsi="Calibri" w:cs="Calibri"/>
        </w:rPr>
        <w:t>person</w:t>
      </w:r>
      <w:r w:rsidRPr="00654BAA">
        <w:rPr>
          <w:rFonts w:ascii="Calibri" w:hAnsi="Calibri" w:cs="Calibri"/>
        </w:rPr>
        <w:t>s to breach the rules</w:t>
      </w:r>
      <w:r w:rsidR="00375236">
        <w:rPr>
          <w:rFonts w:ascii="Calibri" w:hAnsi="Calibri" w:cs="Calibri"/>
        </w:rPr>
        <w:t>.</w:t>
      </w:r>
      <w:r w:rsidR="00851B25">
        <w:rPr>
          <w:rStyle w:val="FootnoteReference"/>
          <w:rFonts w:ascii="Calibri" w:hAnsi="Calibri" w:cs="Calibri"/>
        </w:rPr>
        <w:footnoteReference w:id="18"/>
      </w:r>
    </w:p>
    <w:p w14:paraId="364A1CAD" w14:textId="74C5F059" w:rsidR="00654BAA" w:rsidRPr="00654BAA" w:rsidRDefault="00654BAA" w:rsidP="002229ED">
      <w:bookmarkStart w:id="1272" w:name="_Toc509825544"/>
      <w:bookmarkEnd w:id="1272"/>
      <w:r w:rsidRPr="00654BAA">
        <w:t xml:space="preserve">Additional civil penalties can apply to residential land </w:t>
      </w:r>
      <w:r w:rsidR="00BF7017">
        <w:t>acquisitions</w:t>
      </w:r>
      <w:r w:rsidRPr="00654BAA">
        <w:t>, including requiring a</w:t>
      </w:r>
      <w:r w:rsidR="007F5A67">
        <w:t xml:space="preserve"> foreign person</w:t>
      </w:r>
      <w:r w:rsidRPr="00654BAA">
        <w:t xml:space="preserve"> to forfeit capital gains made on divestment of a property and infringement notices for less significant breaches of the </w:t>
      </w:r>
      <w:r w:rsidR="00E66989">
        <w:t>Act</w:t>
      </w:r>
      <w:r w:rsidRPr="00654BAA">
        <w:t>, including in circumstances where:</w:t>
      </w:r>
    </w:p>
    <w:p w14:paraId="543AEC77" w14:textId="68A282A3" w:rsidR="00654BAA" w:rsidRPr="00654BAA" w:rsidRDefault="00654BAA" w:rsidP="00931CD1">
      <w:pPr>
        <w:pStyle w:val="Bullet"/>
      </w:pPr>
      <w:r w:rsidRPr="00654BAA">
        <w:t xml:space="preserve">the </w:t>
      </w:r>
      <w:r w:rsidR="00975EC2">
        <w:t>foreign person</w:t>
      </w:r>
      <w:r w:rsidR="00975EC2" w:rsidRPr="00654BAA">
        <w:t xml:space="preserve"> </w:t>
      </w:r>
      <w:r w:rsidRPr="00654BAA">
        <w:t>makes a full disclosure of the breach before it is detected;</w:t>
      </w:r>
    </w:p>
    <w:p w14:paraId="738E8657" w14:textId="6C26039F" w:rsidR="00654BAA" w:rsidRPr="00654BAA" w:rsidRDefault="00654BAA" w:rsidP="00931CD1">
      <w:pPr>
        <w:pStyle w:val="Bullet"/>
      </w:pPr>
      <w:r w:rsidRPr="00654BAA">
        <w:t xml:space="preserve">a breach occurs, and approval would have been granted had the </w:t>
      </w:r>
      <w:r w:rsidR="00975EC2">
        <w:t>foreign person</w:t>
      </w:r>
      <w:r w:rsidR="00975EC2" w:rsidRPr="00654BAA">
        <w:t xml:space="preserve"> </w:t>
      </w:r>
      <w:r w:rsidRPr="00654BAA">
        <w:t>given prior notice; or</w:t>
      </w:r>
    </w:p>
    <w:p w14:paraId="3DC4B423" w14:textId="4A5DB680" w:rsidR="00654BAA" w:rsidRPr="00654BAA" w:rsidRDefault="00654BAA" w:rsidP="00931CD1">
      <w:pPr>
        <w:pStyle w:val="Bullet"/>
      </w:pPr>
      <w:r w:rsidRPr="00654BAA">
        <w:t xml:space="preserve">the </w:t>
      </w:r>
      <w:r w:rsidR="00975EC2">
        <w:t>foreign person</w:t>
      </w:r>
      <w:r w:rsidR="00975EC2" w:rsidRPr="00654BAA">
        <w:t xml:space="preserve"> </w:t>
      </w:r>
      <w:r w:rsidRPr="00654BAA">
        <w:t xml:space="preserve">has inadvertently breached a condition of an existing foreign investment approval, but would have received approval had they applied to </w:t>
      </w:r>
      <w:r w:rsidR="00512807">
        <w:t>vary</w:t>
      </w:r>
      <w:r w:rsidR="00512807" w:rsidRPr="00654BAA">
        <w:t xml:space="preserve"> </w:t>
      </w:r>
      <w:r w:rsidRPr="00654BAA">
        <w:t>th</w:t>
      </w:r>
      <w:r w:rsidR="00B004B7">
        <w:t>e condition</w:t>
      </w:r>
      <w:r w:rsidRPr="00654BAA">
        <w:t>.</w:t>
      </w:r>
    </w:p>
    <w:p w14:paraId="09C96FAF" w14:textId="12FBE543" w:rsidR="008E5CA6" w:rsidRDefault="00654BAA" w:rsidP="00786181">
      <w:pPr>
        <w:pStyle w:val="SingleParagraph"/>
        <w:spacing w:after="240"/>
      </w:pPr>
      <w:r w:rsidRPr="00654BAA">
        <w:t xml:space="preserve">These provisions are designed to deter non-compliance and </w:t>
      </w:r>
      <w:r w:rsidR="00932EEB">
        <w:t>support the integrity of the foreign investment fram</w:t>
      </w:r>
      <w:r w:rsidR="00F5774E">
        <w:t>e</w:t>
      </w:r>
      <w:r w:rsidR="00932EEB">
        <w:t>work</w:t>
      </w:r>
      <w:r w:rsidRPr="00654BAA">
        <w:t>.</w:t>
      </w:r>
    </w:p>
    <w:p w14:paraId="792265DF" w14:textId="44D824AD" w:rsidR="008E5CA6" w:rsidRDefault="00C368FE" w:rsidP="001D65FC">
      <w:pPr>
        <w:pStyle w:val="Heading2"/>
      </w:pPr>
      <w:bookmarkStart w:id="1273" w:name="_Toc532207344"/>
      <w:bookmarkStart w:id="1274" w:name="_Toc532217732"/>
      <w:bookmarkStart w:id="1275" w:name="_Toc532218753"/>
      <w:bookmarkStart w:id="1276" w:name="_Toc532219065"/>
      <w:bookmarkStart w:id="1277" w:name="_Toc532223749"/>
      <w:bookmarkStart w:id="1278" w:name="_Toc532224208"/>
      <w:bookmarkStart w:id="1279" w:name="_Toc532226687"/>
      <w:bookmarkStart w:id="1280" w:name="_Toc536029388"/>
      <w:bookmarkStart w:id="1281" w:name="_Toc1120410"/>
      <w:bookmarkStart w:id="1282" w:name="_Toc1121981"/>
      <w:r>
        <w:t>Treasury</w:t>
      </w:r>
      <w:r w:rsidR="008E5CA6">
        <w:t xml:space="preserve"> compliance activities </w:t>
      </w:r>
      <w:r>
        <w:t xml:space="preserve">in </w:t>
      </w:r>
      <w:r w:rsidR="001D65FC">
        <w:t>2017–</w:t>
      </w:r>
      <w:r w:rsidR="008E5CA6">
        <w:t>18</w:t>
      </w:r>
      <w:bookmarkEnd w:id="1273"/>
      <w:bookmarkEnd w:id="1274"/>
      <w:bookmarkEnd w:id="1275"/>
      <w:bookmarkEnd w:id="1276"/>
      <w:bookmarkEnd w:id="1277"/>
      <w:bookmarkEnd w:id="1278"/>
      <w:bookmarkEnd w:id="1279"/>
      <w:bookmarkEnd w:id="1280"/>
      <w:bookmarkEnd w:id="1281"/>
      <w:bookmarkEnd w:id="1282"/>
    </w:p>
    <w:p w14:paraId="46159D9E" w14:textId="05AAF612" w:rsidR="008E5CA6" w:rsidRPr="004B653D" w:rsidRDefault="00932EEB" w:rsidP="00A201F2">
      <w:r>
        <w:t>In September 2017, the</w:t>
      </w:r>
      <w:r w:rsidR="00E73061" w:rsidRPr="004B653D">
        <w:t xml:space="preserve"> Treasury announced </w:t>
      </w:r>
      <w:r>
        <w:t xml:space="preserve">enhanced </w:t>
      </w:r>
      <w:r w:rsidR="008E5CA6" w:rsidRPr="004B653D">
        <w:t>compli</w:t>
      </w:r>
      <w:r w:rsidR="00E73061" w:rsidRPr="004B653D">
        <w:t xml:space="preserve">ance arrangements for applications screened </w:t>
      </w:r>
      <w:r>
        <w:t>by</w:t>
      </w:r>
      <w:r w:rsidR="00E73061" w:rsidRPr="004B653D">
        <w:t xml:space="preserve"> </w:t>
      </w:r>
      <w:r>
        <w:t>Treasury. Since then</w:t>
      </w:r>
      <w:r w:rsidR="00E73061" w:rsidRPr="004B653D">
        <w:t xml:space="preserve">, work </w:t>
      </w:r>
      <w:r w:rsidR="00512807">
        <w:t xml:space="preserve">has been </w:t>
      </w:r>
      <w:r w:rsidR="00E73061" w:rsidRPr="004B653D">
        <w:t xml:space="preserve">underway to build a </w:t>
      </w:r>
      <w:r w:rsidR="008E5CA6" w:rsidRPr="004B653D">
        <w:t>compliance framework to systematise compliance work under the Act</w:t>
      </w:r>
      <w:r w:rsidR="00E73061" w:rsidRPr="004B653D">
        <w:t>.</w:t>
      </w:r>
    </w:p>
    <w:p w14:paraId="17873BB3" w14:textId="25421B26" w:rsidR="00E73061" w:rsidRPr="004B653D" w:rsidRDefault="00E73061" w:rsidP="00A201F2">
      <w:r w:rsidRPr="004B653D">
        <w:t xml:space="preserve">Treasury has undertaken compliance risk analysis work and established clearer enforcement processes. This work has guided the development of a compliance assurance program, </w:t>
      </w:r>
      <w:r w:rsidR="00EF5098">
        <w:t>which includes</w:t>
      </w:r>
      <w:r w:rsidR="00EF5098" w:rsidRPr="004B653D">
        <w:t xml:space="preserve"> </w:t>
      </w:r>
      <w:r w:rsidRPr="004B653D">
        <w:t>compliance audits.</w:t>
      </w:r>
    </w:p>
    <w:p w14:paraId="1EE2A668" w14:textId="0B49581D" w:rsidR="00E73061" w:rsidRPr="004B653D" w:rsidRDefault="00EF5098" w:rsidP="00A201F2">
      <w:r w:rsidRPr="00EF5098">
        <w:t>In 2017</w:t>
      </w:r>
      <w:r>
        <w:noBreakHyphen/>
      </w:r>
      <w:r w:rsidRPr="00EF5098">
        <w:t>18, Treasury pilot</w:t>
      </w:r>
      <w:r>
        <w:t xml:space="preserve">ed a compliance audit program. </w:t>
      </w:r>
      <w:r w:rsidRPr="00EF5098">
        <w:t>The audit targets were identified through the application of the compliance risk framework and consideration of the national interest, and to test impleme</w:t>
      </w:r>
      <w:r>
        <w:t xml:space="preserve">ntation of policy and systems. </w:t>
      </w:r>
      <w:r w:rsidRPr="00EF5098">
        <w:t>The pilot, which included eleven</w:t>
      </w:r>
      <w:r w:rsidR="00071729">
        <w:t> </w:t>
      </w:r>
      <w:r w:rsidRPr="00EF5098">
        <w:t>compliance audits</w:t>
      </w:r>
      <w:r w:rsidR="00203AA8">
        <w:t xml:space="preserve"> covering over $25 billion of </w:t>
      </w:r>
      <w:r w:rsidR="00375236">
        <w:t xml:space="preserve">proposed </w:t>
      </w:r>
      <w:r w:rsidR="00203AA8">
        <w:t>investment</w:t>
      </w:r>
      <w:r w:rsidRPr="00EF5098">
        <w:t>, is now complete</w:t>
      </w:r>
      <w:r>
        <w:t xml:space="preserve">. </w:t>
      </w:r>
      <w:r w:rsidRPr="00EF5098">
        <w:t xml:space="preserve">Treasury has </w:t>
      </w:r>
      <w:r>
        <w:t xml:space="preserve">now </w:t>
      </w:r>
      <w:r w:rsidRPr="00EF5098">
        <w:t>established a</w:t>
      </w:r>
      <w:r w:rsidR="00EC69D8">
        <w:t>n</w:t>
      </w:r>
      <w:r w:rsidRPr="00EF5098">
        <w:t xml:space="preserve"> annual audit program against the compliance risk framework. The audit program was complemented by other compliance activities, such as reviews of identified compliance risk areas.</w:t>
      </w:r>
    </w:p>
    <w:p w14:paraId="464CA07F" w14:textId="3F2FD998" w:rsidR="008E5CA6" w:rsidRPr="004B653D" w:rsidRDefault="008E5CA6" w:rsidP="00A201F2">
      <w:r w:rsidRPr="004B653D">
        <w:t xml:space="preserve">These activities have </w:t>
      </w:r>
      <w:r w:rsidR="0085533E">
        <w:t>demonstrated</w:t>
      </w:r>
      <w:r w:rsidR="0085533E" w:rsidRPr="004B653D">
        <w:t xml:space="preserve"> </w:t>
      </w:r>
      <w:r w:rsidRPr="004B653D">
        <w:t>that foreign investors are largely meeting their obligations and</w:t>
      </w:r>
      <w:r w:rsidR="00E73061" w:rsidRPr="004B653D">
        <w:t>, to date, ha</w:t>
      </w:r>
      <w:r w:rsidR="00932EEB">
        <w:t>ve</w:t>
      </w:r>
      <w:r w:rsidRPr="004B653D">
        <w:t xml:space="preserve"> </w:t>
      </w:r>
      <w:r w:rsidR="00E73061" w:rsidRPr="004B653D">
        <w:t>not identified compliance issues warranting enforcement action</w:t>
      </w:r>
      <w:r w:rsidRPr="004B653D">
        <w:t xml:space="preserve">. </w:t>
      </w:r>
      <w:r w:rsidR="00E73061" w:rsidRPr="004B653D">
        <w:t>Treasury continues to work with foreign investors to ensure they can meet their compliance obligations.</w:t>
      </w:r>
    </w:p>
    <w:p w14:paraId="5877BCFC" w14:textId="376AA2F2" w:rsidR="008E5CA6" w:rsidRPr="004B653D" w:rsidRDefault="008E5CA6" w:rsidP="00A201F2">
      <w:r w:rsidRPr="004B653D">
        <w:t xml:space="preserve">Treasury has also </w:t>
      </w:r>
      <w:r w:rsidR="00DC1EE5">
        <w:t>strengthened</w:t>
      </w:r>
      <w:r w:rsidRPr="004B653D">
        <w:t xml:space="preserve"> its systems for handling and recording compliance activity, including establishing clearer enforcement policies and guidance, and building compliance information into its new case management system</w:t>
      </w:r>
      <w:r w:rsidR="00932EEB">
        <w:t xml:space="preserve"> (see page </w:t>
      </w:r>
      <w:r w:rsidR="00AA00A9">
        <w:t>20</w:t>
      </w:r>
      <w:r w:rsidR="00932EEB">
        <w:t xml:space="preserve"> for more details on the</w:t>
      </w:r>
      <w:r w:rsidR="003A57EC">
        <w:t xml:space="preserve"> related</w:t>
      </w:r>
      <w:r w:rsidR="00932EEB">
        <w:t xml:space="preserve"> </w:t>
      </w:r>
      <w:r w:rsidR="0012058E">
        <w:t>new </w:t>
      </w:r>
      <w:r w:rsidR="00520E3F">
        <w:t>FIRB</w:t>
      </w:r>
      <w:r w:rsidR="00932EEB">
        <w:t xml:space="preserve"> </w:t>
      </w:r>
      <w:r w:rsidR="003A57EC">
        <w:t>Application Portal</w:t>
      </w:r>
      <w:r w:rsidR="00932EEB">
        <w:t>)</w:t>
      </w:r>
      <w:r w:rsidRPr="004B653D">
        <w:t>.</w:t>
      </w:r>
    </w:p>
    <w:p w14:paraId="4CBE6703" w14:textId="72ECA996" w:rsidR="004423F4" w:rsidRDefault="008E5CA6" w:rsidP="00A201F2">
      <w:r w:rsidRPr="004B653D">
        <w:t>With the ATO, the Treasury has established the Cross-Agency Fore</w:t>
      </w:r>
      <w:r w:rsidR="00A85B8B" w:rsidRPr="004B653D">
        <w:t xml:space="preserve">ign Investment Compliance </w:t>
      </w:r>
      <w:r w:rsidR="00A75D90">
        <w:t>Forum.</w:t>
      </w:r>
      <w:r w:rsidR="00A85B8B" w:rsidRPr="004B653D">
        <w:t xml:space="preserve"> The </w:t>
      </w:r>
      <w:r w:rsidR="00A75D90">
        <w:t>F</w:t>
      </w:r>
      <w:r w:rsidRPr="004B653D">
        <w:t xml:space="preserve">orum </w:t>
      </w:r>
      <w:r w:rsidR="00A85B8B" w:rsidRPr="004B653D">
        <w:t>met twice in 2017-18, bringing</w:t>
      </w:r>
      <w:r w:rsidRPr="004B653D">
        <w:t xml:space="preserve"> together senior representatives of all agencies that have a role in supporting compliance with the Act.</w:t>
      </w:r>
      <w:r w:rsidR="00A85B8B" w:rsidRPr="004B653D">
        <w:t xml:space="preserve"> </w:t>
      </w:r>
      <w:r w:rsidR="00EF5098" w:rsidRPr="00EF5098">
        <w:t xml:space="preserve">The strategic conversations enabled by the </w:t>
      </w:r>
      <w:r w:rsidR="00A75D90">
        <w:t>F</w:t>
      </w:r>
      <w:r w:rsidR="00EF5098" w:rsidRPr="00EF5098">
        <w:t xml:space="preserve">orum will support the continuing strengthening of the compliance system that </w:t>
      </w:r>
      <w:r w:rsidR="0094507D">
        <w:t>underpins</w:t>
      </w:r>
      <w:r w:rsidR="0094507D" w:rsidRPr="004B653D">
        <w:t xml:space="preserve"> </w:t>
      </w:r>
      <w:r w:rsidR="00A85B8B" w:rsidRPr="004B653D">
        <w:t>the Act.</w:t>
      </w:r>
    </w:p>
    <w:tbl>
      <w:tblPr>
        <w:tblW w:w="0" w:type="auto"/>
        <w:tblLook w:val="04A0" w:firstRow="1" w:lastRow="0" w:firstColumn="1" w:lastColumn="0" w:noHBand="0" w:noVBand="1"/>
      </w:tblPr>
      <w:tblGrid>
        <w:gridCol w:w="7927"/>
      </w:tblGrid>
      <w:tr w:rsidR="004423F4" w14:paraId="2E9F020A" w14:textId="77777777" w:rsidTr="004423F4">
        <w:tc>
          <w:tcPr>
            <w:tcW w:w="7927" w:type="dxa"/>
          </w:tcPr>
          <w:p w14:paraId="6559AF1C" w14:textId="3A78A1E2" w:rsidR="004423F4" w:rsidRPr="0075316F" w:rsidRDefault="004423F4" w:rsidP="004423F4">
            <w:pPr>
              <w:pStyle w:val="BoxHeading"/>
            </w:pPr>
            <w:r w:rsidRPr="00503AF6">
              <w:rPr>
                <w:noProof/>
                <w:sz w:val="2"/>
                <w:szCs w:val="2"/>
              </w:rPr>
              <mc:AlternateContent>
                <mc:Choice Requires="wps">
                  <w:drawing>
                    <wp:anchor distT="0" distB="0" distL="114300" distR="114300" simplePos="0" relativeHeight="251658252" behindDoc="1" locked="0" layoutInCell="1" allowOverlap="1" wp14:anchorId="371DEBFD" wp14:editId="7A70B04D">
                      <wp:simplePos x="0" y="0"/>
                      <wp:positionH relativeFrom="column">
                        <wp:posOffset>-74016</wp:posOffset>
                      </wp:positionH>
                      <wp:positionV relativeFrom="paragraph">
                        <wp:posOffset>5232</wp:posOffset>
                      </wp:positionV>
                      <wp:extent cx="5029230" cy="3590925"/>
                      <wp:effectExtent l="0" t="0" r="0" b="9525"/>
                      <wp:wrapNone/>
                      <wp:docPr id="30" name="Rounded Rectangle 292"/>
                      <wp:cNvGraphicFramePr/>
                      <a:graphic xmlns:a="http://schemas.openxmlformats.org/drawingml/2006/main">
                        <a:graphicData uri="http://schemas.microsoft.com/office/word/2010/wordprocessingShape">
                          <wps:wsp>
                            <wps:cNvSpPr/>
                            <wps:spPr>
                              <a:xfrm>
                                <a:off x="0" y="0"/>
                                <a:ext cx="5029230" cy="3590925"/>
                              </a:xfrm>
                              <a:custGeom>
                                <a:avLst/>
                                <a:gdLst>
                                  <a:gd name="connsiteX0" fmla="*/ 0 w 1345565"/>
                                  <a:gd name="connsiteY0" fmla="*/ 250141 h 1492250"/>
                                  <a:gd name="connsiteX1" fmla="*/ 250141 w 1345565"/>
                                  <a:gd name="connsiteY1" fmla="*/ 0 h 1492250"/>
                                  <a:gd name="connsiteX2" fmla="*/ 1095424 w 1345565"/>
                                  <a:gd name="connsiteY2" fmla="*/ 0 h 1492250"/>
                                  <a:gd name="connsiteX3" fmla="*/ 1345565 w 1345565"/>
                                  <a:gd name="connsiteY3" fmla="*/ 250141 h 1492250"/>
                                  <a:gd name="connsiteX4" fmla="*/ 1345565 w 1345565"/>
                                  <a:gd name="connsiteY4" fmla="*/ 1242109 h 1492250"/>
                                  <a:gd name="connsiteX5" fmla="*/ 1095424 w 1345565"/>
                                  <a:gd name="connsiteY5" fmla="*/ 1492250 h 1492250"/>
                                  <a:gd name="connsiteX6" fmla="*/ 250141 w 1345565"/>
                                  <a:gd name="connsiteY6" fmla="*/ 1492250 h 1492250"/>
                                  <a:gd name="connsiteX7" fmla="*/ 0 w 1345565"/>
                                  <a:gd name="connsiteY7" fmla="*/ 1242109 h 1492250"/>
                                  <a:gd name="connsiteX8" fmla="*/ 0 w 1345565"/>
                                  <a:gd name="connsiteY8" fmla="*/ 250141 h 1492250"/>
                                  <a:gd name="connsiteX0" fmla="*/ 0 w 1345565"/>
                                  <a:gd name="connsiteY0" fmla="*/ 250141 h 1553649"/>
                                  <a:gd name="connsiteX1" fmla="*/ 250141 w 1345565"/>
                                  <a:gd name="connsiteY1" fmla="*/ 0 h 1553649"/>
                                  <a:gd name="connsiteX2" fmla="*/ 1095424 w 1345565"/>
                                  <a:gd name="connsiteY2" fmla="*/ 0 h 1553649"/>
                                  <a:gd name="connsiteX3" fmla="*/ 1345565 w 1345565"/>
                                  <a:gd name="connsiteY3" fmla="*/ 250141 h 1553649"/>
                                  <a:gd name="connsiteX4" fmla="*/ 1345565 w 1345565"/>
                                  <a:gd name="connsiteY4" fmla="*/ 1242109 h 1553649"/>
                                  <a:gd name="connsiteX5" fmla="*/ 1095424 w 1345565"/>
                                  <a:gd name="connsiteY5" fmla="*/ 1492250 h 1553649"/>
                                  <a:gd name="connsiteX6" fmla="*/ 250141 w 1345565"/>
                                  <a:gd name="connsiteY6" fmla="*/ 1492250 h 1553649"/>
                                  <a:gd name="connsiteX7" fmla="*/ 0 w 1345565"/>
                                  <a:gd name="connsiteY7" fmla="*/ 1492250 h 1553649"/>
                                  <a:gd name="connsiteX8" fmla="*/ 0 w 1345565"/>
                                  <a:gd name="connsiteY8" fmla="*/ 250141 h 1553649"/>
                                  <a:gd name="connsiteX0" fmla="*/ 61399 w 1406964"/>
                                  <a:gd name="connsiteY0" fmla="*/ 250141 h 1553759"/>
                                  <a:gd name="connsiteX1" fmla="*/ 311540 w 1406964"/>
                                  <a:gd name="connsiteY1" fmla="*/ 0 h 1553759"/>
                                  <a:gd name="connsiteX2" fmla="*/ 1156823 w 1406964"/>
                                  <a:gd name="connsiteY2" fmla="*/ 0 h 1553759"/>
                                  <a:gd name="connsiteX3" fmla="*/ 1406964 w 1406964"/>
                                  <a:gd name="connsiteY3" fmla="*/ 250141 h 1553759"/>
                                  <a:gd name="connsiteX4" fmla="*/ 1406964 w 1406964"/>
                                  <a:gd name="connsiteY4" fmla="*/ 1242109 h 1553759"/>
                                  <a:gd name="connsiteX5" fmla="*/ 1156823 w 1406964"/>
                                  <a:gd name="connsiteY5" fmla="*/ 1492250 h 1553759"/>
                                  <a:gd name="connsiteX6" fmla="*/ 61399 w 1406964"/>
                                  <a:gd name="connsiteY6" fmla="*/ 1492672 h 1553759"/>
                                  <a:gd name="connsiteX7" fmla="*/ 61399 w 1406964"/>
                                  <a:gd name="connsiteY7" fmla="*/ 1492250 h 1553759"/>
                                  <a:gd name="connsiteX8" fmla="*/ 61399 w 1406964"/>
                                  <a:gd name="connsiteY8" fmla="*/ 250141 h 1553759"/>
                                  <a:gd name="connsiteX0" fmla="*/ 498 w 1346063"/>
                                  <a:gd name="connsiteY0" fmla="*/ 250141 h 1553216"/>
                                  <a:gd name="connsiteX1" fmla="*/ 250639 w 1346063"/>
                                  <a:gd name="connsiteY1" fmla="*/ 0 h 1553216"/>
                                  <a:gd name="connsiteX2" fmla="*/ 1095922 w 1346063"/>
                                  <a:gd name="connsiteY2" fmla="*/ 0 h 1553216"/>
                                  <a:gd name="connsiteX3" fmla="*/ 1346063 w 1346063"/>
                                  <a:gd name="connsiteY3" fmla="*/ 250141 h 1553216"/>
                                  <a:gd name="connsiteX4" fmla="*/ 1346063 w 1346063"/>
                                  <a:gd name="connsiteY4" fmla="*/ 1242109 h 1553216"/>
                                  <a:gd name="connsiteX5" fmla="*/ 1095922 w 1346063"/>
                                  <a:gd name="connsiteY5" fmla="*/ 1492250 h 1553216"/>
                                  <a:gd name="connsiteX6" fmla="*/ 498 w 1346063"/>
                                  <a:gd name="connsiteY6" fmla="*/ 1492672 h 1553216"/>
                                  <a:gd name="connsiteX7" fmla="*/ 498 w 1346063"/>
                                  <a:gd name="connsiteY7" fmla="*/ 1492250 h 1553216"/>
                                  <a:gd name="connsiteX8" fmla="*/ 498 w 1346063"/>
                                  <a:gd name="connsiteY8" fmla="*/ 250141 h 1553216"/>
                                  <a:gd name="connsiteX0" fmla="*/ 200 w 1345765"/>
                                  <a:gd name="connsiteY0" fmla="*/ 250141 h 1492672"/>
                                  <a:gd name="connsiteX1" fmla="*/ 250341 w 1345765"/>
                                  <a:gd name="connsiteY1" fmla="*/ 0 h 1492672"/>
                                  <a:gd name="connsiteX2" fmla="*/ 1095624 w 1345765"/>
                                  <a:gd name="connsiteY2" fmla="*/ 0 h 1492672"/>
                                  <a:gd name="connsiteX3" fmla="*/ 1345765 w 1345765"/>
                                  <a:gd name="connsiteY3" fmla="*/ 250141 h 1492672"/>
                                  <a:gd name="connsiteX4" fmla="*/ 1345765 w 1345765"/>
                                  <a:gd name="connsiteY4" fmla="*/ 1242109 h 1492672"/>
                                  <a:gd name="connsiteX5" fmla="*/ 1095624 w 1345765"/>
                                  <a:gd name="connsiteY5" fmla="*/ 1492250 h 1492672"/>
                                  <a:gd name="connsiteX6" fmla="*/ 200 w 1345765"/>
                                  <a:gd name="connsiteY6" fmla="*/ 1492672 h 1492672"/>
                                  <a:gd name="connsiteX7" fmla="*/ 200 w 1345765"/>
                                  <a:gd name="connsiteY7" fmla="*/ 1492250 h 1492672"/>
                                  <a:gd name="connsiteX8" fmla="*/ 200 w 1345765"/>
                                  <a:gd name="connsiteY8" fmla="*/ 250141 h 1492672"/>
                                  <a:gd name="connsiteX0" fmla="*/ 200 w 1407164"/>
                                  <a:gd name="connsiteY0" fmla="*/ 250141 h 1492672"/>
                                  <a:gd name="connsiteX1" fmla="*/ 250341 w 1407164"/>
                                  <a:gd name="connsiteY1" fmla="*/ 0 h 1492672"/>
                                  <a:gd name="connsiteX2" fmla="*/ 1095624 w 1407164"/>
                                  <a:gd name="connsiteY2" fmla="*/ 0 h 1492672"/>
                                  <a:gd name="connsiteX3" fmla="*/ 1345765 w 1407164"/>
                                  <a:gd name="connsiteY3" fmla="*/ 250141 h 1492672"/>
                                  <a:gd name="connsiteX4" fmla="*/ 1345765 w 1407164"/>
                                  <a:gd name="connsiteY4" fmla="*/ 1242109 h 1492672"/>
                                  <a:gd name="connsiteX5" fmla="*/ 1345765 w 1407164"/>
                                  <a:gd name="connsiteY5" fmla="*/ 1492672 h 1492672"/>
                                  <a:gd name="connsiteX6" fmla="*/ 200 w 1407164"/>
                                  <a:gd name="connsiteY6" fmla="*/ 1492672 h 1492672"/>
                                  <a:gd name="connsiteX7" fmla="*/ 200 w 1407164"/>
                                  <a:gd name="connsiteY7" fmla="*/ 1492250 h 1492672"/>
                                  <a:gd name="connsiteX8" fmla="*/ 200 w 1407164"/>
                                  <a:gd name="connsiteY8" fmla="*/ 250141 h 1492672"/>
                                  <a:gd name="connsiteX0" fmla="*/ 200 w 1407947"/>
                                  <a:gd name="connsiteY0" fmla="*/ 250141 h 1554071"/>
                                  <a:gd name="connsiteX1" fmla="*/ 250341 w 1407947"/>
                                  <a:gd name="connsiteY1" fmla="*/ 0 h 1554071"/>
                                  <a:gd name="connsiteX2" fmla="*/ 1095624 w 1407947"/>
                                  <a:gd name="connsiteY2" fmla="*/ 0 h 1554071"/>
                                  <a:gd name="connsiteX3" fmla="*/ 1345765 w 1407947"/>
                                  <a:gd name="connsiteY3" fmla="*/ 250141 h 1554071"/>
                                  <a:gd name="connsiteX4" fmla="*/ 1348747 w 1407947"/>
                                  <a:gd name="connsiteY4" fmla="*/ 1492672 h 1554071"/>
                                  <a:gd name="connsiteX5" fmla="*/ 1345765 w 1407947"/>
                                  <a:gd name="connsiteY5" fmla="*/ 1492672 h 1554071"/>
                                  <a:gd name="connsiteX6" fmla="*/ 200 w 1407947"/>
                                  <a:gd name="connsiteY6" fmla="*/ 1492672 h 1554071"/>
                                  <a:gd name="connsiteX7" fmla="*/ 200 w 1407947"/>
                                  <a:gd name="connsiteY7" fmla="*/ 1492250 h 1554071"/>
                                  <a:gd name="connsiteX8" fmla="*/ 200 w 1407947"/>
                                  <a:gd name="connsiteY8" fmla="*/ 250141 h 1554071"/>
                                  <a:gd name="connsiteX0" fmla="*/ 200 w 1406648"/>
                                  <a:gd name="connsiteY0" fmla="*/ 250141 h 1493274"/>
                                  <a:gd name="connsiteX1" fmla="*/ 250341 w 1406648"/>
                                  <a:gd name="connsiteY1" fmla="*/ 0 h 1493274"/>
                                  <a:gd name="connsiteX2" fmla="*/ 1095624 w 1406648"/>
                                  <a:gd name="connsiteY2" fmla="*/ 0 h 1493274"/>
                                  <a:gd name="connsiteX3" fmla="*/ 1345765 w 1406648"/>
                                  <a:gd name="connsiteY3" fmla="*/ 250141 h 1493274"/>
                                  <a:gd name="connsiteX4" fmla="*/ 1348747 w 1406648"/>
                                  <a:gd name="connsiteY4" fmla="*/ 1492672 h 1493274"/>
                                  <a:gd name="connsiteX5" fmla="*/ 1345765 w 1406648"/>
                                  <a:gd name="connsiteY5" fmla="*/ 1492672 h 1493274"/>
                                  <a:gd name="connsiteX6" fmla="*/ 200 w 1406648"/>
                                  <a:gd name="connsiteY6" fmla="*/ 1492672 h 1493274"/>
                                  <a:gd name="connsiteX7" fmla="*/ 200 w 1406648"/>
                                  <a:gd name="connsiteY7" fmla="*/ 1492250 h 1493274"/>
                                  <a:gd name="connsiteX8" fmla="*/ 200 w 1406648"/>
                                  <a:gd name="connsiteY8" fmla="*/ 250141 h 1493274"/>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09562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5765 w 1348747"/>
                                  <a:gd name="connsiteY3" fmla="*/ 250141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178494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250341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200 w 1348747"/>
                                  <a:gd name="connsiteY0" fmla="*/ 250141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200 w 1348747"/>
                                  <a:gd name="connsiteY8" fmla="*/ 250141 h 1493370"/>
                                  <a:gd name="connsiteX0" fmla="*/ 0 w 1348747"/>
                                  <a:gd name="connsiteY0" fmla="*/ 165456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65456 h 1493370"/>
                                  <a:gd name="connsiteX0" fmla="*/ 0 w 1348747"/>
                                  <a:gd name="connsiteY0" fmla="*/ 191920 h 1493370"/>
                                  <a:gd name="connsiteX1" fmla="*/ 141354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191920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191920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7228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465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215738 h 1493370"/>
                                  <a:gd name="connsiteX1" fmla="*/ 156313 w 1348747"/>
                                  <a:gd name="connsiteY1" fmla="*/ 0 h 1493370"/>
                                  <a:gd name="connsiteX2" fmla="*/ 1235646 w 1348747"/>
                                  <a:gd name="connsiteY2" fmla="*/ 0 h 1493370"/>
                                  <a:gd name="connsiteX3" fmla="*/ 1348747 w 1348747"/>
                                  <a:gd name="connsiteY3" fmla="*/ 117797 h 1493370"/>
                                  <a:gd name="connsiteX4" fmla="*/ 1348747 w 1348747"/>
                                  <a:gd name="connsiteY4" fmla="*/ 1492672 h 1493370"/>
                                  <a:gd name="connsiteX5" fmla="*/ 1345765 w 1348747"/>
                                  <a:gd name="connsiteY5" fmla="*/ 1492672 h 1493370"/>
                                  <a:gd name="connsiteX6" fmla="*/ 200 w 1348747"/>
                                  <a:gd name="connsiteY6" fmla="*/ 1492672 h 1493370"/>
                                  <a:gd name="connsiteX7" fmla="*/ 200 w 1348747"/>
                                  <a:gd name="connsiteY7" fmla="*/ 1492250 h 1493370"/>
                                  <a:gd name="connsiteX8" fmla="*/ 0 w 1348747"/>
                                  <a:gd name="connsiteY8" fmla="*/ 215738 h 1493370"/>
                                  <a:gd name="connsiteX0" fmla="*/ 0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0 w 1348747"/>
                                  <a:gd name="connsiteY8" fmla="*/ 119398 h 1494831"/>
                                  <a:gd name="connsiteX0" fmla="*/ 0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0 w 1348747"/>
                                  <a:gd name="connsiteY8" fmla="*/ 119398 h 1494831"/>
                                  <a:gd name="connsiteX0" fmla="*/ 23507 w 1348747"/>
                                  <a:gd name="connsiteY0" fmla="*/ 119398 h 1494831"/>
                                  <a:gd name="connsiteX1" fmla="*/ 156313 w 1348747"/>
                                  <a:gd name="connsiteY1" fmla="*/ 1461 h 1494831"/>
                                  <a:gd name="connsiteX2" fmla="*/ 1235646 w 1348747"/>
                                  <a:gd name="connsiteY2" fmla="*/ 1461 h 1494831"/>
                                  <a:gd name="connsiteX3" fmla="*/ 1348747 w 1348747"/>
                                  <a:gd name="connsiteY3" fmla="*/ 119258 h 1494831"/>
                                  <a:gd name="connsiteX4" fmla="*/ 1348747 w 1348747"/>
                                  <a:gd name="connsiteY4" fmla="*/ 1494133 h 1494831"/>
                                  <a:gd name="connsiteX5" fmla="*/ 1345765 w 1348747"/>
                                  <a:gd name="connsiteY5" fmla="*/ 1494133 h 1494831"/>
                                  <a:gd name="connsiteX6" fmla="*/ 200 w 1348747"/>
                                  <a:gd name="connsiteY6" fmla="*/ 1494133 h 1494831"/>
                                  <a:gd name="connsiteX7" fmla="*/ 200 w 1348747"/>
                                  <a:gd name="connsiteY7" fmla="*/ 1493711 h 1494831"/>
                                  <a:gd name="connsiteX8" fmla="*/ 23507 w 1348747"/>
                                  <a:gd name="connsiteY8" fmla="*/ 119398 h 1494831"/>
                                  <a:gd name="connsiteX0" fmla="*/ 0 w 1348747"/>
                                  <a:gd name="connsiteY0" fmla="*/ 117360 h 1495238"/>
                                  <a:gd name="connsiteX1" fmla="*/ 156313 w 1348747"/>
                                  <a:gd name="connsiteY1" fmla="*/ 1868 h 1495238"/>
                                  <a:gd name="connsiteX2" fmla="*/ 1235646 w 1348747"/>
                                  <a:gd name="connsiteY2" fmla="*/ 1868 h 1495238"/>
                                  <a:gd name="connsiteX3" fmla="*/ 1348747 w 1348747"/>
                                  <a:gd name="connsiteY3" fmla="*/ 119665 h 1495238"/>
                                  <a:gd name="connsiteX4" fmla="*/ 1348747 w 1348747"/>
                                  <a:gd name="connsiteY4" fmla="*/ 1494540 h 1495238"/>
                                  <a:gd name="connsiteX5" fmla="*/ 1345765 w 1348747"/>
                                  <a:gd name="connsiteY5" fmla="*/ 1494540 h 1495238"/>
                                  <a:gd name="connsiteX6" fmla="*/ 200 w 1348747"/>
                                  <a:gd name="connsiteY6" fmla="*/ 1494540 h 1495238"/>
                                  <a:gd name="connsiteX7" fmla="*/ 200 w 1348747"/>
                                  <a:gd name="connsiteY7" fmla="*/ 1494118 h 1495238"/>
                                  <a:gd name="connsiteX8" fmla="*/ 0 w 1348747"/>
                                  <a:gd name="connsiteY8" fmla="*/ 117360 h 1495238"/>
                                  <a:gd name="connsiteX0" fmla="*/ 0 w 1348747"/>
                                  <a:gd name="connsiteY0" fmla="*/ 118912 h 1496790"/>
                                  <a:gd name="connsiteX1" fmla="*/ 105025 w 1348747"/>
                                  <a:gd name="connsiteY1" fmla="*/ 1552 h 1496790"/>
                                  <a:gd name="connsiteX2" fmla="*/ 1235646 w 1348747"/>
                                  <a:gd name="connsiteY2" fmla="*/ 3420 h 1496790"/>
                                  <a:gd name="connsiteX3" fmla="*/ 1348747 w 1348747"/>
                                  <a:gd name="connsiteY3" fmla="*/ 121217 h 1496790"/>
                                  <a:gd name="connsiteX4" fmla="*/ 1348747 w 1348747"/>
                                  <a:gd name="connsiteY4" fmla="*/ 1496092 h 1496790"/>
                                  <a:gd name="connsiteX5" fmla="*/ 1345765 w 1348747"/>
                                  <a:gd name="connsiteY5" fmla="*/ 1496092 h 1496790"/>
                                  <a:gd name="connsiteX6" fmla="*/ 200 w 1348747"/>
                                  <a:gd name="connsiteY6" fmla="*/ 1496092 h 1496790"/>
                                  <a:gd name="connsiteX7" fmla="*/ 200 w 1348747"/>
                                  <a:gd name="connsiteY7" fmla="*/ 1495670 h 1496790"/>
                                  <a:gd name="connsiteX8" fmla="*/ 0 w 1348747"/>
                                  <a:gd name="connsiteY8" fmla="*/ 118912 h 1496790"/>
                                  <a:gd name="connsiteX0" fmla="*/ 0 w 1348747"/>
                                  <a:gd name="connsiteY0" fmla="*/ 121872 h 1499750"/>
                                  <a:gd name="connsiteX1" fmla="*/ 105025 w 1348747"/>
                                  <a:gd name="connsiteY1" fmla="*/ 4512 h 1499750"/>
                                  <a:gd name="connsiteX2" fmla="*/ 1235646 w 1348747"/>
                                  <a:gd name="connsiteY2" fmla="*/ 6380 h 1499750"/>
                                  <a:gd name="connsiteX3" fmla="*/ 1348747 w 1348747"/>
                                  <a:gd name="connsiteY3" fmla="*/ 124177 h 1499750"/>
                                  <a:gd name="connsiteX4" fmla="*/ 1348747 w 1348747"/>
                                  <a:gd name="connsiteY4" fmla="*/ 1499052 h 1499750"/>
                                  <a:gd name="connsiteX5" fmla="*/ 1345765 w 1348747"/>
                                  <a:gd name="connsiteY5" fmla="*/ 1499052 h 1499750"/>
                                  <a:gd name="connsiteX6" fmla="*/ 200 w 1348747"/>
                                  <a:gd name="connsiteY6" fmla="*/ 1499052 h 1499750"/>
                                  <a:gd name="connsiteX7" fmla="*/ 200 w 1348747"/>
                                  <a:gd name="connsiteY7" fmla="*/ 1498630 h 1499750"/>
                                  <a:gd name="connsiteX8" fmla="*/ 0 w 1348747"/>
                                  <a:gd name="connsiteY8" fmla="*/ 121872 h 1499750"/>
                                  <a:gd name="connsiteX0" fmla="*/ 0 w 1348747"/>
                                  <a:gd name="connsiteY0" fmla="*/ 118913 h 1496791"/>
                                  <a:gd name="connsiteX1" fmla="*/ 105025 w 1348747"/>
                                  <a:gd name="connsiteY1" fmla="*/ 1553 h 1496791"/>
                                  <a:gd name="connsiteX2" fmla="*/ 1235646 w 1348747"/>
                                  <a:gd name="connsiteY2" fmla="*/ 3421 h 1496791"/>
                                  <a:gd name="connsiteX3" fmla="*/ 1348747 w 1348747"/>
                                  <a:gd name="connsiteY3" fmla="*/ 121218 h 1496791"/>
                                  <a:gd name="connsiteX4" fmla="*/ 1348747 w 1348747"/>
                                  <a:gd name="connsiteY4" fmla="*/ 1496093 h 1496791"/>
                                  <a:gd name="connsiteX5" fmla="*/ 1345765 w 1348747"/>
                                  <a:gd name="connsiteY5" fmla="*/ 1496093 h 1496791"/>
                                  <a:gd name="connsiteX6" fmla="*/ 200 w 1348747"/>
                                  <a:gd name="connsiteY6" fmla="*/ 1496093 h 1496791"/>
                                  <a:gd name="connsiteX7" fmla="*/ 200 w 1348747"/>
                                  <a:gd name="connsiteY7" fmla="*/ 1495671 h 1496791"/>
                                  <a:gd name="connsiteX8" fmla="*/ 0 w 1348747"/>
                                  <a:gd name="connsiteY8" fmla="*/ 118913 h 1496791"/>
                                  <a:gd name="connsiteX0" fmla="*/ 0 w 1348747"/>
                                  <a:gd name="connsiteY0" fmla="*/ 118913 h 1496791"/>
                                  <a:gd name="connsiteX1" fmla="*/ 105025 w 1348747"/>
                                  <a:gd name="connsiteY1" fmla="*/ 1553 h 1496791"/>
                                  <a:gd name="connsiteX2" fmla="*/ 1235646 w 1348747"/>
                                  <a:gd name="connsiteY2" fmla="*/ 3421 h 1496791"/>
                                  <a:gd name="connsiteX3" fmla="*/ 1348747 w 1348747"/>
                                  <a:gd name="connsiteY3" fmla="*/ 121218 h 1496791"/>
                                  <a:gd name="connsiteX4" fmla="*/ 1348747 w 1348747"/>
                                  <a:gd name="connsiteY4" fmla="*/ 1496093 h 1496791"/>
                                  <a:gd name="connsiteX5" fmla="*/ 1345765 w 1348747"/>
                                  <a:gd name="connsiteY5" fmla="*/ 1496093 h 1496791"/>
                                  <a:gd name="connsiteX6" fmla="*/ 200 w 1348747"/>
                                  <a:gd name="connsiteY6" fmla="*/ 1496093 h 1496791"/>
                                  <a:gd name="connsiteX7" fmla="*/ 200 w 1348747"/>
                                  <a:gd name="connsiteY7" fmla="*/ 1495671 h 1496791"/>
                                  <a:gd name="connsiteX8" fmla="*/ 0 w 1348747"/>
                                  <a:gd name="connsiteY8" fmla="*/ 118913 h 1496791"/>
                                  <a:gd name="connsiteX0" fmla="*/ 0 w 1348747"/>
                                  <a:gd name="connsiteY0" fmla="*/ 117360 h 1495238"/>
                                  <a:gd name="connsiteX1" fmla="*/ 105025 w 1348747"/>
                                  <a:gd name="connsiteY1" fmla="*/ 0 h 1495238"/>
                                  <a:gd name="connsiteX2" fmla="*/ 1235646 w 1348747"/>
                                  <a:gd name="connsiteY2" fmla="*/ 1868 h 1495238"/>
                                  <a:gd name="connsiteX3" fmla="*/ 1348747 w 1348747"/>
                                  <a:gd name="connsiteY3" fmla="*/ 119665 h 1495238"/>
                                  <a:gd name="connsiteX4" fmla="*/ 1348747 w 1348747"/>
                                  <a:gd name="connsiteY4" fmla="*/ 1494540 h 1495238"/>
                                  <a:gd name="connsiteX5" fmla="*/ 1345765 w 1348747"/>
                                  <a:gd name="connsiteY5" fmla="*/ 1494540 h 1495238"/>
                                  <a:gd name="connsiteX6" fmla="*/ 200 w 1348747"/>
                                  <a:gd name="connsiteY6" fmla="*/ 1494540 h 1495238"/>
                                  <a:gd name="connsiteX7" fmla="*/ 200 w 1348747"/>
                                  <a:gd name="connsiteY7" fmla="*/ 1494118 h 1495238"/>
                                  <a:gd name="connsiteX8" fmla="*/ 0 w 1348747"/>
                                  <a:gd name="connsiteY8" fmla="*/ 117360 h 1495238"/>
                                  <a:gd name="connsiteX0" fmla="*/ 7538 w 1348747"/>
                                  <a:gd name="connsiteY0" fmla="*/ 111354 h 1495270"/>
                                  <a:gd name="connsiteX1" fmla="*/ 105025 w 1348747"/>
                                  <a:gd name="connsiteY1" fmla="*/ 32 h 1495270"/>
                                  <a:gd name="connsiteX2" fmla="*/ 1235646 w 1348747"/>
                                  <a:gd name="connsiteY2" fmla="*/ 1900 h 1495270"/>
                                  <a:gd name="connsiteX3" fmla="*/ 1348747 w 1348747"/>
                                  <a:gd name="connsiteY3" fmla="*/ 119697 h 1495270"/>
                                  <a:gd name="connsiteX4" fmla="*/ 1348747 w 1348747"/>
                                  <a:gd name="connsiteY4" fmla="*/ 1494572 h 1495270"/>
                                  <a:gd name="connsiteX5" fmla="*/ 1345765 w 1348747"/>
                                  <a:gd name="connsiteY5" fmla="*/ 1494572 h 1495270"/>
                                  <a:gd name="connsiteX6" fmla="*/ 200 w 1348747"/>
                                  <a:gd name="connsiteY6" fmla="*/ 1494572 h 1495270"/>
                                  <a:gd name="connsiteX7" fmla="*/ 200 w 1348747"/>
                                  <a:gd name="connsiteY7" fmla="*/ 1494150 h 1495270"/>
                                  <a:gd name="connsiteX8" fmla="*/ 7538 w 1348747"/>
                                  <a:gd name="connsiteY8" fmla="*/ 111354 h 1495270"/>
                                  <a:gd name="connsiteX0" fmla="*/ 0 w 1348747"/>
                                  <a:gd name="connsiteY0" fmla="*/ 114774 h 1495240"/>
                                  <a:gd name="connsiteX1" fmla="*/ 105025 w 1348747"/>
                                  <a:gd name="connsiteY1" fmla="*/ 2 h 1495240"/>
                                  <a:gd name="connsiteX2" fmla="*/ 1235646 w 1348747"/>
                                  <a:gd name="connsiteY2" fmla="*/ 1870 h 1495240"/>
                                  <a:gd name="connsiteX3" fmla="*/ 1348747 w 1348747"/>
                                  <a:gd name="connsiteY3" fmla="*/ 119667 h 1495240"/>
                                  <a:gd name="connsiteX4" fmla="*/ 1348747 w 1348747"/>
                                  <a:gd name="connsiteY4" fmla="*/ 1494542 h 1495240"/>
                                  <a:gd name="connsiteX5" fmla="*/ 1345765 w 1348747"/>
                                  <a:gd name="connsiteY5" fmla="*/ 1494542 h 1495240"/>
                                  <a:gd name="connsiteX6" fmla="*/ 200 w 1348747"/>
                                  <a:gd name="connsiteY6" fmla="*/ 1494542 h 1495240"/>
                                  <a:gd name="connsiteX7" fmla="*/ 200 w 1348747"/>
                                  <a:gd name="connsiteY7" fmla="*/ 1494120 h 1495240"/>
                                  <a:gd name="connsiteX8" fmla="*/ 0 w 1348747"/>
                                  <a:gd name="connsiteY8" fmla="*/ 114774 h 1495240"/>
                                  <a:gd name="connsiteX0" fmla="*/ 5146 w 1353893"/>
                                  <a:gd name="connsiteY0" fmla="*/ 114772 h 1495238"/>
                                  <a:gd name="connsiteX1" fmla="*/ 110171 w 1353893"/>
                                  <a:gd name="connsiteY1" fmla="*/ 0 h 1495238"/>
                                  <a:gd name="connsiteX2" fmla="*/ 1240792 w 1353893"/>
                                  <a:gd name="connsiteY2" fmla="*/ 1868 h 1495238"/>
                                  <a:gd name="connsiteX3" fmla="*/ 1353893 w 1353893"/>
                                  <a:gd name="connsiteY3" fmla="*/ 119665 h 1495238"/>
                                  <a:gd name="connsiteX4" fmla="*/ 1353893 w 1353893"/>
                                  <a:gd name="connsiteY4" fmla="*/ 1494540 h 1495238"/>
                                  <a:gd name="connsiteX5" fmla="*/ 1350911 w 1353893"/>
                                  <a:gd name="connsiteY5" fmla="*/ 1494540 h 1495238"/>
                                  <a:gd name="connsiteX6" fmla="*/ 5346 w 1353893"/>
                                  <a:gd name="connsiteY6" fmla="*/ 1494540 h 1495238"/>
                                  <a:gd name="connsiteX7" fmla="*/ 5346 w 1353893"/>
                                  <a:gd name="connsiteY7" fmla="*/ 1494118 h 1495238"/>
                                  <a:gd name="connsiteX8" fmla="*/ 5146 w 1353893"/>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184 w 1348931"/>
                                  <a:gd name="connsiteY0" fmla="*/ 114772 h 1495238"/>
                                  <a:gd name="connsiteX1" fmla="*/ 105209 w 1348931"/>
                                  <a:gd name="connsiteY1" fmla="*/ 0 h 1495238"/>
                                  <a:gd name="connsiteX2" fmla="*/ 1235830 w 1348931"/>
                                  <a:gd name="connsiteY2" fmla="*/ 1868 h 1495238"/>
                                  <a:gd name="connsiteX3" fmla="*/ 1348931 w 1348931"/>
                                  <a:gd name="connsiteY3" fmla="*/ 119665 h 1495238"/>
                                  <a:gd name="connsiteX4" fmla="*/ 1348931 w 1348931"/>
                                  <a:gd name="connsiteY4" fmla="*/ 1494540 h 1495238"/>
                                  <a:gd name="connsiteX5" fmla="*/ 1345949 w 1348931"/>
                                  <a:gd name="connsiteY5" fmla="*/ 1494540 h 1495238"/>
                                  <a:gd name="connsiteX6" fmla="*/ 384 w 1348931"/>
                                  <a:gd name="connsiteY6" fmla="*/ 1494540 h 1495238"/>
                                  <a:gd name="connsiteX7" fmla="*/ 384 w 1348931"/>
                                  <a:gd name="connsiteY7" fmla="*/ 1494118 h 1495238"/>
                                  <a:gd name="connsiteX8" fmla="*/ 184 w 1348931"/>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1868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19665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9115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0780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0780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0780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07808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70966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70966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9 w 1348756"/>
                                  <a:gd name="connsiteY0" fmla="*/ 114772 h 1495238"/>
                                  <a:gd name="connsiteX1" fmla="*/ 105034 w 1348756"/>
                                  <a:gd name="connsiteY1" fmla="*/ 0 h 1495238"/>
                                  <a:gd name="connsiteX2" fmla="*/ 1235655 w 1348756"/>
                                  <a:gd name="connsiteY2" fmla="*/ 0 h 1495238"/>
                                  <a:gd name="connsiteX3" fmla="*/ 1348756 w 1348756"/>
                                  <a:gd name="connsiteY3" fmla="*/ 170966 h 1495238"/>
                                  <a:gd name="connsiteX4" fmla="*/ 1348756 w 1348756"/>
                                  <a:gd name="connsiteY4" fmla="*/ 1494540 h 1495238"/>
                                  <a:gd name="connsiteX5" fmla="*/ 1345774 w 1348756"/>
                                  <a:gd name="connsiteY5" fmla="*/ 1494540 h 1495238"/>
                                  <a:gd name="connsiteX6" fmla="*/ 209 w 1348756"/>
                                  <a:gd name="connsiteY6" fmla="*/ 1494540 h 1495238"/>
                                  <a:gd name="connsiteX7" fmla="*/ 209 w 1348756"/>
                                  <a:gd name="connsiteY7" fmla="*/ 1494118 h 1495238"/>
                                  <a:gd name="connsiteX8" fmla="*/ 9 w 1348756"/>
                                  <a:gd name="connsiteY8" fmla="*/ 114772 h 1495238"/>
                                  <a:gd name="connsiteX0" fmla="*/ 8 w 1348764"/>
                                  <a:gd name="connsiteY0" fmla="*/ 154370 h 1495238"/>
                                  <a:gd name="connsiteX1" fmla="*/ 105042 w 1348764"/>
                                  <a:gd name="connsiteY1" fmla="*/ 0 h 1495238"/>
                                  <a:gd name="connsiteX2" fmla="*/ 1235663 w 1348764"/>
                                  <a:gd name="connsiteY2" fmla="*/ 0 h 1495238"/>
                                  <a:gd name="connsiteX3" fmla="*/ 1348764 w 1348764"/>
                                  <a:gd name="connsiteY3" fmla="*/ 170966 h 1495238"/>
                                  <a:gd name="connsiteX4" fmla="*/ 1348764 w 1348764"/>
                                  <a:gd name="connsiteY4" fmla="*/ 1494540 h 1495238"/>
                                  <a:gd name="connsiteX5" fmla="*/ 1345782 w 1348764"/>
                                  <a:gd name="connsiteY5" fmla="*/ 1494540 h 1495238"/>
                                  <a:gd name="connsiteX6" fmla="*/ 217 w 1348764"/>
                                  <a:gd name="connsiteY6" fmla="*/ 1494540 h 1495238"/>
                                  <a:gd name="connsiteX7" fmla="*/ 217 w 1348764"/>
                                  <a:gd name="connsiteY7" fmla="*/ 1494118 h 1495238"/>
                                  <a:gd name="connsiteX8" fmla="*/ 8 w 1348764"/>
                                  <a:gd name="connsiteY8" fmla="*/ 154370 h 1495238"/>
                                  <a:gd name="connsiteX0" fmla="*/ 8 w 1348764"/>
                                  <a:gd name="connsiteY0" fmla="*/ 154370 h 1495238"/>
                                  <a:gd name="connsiteX1" fmla="*/ 105042 w 1348764"/>
                                  <a:gd name="connsiteY1" fmla="*/ 0 h 1495238"/>
                                  <a:gd name="connsiteX2" fmla="*/ 1235663 w 1348764"/>
                                  <a:gd name="connsiteY2" fmla="*/ 0 h 1495238"/>
                                  <a:gd name="connsiteX3" fmla="*/ 1348764 w 1348764"/>
                                  <a:gd name="connsiteY3" fmla="*/ 170966 h 1495238"/>
                                  <a:gd name="connsiteX4" fmla="*/ 1348764 w 1348764"/>
                                  <a:gd name="connsiteY4" fmla="*/ 1494540 h 1495238"/>
                                  <a:gd name="connsiteX5" fmla="*/ 1345782 w 1348764"/>
                                  <a:gd name="connsiteY5" fmla="*/ 1494540 h 1495238"/>
                                  <a:gd name="connsiteX6" fmla="*/ 217 w 1348764"/>
                                  <a:gd name="connsiteY6" fmla="*/ 1494540 h 1495238"/>
                                  <a:gd name="connsiteX7" fmla="*/ 217 w 1348764"/>
                                  <a:gd name="connsiteY7" fmla="*/ 1494118 h 1495238"/>
                                  <a:gd name="connsiteX8" fmla="*/ 8 w 1348764"/>
                                  <a:gd name="connsiteY8" fmla="*/ 154370 h 1495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8764" h="1495238">
                                    <a:moveTo>
                                      <a:pt x="8" y="154370"/>
                                    </a:moveTo>
                                    <a:cubicBezTo>
                                      <a:pt x="-615" y="67117"/>
                                      <a:pt x="34526" y="1675"/>
                                      <a:pt x="105042" y="0"/>
                                    </a:cubicBezTo>
                                    <a:lnTo>
                                      <a:pt x="1235663" y="0"/>
                                    </a:lnTo>
                                    <a:cubicBezTo>
                                      <a:pt x="1348871" y="171728"/>
                                      <a:pt x="1236010" y="-2175"/>
                                      <a:pt x="1348764" y="170966"/>
                                    </a:cubicBezTo>
                                    <a:lnTo>
                                      <a:pt x="1348764" y="1494540"/>
                                    </a:lnTo>
                                    <a:cubicBezTo>
                                      <a:pt x="1342952" y="1495895"/>
                                      <a:pt x="1344059" y="1494929"/>
                                      <a:pt x="1345782" y="1494540"/>
                                    </a:cubicBezTo>
                                    <a:lnTo>
                                      <a:pt x="217" y="1494540"/>
                                    </a:lnTo>
                                    <a:cubicBezTo>
                                      <a:pt x="-902" y="1492088"/>
                                      <a:pt x="3196" y="1495262"/>
                                      <a:pt x="217" y="1494118"/>
                                    </a:cubicBezTo>
                                    <a:cubicBezTo>
                                      <a:pt x="150" y="1051853"/>
                                      <a:pt x="75" y="596635"/>
                                      <a:pt x="8" y="154370"/>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le 292" o:spid="_x0000_s1026" style="position:absolute;margin-left:-5.85pt;margin-top:.4pt;width:396pt;height:282.7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64,14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" path="m8,154370c-615,67117,34526,1675,105042,l1235663,v113208,171728,347,-2175,113101,170966l1348764,1494540v-5812,1355,-4705,389,-2982,l217,1494540v-1119,-2452,2979,722,,-422c150,1051853,75,596635,8,154370xe" fillcolor="#a32035 [3204]" stroked="f" strokeweight="2pt">
                      <v:path arrowok="t" o:connecttype="custom" o:connectlocs="30,370731;391677,0;4607502,0;5029230,410588;5029230,3589249;5018111,3589249;809,3589249;809,3588235;30,370731" o:connectangles="0,0,0,0,0,0,0,0,0"/>
                    </v:shape>
                  </w:pict>
                </mc:Fallback>
              </mc:AlternateContent>
            </w:r>
            <w:r w:rsidRPr="0075316F">
              <w:t xml:space="preserve">Strengthening </w:t>
            </w:r>
            <w:r>
              <w:t xml:space="preserve">future </w:t>
            </w:r>
            <w:r w:rsidRPr="0075316F">
              <w:t>compliance</w:t>
            </w:r>
          </w:p>
          <w:p w14:paraId="3C9FB4BE" w14:textId="78BA2889" w:rsidR="004423F4" w:rsidRDefault="00520E3F" w:rsidP="004423F4">
            <w:pPr>
              <w:pStyle w:val="CaseStudyText"/>
            </w:pPr>
            <w:r>
              <w:t>FIRB</w:t>
            </w:r>
            <w:r w:rsidR="004423F4">
              <w:t xml:space="preserve"> agencies continue to make improvements to foreign investment compliance activities, to balance supporting the integrity of the foreign investment framework with not imposing unnecessary regulatory burden on investors.</w:t>
            </w:r>
          </w:p>
          <w:p w14:paraId="55E5A242" w14:textId="77777777" w:rsidR="004423F4" w:rsidRPr="00167884" w:rsidRDefault="004423F4" w:rsidP="004423F4">
            <w:pPr>
              <w:pStyle w:val="CaseStudyText"/>
            </w:pPr>
            <w:r>
              <w:t xml:space="preserve">Treasury is using </w:t>
            </w:r>
            <w:r w:rsidRPr="00167884">
              <w:t>information</w:t>
            </w:r>
            <w:r>
              <w:t xml:space="preserve"> generated by the work to implement enhanced compliance arrangements to drive further improvements</w:t>
            </w:r>
            <w:r w:rsidRPr="00167884">
              <w:t xml:space="preserve"> to foreign investment processes, including the use and development of conditions imposed on investors to mitigate risks to the national interest.</w:t>
            </w:r>
          </w:p>
          <w:p w14:paraId="658E9185" w14:textId="56F0B690" w:rsidR="004423F4" w:rsidRDefault="004423F4" w:rsidP="004423F4">
            <w:pPr>
              <w:pStyle w:val="CaseStudyText"/>
            </w:pPr>
            <w:r w:rsidRPr="00167884">
              <w:t xml:space="preserve">Work is also underway to better understand </w:t>
            </w:r>
            <w:r>
              <w:t xml:space="preserve">areas of </w:t>
            </w:r>
            <w:r w:rsidRPr="00167884">
              <w:t xml:space="preserve">compliance </w:t>
            </w:r>
            <w:r>
              <w:t>risk</w:t>
            </w:r>
            <w:r w:rsidRPr="00167884">
              <w:t xml:space="preserve"> and </w:t>
            </w:r>
            <w:r w:rsidR="00A1607F">
              <w:t>apply</w:t>
            </w:r>
            <w:r w:rsidRPr="00167884">
              <w:t xml:space="preserve"> system information and market intelligence to improve monitoring of foreign investment compliance</w:t>
            </w:r>
            <w:r>
              <w:t>, including monitoring investors who fail to apply.</w:t>
            </w:r>
          </w:p>
          <w:p w14:paraId="29718976" w14:textId="7CDA6200" w:rsidR="004423F4" w:rsidRDefault="004423F4" w:rsidP="004423F4">
            <w:pPr>
              <w:pStyle w:val="CaseStudyText"/>
            </w:pPr>
            <w:r>
              <w:t>For the ATO, process enhancements underway include the implementation of the recommendations of the</w:t>
            </w:r>
            <w:r w:rsidRPr="00ED4522">
              <w:t xml:space="preserve"> Au</w:t>
            </w:r>
            <w:r>
              <w:t>stralian National Audit Office</w:t>
            </w:r>
            <w:r w:rsidRPr="00ED4522">
              <w:t xml:space="preserve"> (ANAO) </w:t>
            </w:r>
            <w:r>
              <w:t xml:space="preserve">report, </w:t>
            </w:r>
            <w:r w:rsidRPr="0065666D">
              <w:rPr>
                <w:i/>
              </w:rPr>
              <w:t>Management of compliance with foreign investment obligations for residential real estate</w:t>
            </w:r>
            <w:r w:rsidRPr="00286A19">
              <w:t>, tabled in</w:t>
            </w:r>
            <w:r>
              <w:t xml:space="preserve"> </w:t>
            </w:r>
            <w:r w:rsidRPr="00286A19">
              <w:t>June 2018</w:t>
            </w:r>
            <w:r>
              <w:t xml:space="preserve"> (see Chapter Two: The Foreign Investment Framework)</w:t>
            </w:r>
            <w:r w:rsidRPr="00286A19">
              <w:t>.</w:t>
            </w:r>
          </w:p>
          <w:p w14:paraId="6451BBD0" w14:textId="79333D75" w:rsidR="004423F4" w:rsidRDefault="004423F4" w:rsidP="004423F4">
            <w:pPr>
              <w:pStyle w:val="CaseStudyText"/>
            </w:pPr>
            <w:r>
              <w:t xml:space="preserve">The ATO is also compiling </w:t>
            </w:r>
            <w:r w:rsidRPr="00286A19">
              <w:t>an overarching compliance and enforcement strategy document and implementing outstanding data matching rules to aid the detection of key compliance risks.</w:t>
            </w:r>
          </w:p>
        </w:tc>
      </w:tr>
    </w:tbl>
    <w:p w14:paraId="397C36C1" w14:textId="77777777" w:rsidR="004423F4" w:rsidRPr="00DA4CF9" w:rsidRDefault="004423F4" w:rsidP="00DA4CF9"/>
    <w:p w14:paraId="2595553A" w14:textId="60EE890B" w:rsidR="00654BAA" w:rsidRPr="00654BAA" w:rsidRDefault="00654BAA" w:rsidP="001D65FC">
      <w:pPr>
        <w:pStyle w:val="Heading2"/>
        <w:rPr>
          <w:b w:val="0"/>
        </w:rPr>
      </w:pPr>
      <w:bookmarkStart w:id="1283" w:name="_Toc497163064"/>
      <w:bookmarkStart w:id="1284" w:name="_Toc512259066"/>
      <w:bookmarkStart w:id="1285" w:name="_Toc512523488"/>
      <w:bookmarkStart w:id="1286" w:name="_Toc512524857"/>
      <w:bookmarkStart w:id="1287" w:name="_Toc513021746"/>
      <w:bookmarkStart w:id="1288" w:name="_Toc513122764"/>
      <w:bookmarkStart w:id="1289" w:name="_Toc513131334"/>
      <w:bookmarkStart w:id="1290" w:name="_Toc513456067"/>
      <w:bookmarkStart w:id="1291" w:name="_Toc513457313"/>
      <w:bookmarkStart w:id="1292" w:name="_Toc513557391"/>
      <w:bookmarkStart w:id="1293" w:name="_Toc513559407"/>
      <w:bookmarkStart w:id="1294" w:name="_Toc529530650"/>
      <w:bookmarkStart w:id="1295" w:name="_Toc529545253"/>
      <w:bookmarkStart w:id="1296" w:name="_Toc529795017"/>
      <w:bookmarkStart w:id="1297" w:name="_Toc529802500"/>
      <w:bookmarkStart w:id="1298" w:name="_Toc529878075"/>
      <w:bookmarkStart w:id="1299" w:name="_Toc529879299"/>
      <w:bookmarkStart w:id="1300" w:name="_Toc529882564"/>
      <w:bookmarkStart w:id="1301" w:name="_Toc529885235"/>
      <w:bookmarkStart w:id="1302" w:name="_Toc529890707"/>
      <w:bookmarkStart w:id="1303" w:name="_Toc529970078"/>
      <w:bookmarkStart w:id="1304" w:name="_Toc529979433"/>
      <w:bookmarkStart w:id="1305" w:name="_Toc530050479"/>
      <w:bookmarkStart w:id="1306" w:name="_Toc530065558"/>
      <w:bookmarkStart w:id="1307" w:name="_Toc530066386"/>
      <w:bookmarkStart w:id="1308" w:name="_Toc530145107"/>
      <w:bookmarkStart w:id="1309" w:name="_Toc530146077"/>
      <w:bookmarkStart w:id="1310" w:name="_Toc530146998"/>
      <w:bookmarkStart w:id="1311" w:name="_Toc530148356"/>
      <w:bookmarkStart w:id="1312" w:name="_Toc530148557"/>
      <w:bookmarkStart w:id="1313" w:name="_Toc530149229"/>
      <w:bookmarkStart w:id="1314" w:name="_Toc530149800"/>
      <w:bookmarkStart w:id="1315" w:name="_Toc532207345"/>
      <w:bookmarkStart w:id="1316" w:name="_Toc532217733"/>
      <w:bookmarkStart w:id="1317" w:name="_Toc532218754"/>
      <w:bookmarkStart w:id="1318" w:name="_Toc532219066"/>
      <w:bookmarkStart w:id="1319" w:name="_Toc532223750"/>
      <w:bookmarkStart w:id="1320" w:name="_Toc532224209"/>
      <w:bookmarkStart w:id="1321" w:name="_Toc532226688"/>
      <w:bookmarkStart w:id="1322" w:name="_Toc536029389"/>
      <w:bookmarkStart w:id="1323" w:name="_Toc1120411"/>
      <w:bookmarkStart w:id="1324" w:name="_Toc1121982"/>
      <w:r w:rsidRPr="00654BAA">
        <w:t xml:space="preserve">Residential real estate compliance </w:t>
      </w:r>
      <w:r w:rsidR="008E5CA6" w:rsidRPr="001D65FC">
        <w:t>activities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6CF363E4" w14:textId="783DFF90" w:rsidR="00654BAA" w:rsidRPr="00654BAA" w:rsidRDefault="00D266C2" w:rsidP="00654BAA">
      <w:r>
        <w:t xml:space="preserve">Since </w:t>
      </w:r>
      <w:r w:rsidR="001464B6">
        <w:t>December</w:t>
      </w:r>
      <w:r>
        <w:t xml:space="preserve"> 2015, t</w:t>
      </w:r>
      <w:r w:rsidR="00654BAA" w:rsidRPr="00654BAA">
        <w:t xml:space="preserve">he ATO has been responsible for managing </w:t>
      </w:r>
      <w:r w:rsidR="00F5774E">
        <w:t xml:space="preserve">residential real estate </w:t>
      </w:r>
      <w:r w:rsidR="0071766D">
        <w:t>applications</w:t>
      </w:r>
      <w:r w:rsidR="0071766D" w:rsidRPr="00654BAA">
        <w:t xml:space="preserve"> </w:t>
      </w:r>
      <w:r w:rsidR="00F5774E">
        <w:t xml:space="preserve">and </w:t>
      </w:r>
      <w:r w:rsidR="000023DF">
        <w:t xml:space="preserve">associated </w:t>
      </w:r>
      <w:r w:rsidR="00F5774E">
        <w:t>compliance work</w:t>
      </w:r>
      <w:r w:rsidR="00654BAA" w:rsidRPr="00654BAA">
        <w:t>. In April 2017</w:t>
      </w:r>
      <w:r>
        <w:t>,</w:t>
      </w:r>
      <w:r w:rsidR="00654BAA" w:rsidRPr="00654BAA">
        <w:t xml:space="preserve"> the ATO assumed </w:t>
      </w:r>
      <w:r>
        <w:t>several</w:t>
      </w:r>
      <w:r w:rsidR="00654BAA" w:rsidRPr="00654BAA">
        <w:t xml:space="preserve"> additional responsibilities</w:t>
      </w:r>
      <w:r>
        <w:t>,</w:t>
      </w:r>
      <w:r w:rsidR="00654BAA" w:rsidRPr="00654BAA">
        <w:t xml:space="preserve"> including the screening of applications and compliance work </w:t>
      </w:r>
      <w:r w:rsidR="00654BAA" w:rsidRPr="00654BAA" w:rsidDel="00AA22C3">
        <w:t>for</w:t>
      </w:r>
      <w:r w:rsidR="00AA22C3" w:rsidRPr="00AA22C3">
        <w:br/>
      </w:r>
      <w:r w:rsidR="00654BAA" w:rsidRPr="00654BAA">
        <w:t xml:space="preserve">non-sensitive commercial </w:t>
      </w:r>
      <w:r w:rsidR="00560FD8">
        <w:t>real estate</w:t>
      </w:r>
      <w:r w:rsidR="00560FD8" w:rsidRPr="00654BAA">
        <w:t xml:space="preserve"> </w:t>
      </w:r>
      <w:r w:rsidR="00654BAA" w:rsidRPr="00654BAA">
        <w:t xml:space="preserve">and </w:t>
      </w:r>
      <w:r w:rsidR="00560FD8" w:rsidRPr="00560FD8">
        <w:t>corporate reorganisation cases</w:t>
      </w:r>
      <w:r w:rsidR="00654BAA" w:rsidRPr="00654BAA">
        <w:t>.</w:t>
      </w:r>
    </w:p>
    <w:p w14:paraId="504C0927" w14:textId="5BE50DB0" w:rsidR="00654BAA" w:rsidRPr="00654BAA" w:rsidRDefault="00654BAA" w:rsidP="00654BAA">
      <w:r w:rsidRPr="00654BAA">
        <w:t xml:space="preserve">The data reported in this section is based on residential real estate compliance investigations undertaken by the ATO from 1 July 2017 to 30 June 2018. </w:t>
      </w:r>
    </w:p>
    <w:p w14:paraId="7B338FF7" w14:textId="692170A3" w:rsidR="00D64011" w:rsidRDefault="00654BAA" w:rsidP="00654BAA">
      <w:r w:rsidRPr="00654BAA">
        <w:t>During 2017–18, 1</w:t>
      </w:r>
      <w:r w:rsidR="000006B7">
        <w:t>,</w:t>
      </w:r>
      <w:r w:rsidRPr="00654BAA">
        <w:t>710 cases</w:t>
      </w:r>
      <w:r w:rsidR="00F81765" w:rsidRPr="00654BAA">
        <w:rPr>
          <w:vertAlign w:val="superscript"/>
        </w:rPr>
        <w:footnoteReference w:id="19"/>
      </w:r>
      <w:r w:rsidRPr="00654BAA">
        <w:t xml:space="preserve"> were identified for investigation (up from 1,669 cases in</w:t>
      </w:r>
      <w:r w:rsidR="004046AA">
        <w:br/>
      </w:r>
      <w:r w:rsidRPr="00654BAA">
        <w:t>2016</w:t>
      </w:r>
      <w:r w:rsidR="0080522B">
        <w:t>–</w:t>
      </w:r>
      <w:r w:rsidRPr="00654BAA">
        <w:t>17). Of these, 1</w:t>
      </w:r>
      <w:r w:rsidR="000006B7">
        <w:t>,</w:t>
      </w:r>
      <w:r w:rsidRPr="00654BAA">
        <w:t>404 investigations were completed (1</w:t>
      </w:r>
      <w:r w:rsidR="000006B7">
        <w:t>,</w:t>
      </w:r>
      <w:r w:rsidRPr="00654BAA">
        <w:t xml:space="preserve">409 in 2016–17), which identified 600 properties </w:t>
      </w:r>
      <w:r w:rsidR="00051726">
        <w:t>that were</w:t>
      </w:r>
      <w:r w:rsidR="00051726" w:rsidRPr="00654BAA">
        <w:t xml:space="preserve"> </w:t>
      </w:r>
      <w:r w:rsidRPr="00654BAA">
        <w:t>in breach of Australia’s foreign investment rules (up from 549)</w:t>
      </w:r>
      <w:r w:rsidR="00D12BE8">
        <w:t xml:space="preserve"> (see Table 4.1)</w:t>
      </w:r>
      <w:r w:rsidRPr="00654BAA">
        <w:t>.</w:t>
      </w:r>
      <w:r w:rsidR="006F4C62" w:rsidRPr="00654BAA" w:rsidDel="006F4C62">
        <w:rPr>
          <w:vertAlign w:val="superscript"/>
        </w:rPr>
        <w:t xml:space="preserve"> </w:t>
      </w:r>
    </w:p>
    <w:p w14:paraId="4C3474A6" w14:textId="1A52D509" w:rsidR="00A75536" w:rsidRDefault="00A75536" w:rsidP="003A57EC">
      <w:pPr>
        <w:pStyle w:val="TableHeading"/>
      </w:pPr>
      <w:bookmarkStart w:id="1325" w:name="_Toc532223717"/>
      <w:bookmarkStart w:id="1326" w:name="_Toc532224176"/>
      <w:bookmarkStart w:id="1327" w:name="_Toc532226655"/>
      <w:bookmarkStart w:id="1328" w:name="_Toc536029357"/>
      <w:bookmarkStart w:id="1329" w:name="_Toc1054897"/>
      <w:r>
        <w:t xml:space="preserve">Table </w:t>
      </w:r>
      <w:r w:rsidR="00D64011">
        <w:t>4.1</w:t>
      </w:r>
      <w:r w:rsidR="00665F25" w:rsidRPr="00665F25">
        <w:t>:</w:t>
      </w:r>
      <w:r w:rsidR="00665F25">
        <w:t xml:space="preserve"> </w:t>
      </w:r>
      <w:r>
        <w:t>Residential real estate compliance investigations</w:t>
      </w:r>
      <w:r w:rsidR="00D64011" w:rsidRPr="00D64011">
        <w:t xml:space="preserve"> </w:t>
      </w:r>
      <w:r w:rsidR="00D64011" w:rsidRPr="00654BAA">
        <w:t xml:space="preserve">in 2016–17 </w:t>
      </w:r>
      <w:r w:rsidR="003804EF">
        <w:t>and</w:t>
      </w:r>
      <w:r w:rsidR="00D64011" w:rsidRPr="00654BAA">
        <w:t xml:space="preserve"> 2017</w:t>
      </w:r>
      <w:r w:rsidR="0038315D" w:rsidRPr="00654BAA">
        <w:t>–</w:t>
      </w:r>
      <w:r w:rsidR="00D64011" w:rsidRPr="00654BAA">
        <w:t>18</w:t>
      </w:r>
      <w:bookmarkEnd w:id="1325"/>
      <w:bookmarkEnd w:id="1326"/>
      <w:bookmarkEnd w:id="1327"/>
      <w:bookmarkEnd w:id="1328"/>
      <w:bookmarkEnd w:id="1329"/>
    </w:p>
    <w:p w14:paraId="5DDBB87B" w14:textId="66A706D9" w:rsidR="007C1D56" w:rsidRPr="007C1D56" w:rsidRDefault="00E56859" w:rsidP="00C31408">
      <w:pPr>
        <w:pStyle w:val="TableGraphic"/>
      </w:pPr>
      <w:r>
        <w:object w:dxaOrig="8270" w:dyaOrig="1125" w14:anchorId="5CB5744A">
          <v:shape id="_x0000_i1043" type="#_x0000_t75" alt="Table shows the number of residential real estate compliance investigations completed in 2016-17 and 2017-18 and categorises these by the outcome of the investigation.&#10;Investigations are categorised as identified, completed or properties in breach. &#10;During 2017-18 the number of compliance cases identified increased from 1,669 to 1,710 and the number completed fell from 1,409 to 1,404. The 1,404 investigations completed in 2017-18 found 600 properties in breach, an increase from 549 in 2016-17." style="width:385.4pt;height:56.95pt" o:ole="">
            <v:imagedata r:id="rId108" o:title=""/>
          </v:shape>
          <o:OLEObject Type="Link" ProgID="Excel.Sheet.12" ShapeID="_x0000_i1043" DrawAspect="Content" r:id="rId109" UpdateMode="Always">
            <o:LinkType>EnhancedMetaFile</o:LinkType>
            <o:LockedField/>
          </o:OLEObject>
        </w:object>
      </w:r>
    </w:p>
    <w:p w14:paraId="3FE250ED" w14:textId="35540025" w:rsidR="00654BAA" w:rsidRPr="0075316F" w:rsidRDefault="00654BAA" w:rsidP="00306776">
      <w:pPr>
        <w:pStyle w:val="Heading4"/>
      </w:pPr>
      <w:r w:rsidRPr="0075316F">
        <w:t>Outcomes of 2017</w:t>
      </w:r>
      <w:r w:rsidR="0080522B" w:rsidRPr="0075316F">
        <w:t>–</w:t>
      </w:r>
      <w:r w:rsidRPr="0075316F">
        <w:t xml:space="preserve">18 </w:t>
      </w:r>
      <w:r w:rsidRPr="001D65FC">
        <w:t>residential</w:t>
      </w:r>
      <w:r w:rsidRPr="0075316F">
        <w:t xml:space="preserve"> property investigations</w:t>
      </w:r>
    </w:p>
    <w:p w14:paraId="684768D7" w14:textId="22235713" w:rsidR="00654BAA" w:rsidRPr="00654BAA" w:rsidRDefault="00654BAA" w:rsidP="00931CD1">
      <w:r w:rsidRPr="00654BAA">
        <w:t xml:space="preserve">Compliance investigations </w:t>
      </w:r>
      <w:r w:rsidR="00A75536">
        <w:t>considered</w:t>
      </w:r>
      <w:r w:rsidR="00A75536" w:rsidRPr="00654BAA">
        <w:t xml:space="preserve"> </w:t>
      </w:r>
      <w:r w:rsidRPr="00654BAA">
        <w:t xml:space="preserve">a broad range of residential property </w:t>
      </w:r>
      <w:r w:rsidR="00A75536">
        <w:t xml:space="preserve">acquisitions </w:t>
      </w:r>
      <w:r w:rsidRPr="00654BAA">
        <w:t>and identified varying severity of breaches. Identified breaches include</w:t>
      </w:r>
      <w:r w:rsidR="00110C49">
        <w:t>d</w:t>
      </w:r>
      <w:r w:rsidRPr="00654BAA">
        <w:t>:</w:t>
      </w:r>
    </w:p>
    <w:p w14:paraId="168DEAA8" w14:textId="77777777" w:rsidR="00654BAA" w:rsidRPr="00654BAA" w:rsidRDefault="00654BAA" w:rsidP="002229ED">
      <w:pPr>
        <w:pStyle w:val="Bullet"/>
      </w:pPr>
      <w:r w:rsidRPr="00654BAA">
        <w:t>failure to seek approval before the purchase of a property;</w:t>
      </w:r>
    </w:p>
    <w:p w14:paraId="5D6FEDBF" w14:textId="77777777" w:rsidR="00654BAA" w:rsidRPr="00654BAA" w:rsidRDefault="00654BAA" w:rsidP="002229ED">
      <w:pPr>
        <w:pStyle w:val="Bullet"/>
      </w:pPr>
      <w:r w:rsidRPr="00654BAA">
        <w:t>failure to sell an established property once the owner’s temporary resident visa expired;</w:t>
      </w:r>
    </w:p>
    <w:p w14:paraId="2A009380" w14:textId="77777777" w:rsidR="00654BAA" w:rsidRPr="00654BAA" w:rsidRDefault="00654BAA" w:rsidP="002229ED">
      <w:pPr>
        <w:pStyle w:val="Bullet"/>
      </w:pPr>
      <w:r w:rsidRPr="00654BAA">
        <w:t>temporary resident visa holders owning more than one established property;</w:t>
      </w:r>
    </w:p>
    <w:p w14:paraId="73276A8A" w14:textId="77777777" w:rsidR="00654BAA" w:rsidRPr="00654BAA" w:rsidRDefault="00654BAA" w:rsidP="002229ED">
      <w:pPr>
        <w:pStyle w:val="Bullet"/>
      </w:pPr>
      <w:r w:rsidRPr="00654BAA">
        <w:t>Australian companies and trusts controlled by foreign persons owning established properties;</w:t>
      </w:r>
    </w:p>
    <w:p w14:paraId="4A2F368E" w14:textId="1BC6C259" w:rsidR="00654BAA" w:rsidRPr="00654BAA" w:rsidRDefault="00654BAA" w:rsidP="002229ED">
      <w:pPr>
        <w:pStyle w:val="Bullet"/>
      </w:pPr>
      <w:r w:rsidRPr="00654BAA">
        <w:t>failure to comply with the conditions of an approval, such as not adhering to the requirement to use a property as a principal place of residence, renting out a dwelling or failing to commence construction or redevelopment of the property within specified timeframes; and</w:t>
      </w:r>
    </w:p>
    <w:p w14:paraId="104CBA2F" w14:textId="77777777" w:rsidR="00654BAA" w:rsidRPr="00654BAA" w:rsidRDefault="00654BAA" w:rsidP="002229ED">
      <w:pPr>
        <w:pStyle w:val="Bullet"/>
      </w:pPr>
      <w:r w:rsidRPr="00654BAA">
        <w:t>failure to undertake certain actions within a specified period.</w:t>
      </w:r>
    </w:p>
    <w:p w14:paraId="177C5E1D" w14:textId="5DB9D587" w:rsidR="00654BAA" w:rsidRPr="00430EBB" w:rsidRDefault="006A77E6" w:rsidP="00931CD1">
      <w:pPr>
        <w:rPr>
          <w:color w:val="auto"/>
        </w:rPr>
      </w:pPr>
      <w:r>
        <w:t>W</w:t>
      </w:r>
      <w:r w:rsidR="00512807">
        <w:t>here</w:t>
      </w:r>
      <w:r>
        <w:t xml:space="preserve"> a</w:t>
      </w:r>
      <w:r w:rsidR="00512807">
        <w:t xml:space="preserve"> breach w</w:t>
      </w:r>
      <w:r>
        <w:t>as</w:t>
      </w:r>
      <w:r w:rsidR="00512807">
        <w:t xml:space="preserve"> identified</w:t>
      </w:r>
      <w:r>
        <w:t xml:space="preserve">, outcomes </w:t>
      </w:r>
      <w:r w:rsidR="00654BAA" w:rsidRPr="00654BAA">
        <w:t>include</w:t>
      </w:r>
      <w:r w:rsidR="00B32D97">
        <w:t>d</w:t>
      </w:r>
      <w:r w:rsidR="00654BAA" w:rsidRPr="00654BAA">
        <w:t xml:space="preserve"> divestment, retrospective</w:t>
      </w:r>
      <w:r w:rsidR="00D074BD">
        <w:t xml:space="preserve"> </w:t>
      </w:r>
      <w:r w:rsidR="00654BAA" w:rsidRPr="00654BAA">
        <w:t>approval</w:t>
      </w:r>
      <w:r w:rsidR="00D074BD" w:rsidRPr="00654BAA">
        <w:t xml:space="preserve"> </w:t>
      </w:r>
      <w:r w:rsidR="00654BAA" w:rsidRPr="00654BAA">
        <w:t>and</w:t>
      </w:r>
      <w:r>
        <w:t xml:space="preserve"> </w:t>
      </w:r>
      <w:r w:rsidR="00373A4C">
        <w:t>variation</w:t>
      </w:r>
      <w:r w:rsidR="00654BAA" w:rsidRPr="00654BAA">
        <w:t xml:space="preserve"> of conditions. </w:t>
      </w:r>
      <w:r w:rsidR="00E43AE4" w:rsidRPr="00430EBB">
        <w:t xml:space="preserve">As outlined in </w:t>
      </w:r>
      <w:r w:rsidR="006F4C62" w:rsidRPr="00430EBB">
        <w:t>the</w:t>
      </w:r>
      <w:r w:rsidR="00E43AE4" w:rsidRPr="00430EBB">
        <w:t xml:space="preserve"> below table, over a fifth of identified breaches resulted in </w:t>
      </w:r>
      <w:r w:rsidR="006F4C62" w:rsidRPr="00430EBB">
        <w:t xml:space="preserve">a </w:t>
      </w:r>
      <w:r w:rsidR="00E43AE4" w:rsidRPr="00430EBB">
        <w:t>divestment outcome</w:t>
      </w:r>
      <w:r w:rsidR="00DF1075" w:rsidRPr="00430EBB">
        <w:t>. As a percentage of the total number of breaches, this was an increase of four percentage points</w:t>
      </w:r>
      <w:r w:rsidR="006F4C62" w:rsidRPr="00430EBB">
        <w:t xml:space="preserve"> from 2016-17</w:t>
      </w:r>
      <w:r w:rsidR="00E43AE4" w:rsidRPr="00430EBB">
        <w:t xml:space="preserve"> (see Table 4.2 for further </w:t>
      </w:r>
      <w:r w:rsidR="006F4C62" w:rsidRPr="00430EBB">
        <w:t xml:space="preserve">details on these outcomes). In most </w:t>
      </w:r>
      <w:r w:rsidR="006F4C62" w:rsidRPr="00430EBB">
        <w:rPr>
          <w:color w:val="auto"/>
        </w:rPr>
        <w:t>circumstances (approximately 72</w:t>
      </w:r>
      <w:r w:rsidR="00560FD8">
        <w:rPr>
          <w:color w:val="auto"/>
        </w:rPr>
        <w:t> per cent</w:t>
      </w:r>
      <w:r w:rsidR="00560FD8" w:rsidRPr="00430EBB">
        <w:rPr>
          <w:color w:val="auto"/>
        </w:rPr>
        <w:t xml:space="preserve"> </w:t>
      </w:r>
      <w:r w:rsidR="006F4C62" w:rsidRPr="00430EBB">
        <w:rPr>
          <w:color w:val="auto"/>
        </w:rPr>
        <w:t xml:space="preserve">of outcomes), an infringement notice, which imposes a financial penalty on a foreign person, was applied to breaches even if the application was subsequently given approval or conditions of approval changed. Infringement notice data is reported in Table 4.5 </w:t>
      </w:r>
    </w:p>
    <w:p w14:paraId="5C268DDB" w14:textId="557CCC66" w:rsidR="00654BAA" w:rsidRDefault="00654BAA" w:rsidP="00FE0B08">
      <w:pPr>
        <w:pStyle w:val="TableHeading"/>
      </w:pPr>
      <w:bookmarkStart w:id="1330" w:name="_Toc529545220"/>
      <w:bookmarkStart w:id="1331" w:name="_Toc529802474"/>
      <w:bookmarkStart w:id="1332" w:name="_Toc529878049"/>
      <w:bookmarkStart w:id="1333" w:name="_Toc529879273"/>
      <w:bookmarkStart w:id="1334" w:name="_Toc529882538"/>
      <w:bookmarkStart w:id="1335" w:name="_Toc529885209"/>
      <w:bookmarkStart w:id="1336" w:name="_Toc529890681"/>
      <w:bookmarkStart w:id="1337" w:name="_Toc529970052"/>
      <w:bookmarkStart w:id="1338" w:name="_Toc529979407"/>
      <w:bookmarkStart w:id="1339" w:name="_Toc530050452"/>
      <w:bookmarkStart w:id="1340" w:name="_Toc530065531"/>
      <w:bookmarkStart w:id="1341" w:name="_Toc530066359"/>
      <w:bookmarkStart w:id="1342" w:name="_Toc530145079"/>
      <w:bookmarkStart w:id="1343" w:name="_Toc530146049"/>
      <w:bookmarkStart w:id="1344" w:name="_Toc530146970"/>
      <w:bookmarkStart w:id="1345" w:name="_Toc530148328"/>
      <w:bookmarkStart w:id="1346" w:name="_Toc530148529"/>
      <w:bookmarkStart w:id="1347" w:name="_Toc530149201"/>
      <w:bookmarkStart w:id="1348" w:name="_Toc530149825"/>
      <w:bookmarkStart w:id="1349" w:name="_Toc530401677"/>
      <w:bookmarkStart w:id="1350" w:name="_Toc530491430"/>
      <w:bookmarkStart w:id="1351" w:name="_Toc530495848"/>
      <w:bookmarkStart w:id="1352" w:name="_Toc530497751"/>
      <w:bookmarkStart w:id="1353" w:name="_Toc530663571"/>
      <w:bookmarkStart w:id="1354" w:name="_Toc530753865"/>
      <w:bookmarkStart w:id="1355" w:name="_Toc530756434"/>
      <w:bookmarkStart w:id="1356" w:name="_Toc530759871"/>
      <w:bookmarkStart w:id="1357" w:name="_Toc532223718"/>
      <w:bookmarkStart w:id="1358" w:name="_Toc532224177"/>
      <w:bookmarkStart w:id="1359" w:name="_Toc532226656"/>
      <w:bookmarkStart w:id="1360" w:name="_Toc536029358"/>
      <w:bookmarkStart w:id="1361" w:name="_Toc1054898"/>
      <w:r w:rsidRPr="00654BAA">
        <w:t>Table</w:t>
      </w:r>
      <w:r w:rsidR="00FE0B08">
        <w:t xml:space="preserve"> </w:t>
      </w:r>
      <w:r w:rsidR="00110C49">
        <w:t>4</w:t>
      </w:r>
      <w:r w:rsidRPr="00654BAA">
        <w:t>.</w:t>
      </w:r>
      <w:r w:rsidR="00C34303">
        <w:t>2</w:t>
      </w:r>
      <w:r w:rsidRPr="00654BAA">
        <w:t>:</w:t>
      </w:r>
      <w:r w:rsidR="00665F25">
        <w:t xml:space="preserve"> </w:t>
      </w:r>
      <w:r w:rsidRPr="00654BAA">
        <w:t>Outcomes of residential real estate investigations that identified breaches in 2016–17 to 2017–18</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3D3705E5" w14:textId="5BF75944" w:rsidR="00840683" w:rsidRPr="00840683" w:rsidRDefault="00E56859" w:rsidP="00442ACD">
      <w:pPr>
        <w:pStyle w:val="TableGraphic"/>
        <w:jc w:val="right"/>
      </w:pPr>
      <w:r>
        <w:object w:dxaOrig="7360" w:dyaOrig="1620" w14:anchorId="5132E1ED">
          <v:shape id="_x0000_i1044" type="#_x0000_t75" alt="Table shows the outcomes of residential real estate cases that identified breaches in 2016-17 and 2017-18 and categorises these by compliance outcome.&#10;The compliance outcomes are retrospective approval during FIRB consideration, retrospective approval, change of conditions or divestment. &#10;From 2016-17 to 2017-18 both divestments and change of condtions increased in terms of percentage of outcomes and number of outcomes. Retrospective approval and retrospective approval during FIRB consideration both decreased in 2017-18. Retrospective approval during FIRB consideration was the most likely outcome in both periods." style="width:390.1pt;height:80.9pt;mso-position-horizontal:absolute" o:ole="">
            <v:imagedata r:id="rId110" o:title=""/>
          </v:shape>
          <o:OLEObject Type="Link" ProgID="Excel.Sheet.12" ShapeID="_x0000_i1044" DrawAspect="Content" r:id="rId111" UpdateMode="Always">
            <o:LinkType>EnhancedMetaFile</o:LinkType>
            <o:LockedField>false</o:LockedField>
          </o:OLEObject>
        </w:object>
      </w:r>
    </w:p>
    <w:p w14:paraId="4F237C10" w14:textId="00CCF2D7" w:rsidR="00654BAA" w:rsidRPr="00430EBB" w:rsidRDefault="00430EBB" w:rsidP="00397941">
      <w:pPr>
        <w:pStyle w:val="ChartandTableFootnoteAlpha"/>
        <w:numPr>
          <w:ilvl w:val="0"/>
          <w:numId w:val="34"/>
        </w:numPr>
      </w:pPr>
      <w:r>
        <w:t>Refers to situations</w:t>
      </w:r>
      <w:r w:rsidR="00D777B0" w:rsidRPr="00430EBB">
        <w:t xml:space="preserve"> where a foreign </w:t>
      </w:r>
      <w:r w:rsidR="007F5A67">
        <w:t>person</w:t>
      </w:r>
      <w:r w:rsidR="007F5A67" w:rsidRPr="00430EBB">
        <w:t xml:space="preserve"> </w:t>
      </w:r>
      <w:r w:rsidR="00D777B0" w:rsidRPr="00430EBB">
        <w:t>has voluntarily disposed of a property following a breach, including during an investigation, and where a formal disposal order was issued under the Act.</w:t>
      </w:r>
    </w:p>
    <w:p w14:paraId="5EEA79A5" w14:textId="09515ABE" w:rsidR="006F4C62" w:rsidRPr="00430EBB" w:rsidRDefault="006F4C62">
      <w:pPr>
        <w:pStyle w:val="ChartandTableFootnoteAlpha"/>
        <w:rPr>
          <w:color w:val="auto"/>
        </w:rPr>
      </w:pPr>
      <w:r w:rsidRPr="00430EBB">
        <w:rPr>
          <w:color w:val="auto"/>
        </w:rPr>
        <w:t>Refers to situations where approval is provided after the property has been purchased. Retrospective approval may be given when the foreign person failed to seek foreign investment approval but would have received approval had they submitted an application before acquiring the property. Retrospective applications remain liable to pay the relevant application fee and an infringement notice.</w:t>
      </w:r>
    </w:p>
    <w:p w14:paraId="64499BBC" w14:textId="16B2BD6A" w:rsidR="006F4C62" w:rsidRPr="00430EBB" w:rsidRDefault="002E1067" w:rsidP="006F4C62">
      <w:pPr>
        <w:pStyle w:val="ChartandTableFootnoteAlpha"/>
        <w:rPr>
          <w:color w:val="auto"/>
        </w:rPr>
      </w:pPr>
      <w:r w:rsidRPr="00430EBB">
        <w:rPr>
          <w:color w:val="auto"/>
        </w:rPr>
        <w:t xml:space="preserve">Refers to </w:t>
      </w:r>
      <w:r w:rsidR="006F4C62" w:rsidRPr="00430EBB">
        <w:rPr>
          <w:color w:val="auto"/>
        </w:rPr>
        <w:t xml:space="preserve">situations where </w:t>
      </w:r>
      <w:r w:rsidRPr="00430EBB">
        <w:rPr>
          <w:color w:val="auto"/>
        </w:rPr>
        <w:t xml:space="preserve">conditional approval </w:t>
      </w:r>
      <w:r w:rsidR="006F4C62" w:rsidRPr="00430EBB">
        <w:rPr>
          <w:color w:val="auto"/>
        </w:rPr>
        <w:t xml:space="preserve">has previously been provided but </w:t>
      </w:r>
      <w:r w:rsidR="001A155D" w:rsidRPr="00430EBB">
        <w:rPr>
          <w:color w:val="auto"/>
        </w:rPr>
        <w:t xml:space="preserve">the foreign </w:t>
      </w:r>
      <w:r w:rsidR="007F5A67">
        <w:rPr>
          <w:color w:val="auto"/>
        </w:rPr>
        <w:t>person</w:t>
      </w:r>
      <w:r w:rsidR="007F5A67" w:rsidRPr="00430EBB">
        <w:rPr>
          <w:color w:val="auto"/>
        </w:rPr>
        <w:t xml:space="preserve"> </w:t>
      </w:r>
      <w:r w:rsidR="007F5A67">
        <w:rPr>
          <w:color w:val="auto"/>
        </w:rPr>
        <w:t>is</w:t>
      </w:r>
      <w:r w:rsidR="007F5A67" w:rsidRPr="00430EBB">
        <w:rPr>
          <w:color w:val="auto"/>
        </w:rPr>
        <w:t xml:space="preserve"> </w:t>
      </w:r>
      <w:r w:rsidRPr="00430EBB">
        <w:rPr>
          <w:color w:val="auto"/>
        </w:rPr>
        <w:t xml:space="preserve">not able to </w:t>
      </w:r>
      <w:r w:rsidR="006F4C62" w:rsidRPr="00430EBB">
        <w:rPr>
          <w:color w:val="auto"/>
        </w:rPr>
        <w:t>comply with their</w:t>
      </w:r>
      <w:r w:rsidRPr="00430EBB">
        <w:rPr>
          <w:color w:val="auto"/>
        </w:rPr>
        <w:t xml:space="preserve"> conditions</w:t>
      </w:r>
      <w:r w:rsidR="006F4C62" w:rsidRPr="00430EBB">
        <w:rPr>
          <w:color w:val="auto"/>
        </w:rPr>
        <w:t xml:space="preserve"> and they are subsequently varied.</w:t>
      </w:r>
      <w:r w:rsidRPr="00430EBB">
        <w:rPr>
          <w:color w:val="auto"/>
        </w:rPr>
        <w:t xml:space="preserve"> For example, where an application had development conditions imposed and these were not able to be met due to delays in </w:t>
      </w:r>
      <w:r w:rsidR="001A155D" w:rsidRPr="00430EBB">
        <w:rPr>
          <w:color w:val="auto"/>
        </w:rPr>
        <w:t>local government</w:t>
      </w:r>
      <w:r w:rsidRPr="00430EBB">
        <w:rPr>
          <w:color w:val="auto"/>
        </w:rPr>
        <w:t xml:space="preserve"> approval</w:t>
      </w:r>
      <w:r w:rsidR="006F4C62" w:rsidRPr="00430EBB">
        <w:rPr>
          <w:color w:val="auto"/>
        </w:rPr>
        <w:t>, and so the development conditions may be varied to extend the time permitted. Where appropriate, an infringement notice is also issued in these situations for failure to comply with conditions.</w:t>
      </w:r>
    </w:p>
    <w:p w14:paraId="210309BE" w14:textId="4F94818F" w:rsidR="006F4C62" w:rsidRPr="00430EBB" w:rsidRDefault="006F4C62" w:rsidP="006F4C62">
      <w:pPr>
        <w:pStyle w:val="ChartandTableFootnoteAlpha"/>
      </w:pPr>
      <w:r w:rsidRPr="00430EBB">
        <w:rPr>
          <w:color w:val="auto"/>
        </w:rPr>
        <w:t>Refers to situations where a foreign person is seeking approval to acquire an interest in property and it is identified during the foreign investment screening process that they had already acquired an interest in the property in question. Where appropriate, an infringement notice is also issued in these situations for failure to seek approval before acquiring an interest in the property</w:t>
      </w:r>
      <w:r w:rsidRPr="00430EBB">
        <w:rPr>
          <w:color w:val="FF0000"/>
        </w:rPr>
        <w:t>.</w:t>
      </w:r>
    </w:p>
    <w:p w14:paraId="41DF5DCE" w14:textId="37208F00" w:rsidR="00FE2F3C" w:rsidRDefault="00FE2F3C" w:rsidP="00FE2F3C">
      <w:pPr>
        <w:pStyle w:val="ChartorTableNote"/>
        <w:spacing w:after="40"/>
        <w:ind w:left="567" w:hanging="567"/>
        <w:rPr>
          <w:szCs w:val="16"/>
        </w:rPr>
      </w:pPr>
      <w:r>
        <w:rPr>
          <w:szCs w:val="16"/>
        </w:rPr>
        <w:t>Notes:</w:t>
      </w:r>
      <w:r>
        <w:rPr>
          <w:szCs w:val="16"/>
        </w:rPr>
        <w:tab/>
      </w:r>
      <w:r w:rsidRPr="00F718BB">
        <w:t xml:space="preserve">Retrospective approval and retrospective approval during </w:t>
      </w:r>
      <w:r w:rsidR="00581D93" w:rsidRPr="00F718BB">
        <w:t>FIRB</w:t>
      </w:r>
      <w:r w:rsidRPr="00F718BB">
        <w:t xml:space="preserve"> consideration numbers are also included in the residential approvals numbers in Chapter Three: </w:t>
      </w:r>
      <w:r w:rsidR="00652E20">
        <w:t>Applications</w:t>
      </w:r>
      <w:r w:rsidRPr="00F718BB">
        <w:t xml:space="preserve"> Data.</w:t>
      </w:r>
    </w:p>
    <w:p w14:paraId="6783ED0C" w14:textId="73F5D2E2" w:rsidR="00654BAA" w:rsidRDefault="00FE2F3C" w:rsidP="00BA639F">
      <w:pPr>
        <w:pStyle w:val="ChartorTableNote"/>
        <w:tabs>
          <w:tab w:val="left" w:pos="567"/>
        </w:tabs>
        <w:spacing w:after="0"/>
        <w:ind w:left="567"/>
        <w:rPr>
          <w:szCs w:val="16"/>
        </w:rPr>
      </w:pPr>
      <w:r>
        <w:t xml:space="preserve">Change of conditions numbers are also included in the residential variation numbers in </w:t>
      </w:r>
      <w:r w:rsidR="00893B68">
        <w:t>Chapter </w:t>
      </w:r>
      <w:r>
        <w:rPr>
          <w:szCs w:val="16"/>
        </w:rPr>
        <w:t xml:space="preserve">Three: </w:t>
      </w:r>
      <w:r w:rsidR="00652E20">
        <w:rPr>
          <w:szCs w:val="16"/>
        </w:rPr>
        <w:t>Applications</w:t>
      </w:r>
      <w:r>
        <w:rPr>
          <w:szCs w:val="16"/>
        </w:rPr>
        <w:t xml:space="preserve"> Data.</w:t>
      </w:r>
    </w:p>
    <w:p w14:paraId="03D92D93" w14:textId="107F2511" w:rsidR="00BA639F" w:rsidRPr="00954AD3" w:rsidRDefault="00BA639F" w:rsidP="00BA639F">
      <w:pPr>
        <w:pStyle w:val="ChartandTableFootnote"/>
        <w:spacing w:after="240"/>
        <w:ind w:left="567"/>
        <w:rPr>
          <w:rFonts w:ascii="Arial" w:eastAsiaTheme="minorHAnsi" w:hAnsi="Arial" w:cs="Arial"/>
        </w:rPr>
      </w:pPr>
      <w:r>
        <w:rPr>
          <w:rFonts w:ascii="Arial" w:eastAsiaTheme="minorHAnsi" w:hAnsi="Arial" w:cs="Arial"/>
        </w:rPr>
        <w:t>Percentage t</w:t>
      </w:r>
      <w:r w:rsidRPr="00954AD3">
        <w:rPr>
          <w:rFonts w:ascii="Arial" w:eastAsiaTheme="minorHAnsi" w:hAnsi="Arial" w:cs="Arial"/>
        </w:rPr>
        <w:t>otals may not add due to rounding.</w:t>
      </w:r>
    </w:p>
    <w:p w14:paraId="4B29E590" w14:textId="77777777" w:rsidR="00654BAA" w:rsidRPr="00A55FBB" w:rsidRDefault="00654BAA" w:rsidP="00430EBB">
      <w:pPr>
        <w:pStyle w:val="Heading4"/>
        <w:rPr>
          <w:rFonts w:eastAsiaTheme="minorHAnsi"/>
        </w:rPr>
      </w:pPr>
      <w:r w:rsidRPr="00A55FBB">
        <w:rPr>
          <w:rFonts w:eastAsiaTheme="minorHAnsi"/>
        </w:rPr>
        <w:t>Breaches by location</w:t>
      </w:r>
    </w:p>
    <w:p w14:paraId="215896FD" w14:textId="3D41829F" w:rsidR="00654BAA" w:rsidRPr="00654BAA" w:rsidRDefault="00654BAA" w:rsidP="00654BAA">
      <w:r w:rsidRPr="00654BAA">
        <w:t xml:space="preserve">More than half the breaches identified by compliance investigations related to residential property in Victoria, while </w:t>
      </w:r>
      <w:r w:rsidR="002110D0">
        <w:t>20 per cent</w:t>
      </w:r>
      <w:r w:rsidRPr="00654BAA">
        <w:t xml:space="preserve"> related to property in New South Wales</w:t>
      </w:r>
      <w:r w:rsidR="00B744CE">
        <w:t>.</w:t>
      </w:r>
    </w:p>
    <w:p w14:paraId="5EA51AEF" w14:textId="1E805B7D" w:rsidR="00654BAA" w:rsidRPr="00654BAA" w:rsidRDefault="00654BAA" w:rsidP="00654BAA">
      <w:r w:rsidRPr="00654BAA">
        <w:t>Chart </w:t>
      </w:r>
      <w:r w:rsidR="00110C49">
        <w:t>4</w:t>
      </w:r>
      <w:r w:rsidRPr="00654BAA">
        <w:t>.1 shows the geographic distribution of properties that were found to be in breach of the foreign investment rules in 2017–18.</w:t>
      </w:r>
    </w:p>
    <w:p w14:paraId="52E5A942" w14:textId="204A9545" w:rsidR="00654BAA" w:rsidRPr="00654BAA" w:rsidRDefault="00654BAA" w:rsidP="001D65FC">
      <w:pPr>
        <w:pStyle w:val="ChartHeading"/>
      </w:pPr>
      <w:bookmarkStart w:id="1362" w:name="_Toc529545206"/>
      <w:bookmarkStart w:id="1363" w:name="_Toc529794994"/>
      <w:bookmarkStart w:id="1364" w:name="_Toc529802459"/>
      <w:bookmarkStart w:id="1365" w:name="_Toc529878032"/>
      <w:bookmarkStart w:id="1366" w:name="_Toc529879256"/>
      <w:bookmarkStart w:id="1367" w:name="_Toc529882521"/>
      <w:bookmarkStart w:id="1368" w:name="_Toc529885192"/>
      <w:bookmarkStart w:id="1369" w:name="_Toc529890664"/>
      <w:bookmarkStart w:id="1370" w:name="_Toc529970035"/>
      <w:bookmarkStart w:id="1371" w:name="_Toc529979390"/>
      <w:bookmarkStart w:id="1372" w:name="_Toc530050435"/>
      <w:bookmarkStart w:id="1373" w:name="_Toc530065514"/>
      <w:bookmarkStart w:id="1374" w:name="_Toc530066342"/>
      <w:bookmarkStart w:id="1375" w:name="_Toc530145061"/>
      <w:bookmarkStart w:id="1376" w:name="_Toc530146031"/>
      <w:bookmarkStart w:id="1377" w:name="_Toc530146952"/>
      <w:bookmarkStart w:id="1378" w:name="_Toc530148310"/>
      <w:bookmarkStart w:id="1379" w:name="_Toc530148511"/>
      <w:bookmarkStart w:id="1380" w:name="_Toc530149183"/>
      <w:bookmarkStart w:id="1381" w:name="_Toc530149836"/>
      <w:bookmarkStart w:id="1382" w:name="_Toc530401659"/>
      <w:bookmarkStart w:id="1383" w:name="_Toc530491412"/>
      <w:bookmarkStart w:id="1384" w:name="_Toc530495830"/>
      <w:bookmarkStart w:id="1385" w:name="_Toc530497733"/>
      <w:bookmarkStart w:id="1386" w:name="_Toc530663553"/>
      <w:bookmarkStart w:id="1387" w:name="_Toc530753846"/>
      <w:bookmarkStart w:id="1388" w:name="_Toc530756415"/>
      <w:bookmarkStart w:id="1389" w:name="_Toc530759852"/>
      <w:bookmarkStart w:id="1390" w:name="_Toc532207316"/>
      <w:bookmarkStart w:id="1391" w:name="_Toc532217704"/>
      <w:bookmarkStart w:id="1392" w:name="_Toc532218725"/>
      <w:bookmarkStart w:id="1393" w:name="_Toc532219037"/>
      <w:bookmarkStart w:id="1394" w:name="_Toc532223698"/>
      <w:bookmarkStart w:id="1395" w:name="_Toc532224157"/>
      <w:bookmarkStart w:id="1396" w:name="_Toc532226636"/>
      <w:bookmarkStart w:id="1397" w:name="_Toc1054878"/>
      <w:r w:rsidRPr="00654BAA">
        <w:t xml:space="preserve">Chart </w:t>
      </w:r>
      <w:r w:rsidR="00110C49">
        <w:t>4</w:t>
      </w:r>
      <w:r w:rsidRPr="00654BAA">
        <w:t>.1:</w:t>
      </w:r>
      <w:r w:rsidR="004B4EB4">
        <w:t xml:space="preserve"> </w:t>
      </w:r>
      <w:r w:rsidRPr="00654BAA">
        <w:t xml:space="preserve">Location of residential real estate breaches </w:t>
      </w:r>
      <w:r w:rsidRPr="001D65FC">
        <w:t>identified</w:t>
      </w:r>
      <w:r w:rsidRPr="00654BAA">
        <w:t xml:space="preserve"> in 2017–18</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52E06B64" w14:textId="2E7E3D45" w:rsidR="00882C04" w:rsidRDefault="00A0798F" w:rsidP="001D65FC">
      <w:pPr>
        <w:pStyle w:val="ChartGraphic"/>
      </w:pPr>
      <w:r w:rsidRPr="001D65FC">
        <w:object w:dxaOrig="7680" w:dyaOrig="4980" w14:anchorId="6D6CE679">
          <v:shape id="_x0000_i1045" type="#_x0000_t75" alt="Pie Chart shows the location of residential real estate breaches identified in 2017-18 and categorised by state and territory. Excludes the Northern Territory as no properties were found in breach there.&#10;Victoria accounted for the most breaches with 53.67 per cent of all properties in breach. New South Wales and Queensland also had a large share the national breaches with 20.83 and 17.17 per cent. The Australian Capital Territory, South Australia and Tasmania each accounted for one per cent or less of the total national breaches." style="width:356.75pt;height:231.05pt" o:ole="">
            <v:imagedata r:id="rId112" o:title=""/>
          </v:shape>
          <o:OLEObject Type="Link" ProgID="Excel.Sheet.12" ShapeID="_x0000_i1045" DrawAspect="Content" r:id="rId113" UpdateMode="Always">
            <o:LinkType>EnhancedMetaFile</o:LinkType>
            <o:LockedField>false</o:LockedField>
            <o:FieldCodes>\* MERGEFORMAT</o:FieldCodes>
          </o:OLEObject>
        </w:object>
      </w:r>
    </w:p>
    <w:p w14:paraId="48B8AAE6" w14:textId="4F48169D" w:rsidR="00CB015C" w:rsidRDefault="00CB015C" w:rsidP="00194932">
      <w:pPr>
        <w:pStyle w:val="ChartorTableNote"/>
        <w:tabs>
          <w:tab w:val="left" w:pos="567"/>
        </w:tabs>
        <w:spacing w:before="60" w:after="0"/>
        <w:ind w:left="567" w:hanging="567"/>
      </w:pPr>
      <w:r w:rsidRPr="00CB015C">
        <w:t>Note</w:t>
      </w:r>
      <w:r>
        <w:t>:</w:t>
      </w:r>
      <w:r>
        <w:tab/>
        <w:t>This Chart does not add to 100 per cent due to rounding.</w:t>
      </w:r>
    </w:p>
    <w:p w14:paraId="79E9CAD6" w14:textId="338BDA5C" w:rsidR="00560FD8" w:rsidRPr="00560FD8" w:rsidRDefault="00560FD8" w:rsidP="00194932">
      <w:pPr>
        <w:pStyle w:val="ChartorTableNote"/>
        <w:tabs>
          <w:tab w:val="left" w:pos="567"/>
        </w:tabs>
        <w:spacing w:before="60" w:after="0"/>
        <w:ind w:left="567" w:hanging="567"/>
      </w:pPr>
      <w:r>
        <w:tab/>
      </w:r>
      <w:r w:rsidR="00E406F5" w:rsidRPr="00E406F5">
        <w:t xml:space="preserve">No properties were found in breach in the Northern Territory. </w:t>
      </w:r>
      <w:r>
        <w:t xml:space="preserve">The Northern Territory </w:t>
      </w:r>
      <w:r w:rsidR="00E406F5">
        <w:t xml:space="preserve">had only a </w:t>
      </w:r>
      <w:r w:rsidR="00E406F5" w:rsidRPr="00E406F5">
        <w:t xml:space="preserve">proportionately small number of residential real estate approvals for </w:t>
      </w:r>
      <w:r>
        <w:t xml:space="preserve"> the period.</w:t>
      </w:r>
    </w:p>
    <w:p w14:paraId="4F9B3B64" w14:textId="77777777" w:rsidR="00654BAA" w:rsidRPr="00AF3C81" w:rsidRDefault="00654BAA" w:rsidP="00430EBB">
      <w:pPr>
        <w:pStyle w:val="Heading4"/>
        <w:rPr>
          <w:rFonts w:eastAsiaTheme="minorHAnsi"/>
        </w:rPr>
      </w:pPr>
      <w:r w:rsidRPr="00AF3C81">
        <w:rPr>
          <w:rFonts w:eastAsiaTheme="minorHAnsi"/>
        </w:rPr>
        <w:t>Investigations by source</w:t>
      </w:r>
    </w:p>
    <w:p w14:paraId="7F2A7569" w14:textId="0A69EF3A" w:rsidR="004B7E5B" w:rsidRPr="007D3940" w:rsidDel="00793936" w:rsidRDefault="00654BAA" w:rsidP="007D3940">
      <w:r w:rsidRPr="00882C04">
        <w:t xml:space="preserve">The </w:t>
      </w:r>
      <w:r w:rsidR="00B756A5">
        <w:t xml:space="preserve">ATO identifies properties for investigation using a range of sources </w:t>
      </w:r>
      <w:r w:rsidRPr="00882C04">
        <w:t>including community information, dat</w:t>
      </w:r>
      <w:r w:rsidR="005F609E">
        <w:t>a matching and self</w:t>
      </w:r>
      <w:r w:rsidR="005F609E">
        <w:noBreakHyphen/>
        <w:t>disclosures</w:t>
      </w:r>
      <w:r w:rsidR="00B756A5">
        <w:t xml:space="preserve"> (see Table 4.3)</w:t>
      </w:r>
      <w:r w:rsidR="003B451E">
        <w:t xml:space="preserve">. </w:t>
      </w:r>
    </w:p>
    <w:p w14:paraId="4F71F430" w14:textId="36AAC81A" w:rsidR="00654BAA" w:rsidRDefault="00654BAA" w:rsidP="00FE0B08">
      <w:pPr>
        <w:pStyle w:val="TableHeading"/>
      </w:pPr>
      <w:bookmarkStart w:id="1398" w:name="_Toc529545221"/>
      <w:bookmarkStart w:id="1399" w:name="_Toc529802475"/>
      <w:bookmarkStart w:id="1400" w:name="_Toc529878050"/>
      <w:bookmarkStart w:id="1401" w:name="_Toc529879274"/>
      <w:bookmarkStart w:id="1402" w:name="_Toc529882539"/>
      <w:bookmarkStart w:id="1403" w:name="_Toc529885210"/>
      <w:bookmarkStart w:id="1404" w:name="_Toc529890682"/>
      <w:bookmarkStart w:id="1405" w:name="_Toc529970053"/>
      <w:bookmarkStart w:id="1406" w:name="_Toc529979408"/>
      <w:bookmarkStart w:id="1407" w:name="_Toc530050453"/>
      <w:bookmarkStart w:id="1408" w:name="_Toc530065532"/>
      <w:bookmarkStart w:id="1409" w:name="_Toc530066360"/>
      <w:bookmarkStart w:id="1410" w:name="_Toc530145080"/>
      <w:bookmarkStart w:id="1411" w:name="_Toc530146050"/>
      <w:bookmarkStart w:id="1412" w:name="_Toc530146971"/>
      <w:bookmarkStart w:id="1413" w:name="_Toc530148329"/>
      <w:bookmarkStart w:id="1414" w:name="_Toc530148530"/>
      <w:bookmarkStart w:id="1415" w:name="_Toc530149202"/>
      <w:bookmarkStart w:id="1416" w:name="_Toc530149826"/>
      <w:bookmarkStart w:id="1417" w:name="_Toc530401678"/>
      <w:bookmarkStart w:id="1418" w:name="_Toc530491431"/>
      <w:bookmarkStart w:id="1419" w:name="_Toc530495849"/>
      <w:bookmarkStart w:id="1420" w:name="_Toc530497752"/>
      <w:bookmarkStart w:id="1421" w:name="_Toc530663572"/>
      <w:bookmarkStart w:id="1422" w:name="_Toc530753866"/>
      <w:bookmarkStart w:id="1423" w:name="_Toc530756435"/>
      <w:bookmarkStart w:id="1424" w:name="_Toc530759872"/>
      <w:bookmarkStart w:id="1425" w:name="_Toc532223719"/>
      <w:bookmarkStart w:id="1426" w:name="_Toc532224178"/>
      <w:bookmarkStart w:id="1427" w:name="_Toc532226657"/>
      <w:bookmarkStart w:id="1428" w:name="_Toc536029359"/>
      <w:bookmarkStart w:id="1429" w:name="_Toc1054899"/>
      <w:r w:rsidRPr="00654BAA">
        <w:t>Table</w:t>
      </w:r>
      <w:r w:rsidR="00FE0B08">
        <w:t xml:space="preserve"> </w:t>
      </w:r>
      <w:r w:rsidR="009C758C">
        <w:t>4</w:t>
      </w:r>
      <w:r w:rsidRPr="00654BAA">
        <w:t>.</w:t>
      </w:r>
      <w:r w:rsidR="00C34303">
        <w:t>3</w:t>
      </w:r>
      <w:r w:rsidRPr="00654BAA">
        <w:t>:</w:t>
      </w:r>
      <w:r w:rsidR="00665F25">
        <w:t xml:space="preserve"> </w:t>
      </w:r>
      <w:r w:rsidRPr="00654BAA">
        <w:t xml:space="preserve">Source of residential real estate </w:t>
      </w:r>
      <w:r w:rsidR="00975EC2">
        <w:t>cases</w:t>
      </w:r>
      <w:r w:rsidR="00975EC2" w:rsidRPr="00654BAA">
        <w:t xml:space="preserve"> </w:t>
      </w:r>
      <w:r w:rsidRPr="00654BAA">
        <w:t>in 2016–17 to 2017–18</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698DA772" w14:textId="68FDC2C4" w:rsidR="0028405F" w:rsidRPr="00430EBB" w:rsidRDefault="00E56859" w:rsidP="00430EBB">
      <w:pPr>
        <w:pStyle w:val="TableGraphic"/>
        <w:rPr>
          <w:b/>
        </w:rPr>
      </w:pPr>
      <w:r>
        <w:object w:dxaOrig="8338" w:dyaOrig="1620" w14:anchorId="518F8FFB">
          <v:shape id="_x0000_i1046" type="#_x0000_t75" alt="Table shows the number of residential real estate investigations in 2016-17 and 2017-18 and categorises these by the source of the case.&#10;Sources of cases were community information, data matching, self-disclosure or other referrals. In 2017-18 63.7 per cent of cases were due to data matching. Compared to 2016-17 the largest source change for investigations in 2017-18 was self disclosure. The number of cases sourced by self disclosure increased by 188 (10.8 per cent of all cases) to 288 (16.8 per cent of all cases) in 2018-19." style="width:388.95pt;height:83.65pt;mso-position-vertical:absolute" o:ole="">
            <v:imagedata r:id="rId114" o:title=""/>
          </v:shape>
          <o:OLEObject Type="Link" ProgID="Excel.Sheet.12" ShapeID="_x0000_i1046" DrawAspect="Content" r:id="rId115" UpdateMode="Always">
            <o:LinkType>EnhancedMetaFile</o:LinkType>
            <o:LockedField>false</o:LockedField>
          </o:OLEObject>
        </w:object>
      </w:r>
    </w:p>
    <w:p w14:paraId="47EC5213" w14:textId="36EF3130" w:rsidR="003A0ABF" w:rsidRPr="004B7E5B" w:rsidRDefault="003A0ABF" w:rsidP="00397941">
      <w:pPr>
        <w:pStyle w:val="ChartandTableFootnoteAlpha"/>
        <w:numPr>
          <w:ilvl w:val="0"/>
          <w:numId w:val="35"/>
        </w:numPr>
      </w:pPr>
      <w:r>
        <w:t xml:space="preserve">Community information are cases for which information was </w:t>
      </w:r>
      <w:r w:rsidRPr="007C1542">
        <w:rPr>
          <w:rFonts w:cs="Arial"/>
        </w:rPr>
        <w:t>received from the community</w:t>
      </w:r>
      <w:r>
        <w:rPr>
          <w:rFonts w:cs="Arial"/>
        </w:rPr>
        <w:t xml:space="preserve">. Data </w:t>
      </w:r>
      <w:r w:rsidR="00431A60">
        <w:rPr>
          <w:rFonts w:cs="Arial"/>
        </w:rPr>
        <w:t xml:space="preserve">matching </w:t>
      </w:r>
      <w:r>
        <w:rPr>
          <w:rFonts w:cs="Arial"/>
        </w:rPr>
        <w:t>are cases which were identified using ATO data matching sources. Other referrals cases are collected through i</w:t>
      </w:r>
      <w:r w:rsidRPr="007C1542">
        <w:rPr>
          <w:rFonts w:cs="Arial"/>
        </w:rPr>
        <w:t xml:space="preserve">nternal ATO referrals (includes cases escalated to litigation) and referrals received from other </w:t>
      </w:r>
      <w:r>
        <w:rPr>
          <w:rFonts w:cs="Arial"/>
        </w:rPr>
        <w:t>g</w:t>
      </w:r>
      <w:r w:rsidRPr="007C1542">
        <w:rPr>
          <w:rFonts w:cs="Arial"/>
        </w:rPr>
        <w:t>overnment agencies</w:t>
      </w:r>
      <w:r>
        <w:rPr>
          <w:rFonts w:cs="Arial"/>
        </w:rPr>
        <w:t xml:space="preserve"> or</w:t>
      </w:r>
      <w:r w:rsidRPr="007C1542">
        <w:rPr>
          <w:rFonts w:cs="Arial"/>
        </w:rPr>
        <w:t xml:space="preserve"> media reports</w:t>
      </w:r>
      <w:r>
        <w:rPr>
          <w:rFonts w:cs="Arial"/>
        </w:rPr>
        <w:t>.</w:t>
      </w:r>
    </w:p>
    <w:p w14:paraId="747FFC07" w14:textId="70A60373" w:rsidR="00954AD3" w:rsidRPr="00954AD3" w:rsidRDefault="00654BAA" w:rsidP="00954AD3">
      <w:pPr>
        <w:pStyle w:val="ChartandTableFootnoteAlpha"/>
        <w:numPr>
          <w:ilvl w:val="0"/>
          <w:numId w:val="35"/>
        </w:numPr>
        <w:ind w:left="284" w:hanging="284"/>
        <w:rPr>
          <w:rFonts w:eastAsiaTheme="minorHAnsi"/>
        </w:rPr>
      </w:pPr>
      <w:r w:rsidRPr="004B7E5B">
        <w:t>The total number of received cases includes new cases identified in the prior financial year which remained open at the end of that financial year. In 2016</w:t>
      </w:r>
      <w:r w:rsidR="0080522B" w:rsidRPr="004B7E5B">
        <w:t>–</w:t>
      </w:r>
      <w:r w:rsidRPr="004B7E5B">
        <w:t>17 there were 554 cases carried forward from 2015</w:t>
      </w:r>
      <w:r w:rsidR="00512EBF" w:rsidRPr="004B7E5B">
        <w:t>–</w:t>
      </w:r>
      <w:r w:rsidRPr="004B7E5B">
        <w:t>16 and in 2017</w:t>
      </w:r>
      <w:r w:rsidR="0080522B" w:rsidRPr="004B7E5B">
        <w:t>–</w:t>
      </w:r>
      <w:r w:rsidRPr="004B7E5B">
        <w:t>18 there were 260 cases carried forward from 2016</w:t>
      </w:r>
      <w:r w:rsidR="0080522B" w:rsidRPr="004B7E5B">
        <w:t>–</w:t>
      </w:r>
      <w:r w:rsidRPr="004B7E5B">
        <w:t>17.</w:t>
      </w:r>
      <w:r w:rsidR="00954AD3" w:rsidRPr="002A2C33" w:rsidDel="00954AD3">
        <w:t xml:space="preserve"> </w:t>
      </w:r>
    </w:p>
    <w:p w14:paraId="4318F32C" w14:textId="1A555EC7" w:rsidR="00954AD3" w:rsidRPr="00954AD3" w:rsidRDefault="00954AD3" w:rsidP="00CB015C">
      <w:pPr>
        <w:pStyle w:val="ChartandTableFootnote"/>
        <w:tabs>
          <w:tab w:val="left" w:pos="567"/>
        </w:tabs>
        <w:spacing w:after="240"/>
        <w:rPr>
          <w:rFonts w:ascii="Arial" w:eastAsiaTheme="minorHAnsi" w:hAnsi="Arial" w:cs="Arial"/>
        </w:rPr>
      </w:pPr>
      <w:r w:rsidRPr="00954AD3">
        <w:rPr>
          <w:rFonts w:ascii="Arial" w:eastAsiaTheme="minorHAnsi" w:hAnsi="Arial" w:cs="Arial"/>
        </w:rPr>
        <w:t>Notes:</w:t>
      </w:r>
      <w:r w:rsidRPr="00954AD3">
        <w:rPr>
          <w:rFonts w:ascii="Arial" w:eastAsiaTheme="minorHAnsi" w:hAnsi="Arial" w:cs="Arial"/>
        </w:rPr>
        <w:tab/>
      </w:r>
      <w:r w:rsidR="00BA639F">
        <w:rPr>
          <w:rFonts w:ascii="Arial" w:eastAsiaTheme="minorHAnsi" w:hAnsi="Arial" w:cs="Arial"/>
        </w:rPr>
        <w:t>Percentage t</w:t>
      </w:r>
      <w:r w:rsidRPr="00954AD3">
        <w:rPr>
          <w:rFonts w:ascii="Arial" w:eastAsiaTheme="minorHAnsi" w:hAnsi="Arial" w:cs="Arial"/>
        </w:rPr>
        <w:t>otals may not add due to rounding.</w:t>
      </w:r>
    </w:p>
    <w:p w14:paraId="33298858" w14:textId="745C1392" w:rsidR="00654BAA" w:rsidRPr="00654BAA" w:rsidRDefault="00654BAA">
      <w:r w:rsidRPr="00654BAA">
        <w:t xml:space="preserve">ATO data matching </w:t>
      </w:r>
      <w:r w:rsidR="00367089">
        <w:t>analysis</w:t>
      </w:r>
      <w:r w:rsidRPr="00654BAA">
        <w:t xml:space="preserve"> is an increasingly important source of information used in compliance investigations. Data matching made up over 63 per cent of the </w:t>
      </w:r>
      <w:r w:rsidR="00C50586">
        <w:t xml:space="preserve">1,710 </w:t>
      </w:r>
      <w:r w:rsidRPr="00654BAA">
        <w:t xml:space="preserve">cases identified for investigation in 2017–18. Although </w:t>
      </w:r>
      <w:r w:rsidR="00E65F53">
        <w:t xml:space="preserve">information received from the </w:t>
      </w:r>
      <w:r w:rsidRPr="00654BAA">
        <w:t xml:space="preserve">community </w:t>
      </w:r>
      <w:r w:rsidR="00E65F53">
        <w:t>is</w:t>
      </w:r>
      <w:r w:rsidRPr="00654BAA">
        <w:t xml:space="preserve"> a source of intelligence for the ATO, only a small proportion of investigations arising from community information actually involved a breach of the Act. In most cases, the owners of the properties reported by community members were </w:t>
      </w:r>
      <w:r w:rsidR="001363F1">
        <w:t>found</w:t>
      </w:r>
      <w:r w:rsidR="001363F1" w:rsidRPr="00654BAA">
        <w:t xml:space="preserve"> </w:t>
      </w:r>
      <w:r w:rsidRPr="00654BAA">
        <w:t xml:space="preserve">to be Australian citizens or permanent residents and </w:t>
      </w:r>
      <w:r w:rsidR="00360164">
        <w:t>were</w:t>
      </w:r>
      <w:r w:rsidR="00360164" w:rsidRPr="00654BAA">
        <w:t xml:space="preserve"> </w:t>
      </w:r>
      <w:r w:rsidRPr="00654BAA">
        <w:t>therefore exempt from the Act.</w:t>
      </w:r>
    </w:p>
    <w:p w14:paraId="228D94DC" w14:textId="58414113" w:rsidR="005447A4" w:rsidRPr="00B82D48" w:rsidRDefault="00654BAA" w:rsidP="00FE0B08">
      <w:pPr>
        <w:pStyle w:val="TableHeading"/>
        <w:rPr>
          <w:vanish/>
          <w:specVanish/>
        </w:rPr>
      </w:pPr>
      <w:bookmarkStart w:id="1430" w:name="_Toc529545222"/>
      <w:bookmarkStart w:id="1431" w:name="_Toc529802476"/>
      <w:bookmarkStart w:id="1432" w:name="_Toc529878051"/>
      <w:bookmarkStart w:id="1433" w:name="_Toc529879275"/>
      <w:bookmarkStart w:id="1434" w:name="_Toc529882540"/>
      <w:bookmarkStart w:id="1435" w:name="_Toc529885211"/>
      <w:bookmarkStart w:id="1436" w:name="_Toc529890683"/>
      <w:bookmarkStart w:id="1437" w:name="_Toc529970054"/>
      <w:bookmarkStart w:id="1438" w:name="_Toc529979409"/>
      <w:bookmarkStart w:id="1439" w:name="_Toc530050454"/>
      <w:bookmarkStart w:id="1440" w:name="_Toc530065533"/>
      <w:bookmarkStart w:id="1441" w:name="_Toc530066361"/>
      <w:bookmarkStart w:id="1442" w:name="_Toc530145081"/>
      <w:bookmarkStart w:id="1443" w:name="_Toc530146051"/>
      <w:bookmarkStart w:id="1444" w:name="_Toc530146972"/>
      <w:bookmarkStart w:id="1445" w:name="_Toc530148330"/>
      <w:bookmarkStart w:id="1446" w:name="_Toc530148531"/>
      <w:bookmarkStart w:id="1447" w:name="_Toc530149203"/>
      <w:bookmarkStart w:id="1448" w:name="_Toc530149827"/>
      <w:bookmarkStart w:id="1449" w:name="_Toc530401679"/>
      <w:bookmarkStart w:id="1450" w:name="_Toc530491432"/>
      <w:bookmarkStart w:id="1451" w:name="_Toc530495850"/>
      <w:bookmarkStart w:id="1452" w:name="_Toc530497753"/>
      <w:bookmarkStart w:id="1453" w:name="_Toc530663573"/>
      <w:bookmarkStart w:id="1454" w:name="_Toc530753867"/>
      <w:bookmarkStart w:id="1455" w:name="_Toc530756436"/>
      <w:bookmarkStart w:id="1456" w:name="_Toc530759873"/>
      <w:bookmarkStart w:id="1457" w:name="_Toc532224179"/>
      <w:bookmarkStart w:id="1458" w:name="_Toc532226658"/>
      <w:bookmarkStart w:id="1459" w:name="_Toc536029360"/>
      <w:bookmarkStart w:id="1460" w:name="_Toc1054900"/>
      <w:bookmarkStart w:id="1461" w:name="_Toc532223720"/>
      <w:r w:rsidRPr="00654BAA">
        <w:t>Table</w:t>
      </w:r>
      <w:r w:rsidR="00FE0B08">
        <w:t xml:space="preserve"> </w:t>
      </w:r>
      <w:r w:rsidR="003404AB">
        <w:t>4</w:t>
      </w:r>
      <w:r w:rsidRPr="00654BAA">
        <w:t>.</w:t>
      </w:r>
      <w:r w:rsidR="00C34303">
        <w:t>4</w:t>
      </w:r>
      <w:r w:rsidRPr="00654BAA">
        <w:t>:</w:t>
      </w:r>
      <w:r w:rsidR="00665F25">
        <w:t xml:space="preserve"> </w:t>
      </w:r>
      <w:r w:rsidRPr="00654BAA">
        <w:t>Outcomes of completed residential real estate investigations in 2016–17 to 2017–18, by source</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bookmarkEnd w:id="1461"/>
    <w:p w14:paraId="0C4152BD" w14:textId="1FD9B58E" w:rsidR="00654BAA" w:rsidRDefault="00654BAA" w:rsidP="00DE38F2">
      <w:pPr>
        <w:spacing w:after="0"/>
        <w:rPr>
          <w:b/>
          <w:color w:val="A32035" w:themeColor="accent1"/>
          <w:vertAlign w:val="superscript"/>
        </w:rPr>
      </w:pPr>
    </w:p>
    <w:p w14:paraId="3BF64FCB" w14:textId="26EB70E2" w:rsidR="00A4578C" w:rsidRPr="00654BAA" w:rsidRDefault="00E56859" w:rsidP="00430EBB">
      <w:pPr>
        <w:pStyle w:val="TableGraphic"/>
      </w:pPr>
      <w:r>
        <w:object w:dxaOrig="8324" w:dyaOrig="1848" w14:anchorId="799923F8">
          <v:shape id="_x0000_i1047" type="#_x0000_t75" alt="Table shows the number of completed residential real estate investigations and the number of properties in breach in 2016-17 and 2017-18 and categorises these by the source of the investigation.&#10;Investigations sources were community information, data matching, self-disclosure or other referrals. In both 2016-17 and 2017-18 investigations from data matching were more than 50 per cent of both the investigations completed and breaches. The number of breaches as a result of data matching decreased in 2017-18 to 370. Community information, self-disclosure and other referrals saw an increase in the number of breaches in 2017-18 compared to 2016-17." style="width:387.9pt;height:96pt" o:ole="">
            <v:imagedata r:id="rId116" o:title=""/>
          </v:shape>
          <o:OLEObject Type="Link" ProgID="Excel.Sheet.12" ShapeID="_x0000_i1047" DrawAspect="Content" r:id="rId117" UpdateMode="Always">
            <o:LinkType>EnhancedMetaFile</o:LinkType>
            <o:LockedField>false</o:LockedField>
          </o:OLEObject>
        </w:object>
      </w:r>
    </w:p>
    <w:p w14:paraId="0BFF3BA7" w14:textId="4D3BB551" w:rsidR="00893B68" w:rsidRPr="00893B68" w:rsidRDefault="00954AD3" w:rsidP="00954AD3">
      <w:pPr>
        <w:pStyle w:val="ChartorTableNote"/>
        <w:tabs>
          <w:tab w:val="left" w:pos="567"/>
        </w:tabs>
        <w:ind w:left="567" w:hanging="567"/>
      </w:pPr>
      <w:r>
        <w:t xml:space="preserve">Note: </w:t>
      </w:r>
      <w:r w:rsidRPr="00954AD3">
        <w:tab/>
      </w:r>
      <w:r w:rsidR="00654BAA" w:rsidRPr="007C1542">
        <w:t>The number of completed investigations and the number of breaches are not directly comparable. The number of breaches is reported by residential property and the number of completed investigations by case. There may be multiple properties involved in a case or multiple cases per propert</w:t>
      </w:r>
      <w:r w:rsidR="00950EC5">
        <w:t>y in the event of joint owners.</w:t>
      </w:r>
    </w:p>
    <w:p w14:paraId="182BB134" w14:textId="77459E98" w:rsidR="00F718BB" w:rsidRPr="00AF3C81" w:rsidRDefault="00F718BB" w:rsidP="00430EBB">
      <w:pPr>
        <w:pStyle w:val="Heading4"/>
        <w:rPr>
          <w:rFonts w:eastAsiaTheme="minorHAnsi"/>
          <w:iCs/>
          <w:szCs w:val="28"/>
        </w:rPr>
      </w:pPr>
      <w:r>
        <w:rPr>
          <w:rFonts w:eastAsiaTheme="minorHAnsi"/>
        </w:rPr>
        <w:t>Infringement notices</w:t>
      </w:r>
    </w:p>
    <w:p w14:paraId="34781BC5" w14:textId="2042AD87" w:rsidR="00654BAA" w:rsidRPr="002229ED" w:rsidRDefault="00654BAA">
      <w:r w:rsidRPr="00654BAA">
        <w:t xml:space="preserve">There are two levels of infringement notices which impose different financial penalties on a foreign </w:t>
      </w:r>
      <w:r w:rsidR="00ED619A">
        <w:t>person</w:t>
      </w:r>
      <w:r w:rsidRPr="00654BAA">
        <w:t xml:space="preserve">. A </w:t>
      </w:r>
      <w:r w:rsidR="004A02B6">
        <w:t>t</w:t>
      </w:r>
      <w:r w:rsidRPr="00654BAA">
        <w:t xml:space="preserve">ier 1 infringement notice may be issued where a foreign </w:t>
      </w:r>
      <w:r w:rsidR="00ED619A">
        <w:t>person</w:t>
      </w:r>
      <w:r w:rsidRPr="00654BAA">
        <w:t xml:space="preserve"> notifies of a breach before an infringement notice is issued, while in cases where the ATO identifies a breach as a result of compliance activity, a </w:t>
      </w:r>
      <w:r w:rsidR="004A02B6">
        <w:t>t</w:t>
      </w:r>
      <w:r w:rsidRPr="00654BAA">
        <w:t>ier 2 infringement may be issued.</w:t>
      </w:r>
    </w:p>
    <w:p w14:paraId="42C0D808" w14:textId="3C4574E7" w:rsidR="00654BAA" w:rsidRDefault="00654BAA" w:rsidP="00FE0B08">
      <w:pPr>
        <w:pStyle w:val="TableHeading"/>
      </w:pPr>
      <w:bookmarkStart w:id="1462" w:name="_Toc529545223"/>
      <w:bookmarkStart w:id="1463" w:name="_Toc529802477"/>
      <w:bookmarkStart w:id="1464" w:name="_Toc529878052"/>
      <w:bookmarkStart w:id="1465" w:name="_Toc529879276"/>
      <w:bookmarkStart w:id="1466" w:name="_Toc529882541"/>
      <w:bookmarkStart w:id="1467" w:name="_Toc529885212"/>
      <w:bookmarkStart w:id="1468" w:name="_Toc529890684"/>
      <w:bookmarkStart w:id="1469" w:name="_Toc529970055"/>
      <w:bookmarkStart w:id="1470" w:name="_Toc529979410"/>
      <w:bookmarkStart w:id="1471" w:name="_Toc530050455"/>
      <w:bookmarkStart w:id="1472" w:name="_Toc530065534"/>
      <w:bookmarkStart w:id="1473" w:name="_Toc530066362"/>
      <w:bookmarkStart w:id="1474" w:name="_Toc530145082"/>
      <w:bookmarkStart w:id="1475" w:name="_Toc530146052"/>
      <w:bookmarkStart w:id="1476" w:name="_Toc530146973"/>
      <w:bookmarkStart w:id="1477" w:name="_Toc530148331"/>
      <w:bookmarkStart w:id="1478" w:name="_Toc530148532"/>
      <w:bookmarkStart w:id="1479" w:name="_Toc530149204"/>
      <w:bookmarkStart w:id="1480" w:name="_Toc530149828"/>
      <w:bookmarkStart w:id="1481" w:name="_Toc530401680"/>
      <w:bookmarkStart w:id="1482" w:name="_Toc530491433"/>
      <w:bookmarkStart w:id="1483" w:name="_Toc530495851"/>
      <w:bookmarkStart w:id="1484" w:name="_Toc530497754"/>
      <w:bookmarkStart w:id="1485" w:name="_Toc530663574"/>
      <w:bookmarkStart w:id="1486" w:name="_Toc530753868"/>
      <w:bookmarkStart w:id="1487" w:name="_Toc530756437"/>
      <w:bookmarkStart w:id="1488" w:name="_Toc530759874"/>
      <w:bookmarkStart w:id="1489" w:name="_Toc532223721"/>
      <w:bookmarkStart w:id="1490" w:name="_Toc532224180"/>
      <w:bookmarkStart w:id="1491" w:name="_Toc532226659"/>
      <w:bookmarkStart w:id="1492" w:name="_Toc536029361"/>
      <w:bookmarkStart w:id="1493" w:name="_Toc1054901"/>
      <w:r w:rsidRPr="00FE0B08">
        <w:t>Table</w:t>
      </w:r>
      <w:r w:rsidR="00FE0B08">
        <w:t xml:space="preserve"> </w:t>
      </w:r>
      <w:r w:rsidR="003404AB">
        <w:t>4</w:t>
      </w:r>
      <w:r w:rsidRPr="00FE0B08">
        <w:t>.</w:t>
      </w:r>
      <w:r w:rsidR="00C34303">
        <w:t>5</w:t>
      </w:r>
      <w:r w:rsidRPr="00FE0B08">
        <w:t>:</w:t>
      </w:r>
      <w:r w:rsidR="00665F25">
        <w:t xml:space="preserve"> </w:t>
      </w:r>
      <w:r w:rsidRPr="00FE0B08">
        <w:t>Infringement notices issued in relat</w:t>
      </w:r>
      <w:r w:rsidR="00FE0B08" w:rsidRPr="00FE0B08">
        <w:t>ion to residential real estate,</w:t>
      </w:r>
      <w:r w:rsidR="00FE0B08" w:rsidRPr="00FE0B08">
        <w:br/>
      </w:r>
      <w:r w:rsidRPr="00FE0B08">
        <w:t>2016–17 to 2017–18</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730C09EC" w14:textId="027428E4" w:rsidR="005B3ACB" w:rsidRPr="00430EBB" w:rsidRDefault="00E56859" w:rsidP="00430EBB">
      <w:pPr>
        <w:pStyle w:val="TableGraphic"/>
        <w:rPr>
          <w:b/>
        </w:rPr>
      </w:pPr>
      <w:r>
        <w:object w:dxaOrig="8343" w:dyaOrig="1163" w14:anchorId="4556EB5A">
          <v:shape id="_x0000_i1048" type="#_x0000_t75" alt="Table shows the number and total value of infringement notices issued in relation to residential real estate in 2016-17 and 2017-18 and categorises these by the tier of infringement. Infringements are either tier 1 or tier 2 infringements. &#10;In 2017-18 the value of  both tier 1 and tier 2 infringements increased from 2016-17. The number of tier one infringements decreased in 2017-18 to 347 and the number of tier 2 and total infringements increased to 82 and 429 respectively. The total value of infringements in 2017-18 was $2,176,480." style="width:389.6pt;height:60.35pt" o:ole="">
            <v:imagedata r:id="rId118" o:title=""/>
          </v:shape>
          <o:OLEObject Type="Link" ProgID="Excel.Sheet.12" ShapeID="_x0000_i1048" DrawAspect="Content" r:id="rId119" UpdateMode="Always">
            <o:LinkType>EnhancedMetaFile</o:LinkType>
            <o:LockedField>false</o:LockedField>
          </o:OLEObject>
        </w:object>
      </w:r>
    </w:p>
    <w:p w14:paraId="5FB6CFCE" w14:textId="4C9902F3" w:rsidR="00654BAA" w:rsidRPr="00654BAA" w:rsidRDefault="00654BAA" w:rsidP="002229ED">
      <w:pPr>
        <w:pStyle w:val="ChartorTableNote"/>
        <w:tabs>
          <w:tab w:val="left" w:pos="567"/>
        </w:tabs>
      </w:pPr>
      <w:r w:rsidRPr="00654BAA">
        <w:t>Notes</w:t>
      </w:r>
      <w:r w:rsidR="00793936" w:rsidRPr="00654BAA">
        <w:t>:</w:t>
      </w:r>
      <w:r w:rsidR="00793936">
        <w:tab/>
      </w:r>
      <w:r w:rsidRPr="00654BAA">
        <w:t>Tier 1 infringement notices are issued where the breach is self-</w:t>
      </w:r>
      <w:r w:rsidR="00431A60">
        <w:t>disclosed</w:t>
      </w:r>
      <w:r w:rsidRPr="00654BAA">
        <w:t>.</w:t>
      </w:r>
    </w:p>
    <w:p w14:paraId="6DDC95D9" w14:textId="35B87D36" w:rsidR="005A225C" w:rsidRPr="005A225C" w:rsidRDefault="00654BAA" w:rsidP="00430EBB">
      <w:pPr>
        <w:pStyle w:val="ChartorTableNote"/>
        <w:tabs>
          <w:tab w:val="left" w:pos="567"/>
        </w:tabs>
        <w:ind w:left="567"/>
        <w:rPr>
          <w:spacing w:val="-2"/>
        </w:rPr>
      </w:pPr>
      <w:r w:rsidRPr="002229ED">
        <w:rPr>
          <w:spacing w:val="-2"/>
        </w:rPr>
        <w:t>Tier 2 infringement notices are issued where the breach is identified by the ATO’s compliance activity.</w:t>
      </w:r>
      <w:r w:rsidR="005A225C">
        <w:rPr>
          <w:spacing w:val="-2"/>
        </w:rPr>
        <w:br/>
      </w:r>
      <w:r w:rsidR="005A225C" w:rsidRPr="005A225C">
        <w:rPr>
          <w:spacing w:val="-2"/>
        </w:rPr>
        <w:t>The infringement notice regime was introduced on 1 December 2015. Infringement notices cannot be issued for breaches that occurred prior 1 December 2015, even if the breach was detected after that date.</w:t>
      </w:r>
    </w:p>
    <w:p w14:paraId="3314FE78" w14:textId="77777777" w:rsidR="007D3940" w:rsidRPr="007D3940" w:rsidRDefault="007D3940" w:rsidP="007D3940"/>
    <w:p w14:paraId="45FD7915" w14:textId="77777777" w:rsidR="003E1D3A" w:rsidRPr="007D3940" w:rsidRDefault="003E1D3A" w:rsidP="007D3940">
      <w:pPr>
        <w:sectPr w:rsidR="003E1D3A" w:rsidRPr="007D3940" w:rsidSect="003E1D3A">
          <w:headerReference w:type="first" r:id="rId120"/>
          <w:footerReference w:type="first" r:id="rId121"/>
          <w:type w:val="oddPage"/>
          <w:pgSz w:w="11907" w:h="16840" w:code="9"/>
          <w:pgMar w:top="2466" w:right="2098" w:bottom="2466" w:left="2098" w:header="1899" w:footer="1899" w:gutter="0"/>
          <w:cols w:space="708"/>
          <w:titlePg/>
          <w:docGrid w:linePitch="360"/>
        </w:sectPr>
      </w:pPr>
    </w:p>
    <w:p w14:paraId="598A2CD1" w14:textId="77777777" w:rsidR="00D21C07" w:rsidRDefault="00D21C07" w:rsidP="00D21C07">
      <w:pPr>
        <w:pStyle w:val="ChartGraphic"/>
      </w:pPr>
      <w:bookmarkStart w:id="1494" w:name="_Toc512259068"/>
      <w:bookmarkStart w:id="1495" w:name="_Toc512523490"/>
      <w:bookmarkStart w:id="1496" w:name="_Toc512524859"/>
      <w:bookmarkStart w:id="1497" w:name="_Toc513021747"/>
      <w:bookmarkStart w:id="1498" w:name="_Toc513122765"/>
      <w:bookmarkStart w:id="1499" w:name="_Toc513131335"/>
      <w:r>
        <w:rPr>
          <w:noProof/>
        </w:rPr>
        <w:drawing>
          <wp:inline distT="0" distB="0" distL="0" distR="0" wp14:anchorId="36D57423" wp14:editId="7EBA1464">
            <wp:extent cx="4895088" cy="3059239"/>
            <wp:effectExtent l="0" t="0" r="127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B part page9.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895088" cy="3059239"/>
                    </a:xfrm>
                    <a:prstGeom prst="rect">
                      <a:avLst/>
                    </a:prstGeom>
                  </pic:spPr>
                </pic:pic>
              </a:graphicData>
            </a:graphic>
          </wp:inline>
        </w:drawing>
      </w:r>
    </w:p>
    <w:p w14:paraId="24E6358E" w14:textId="0B02970C" w:rsidR="00D21C07" w:rsidRPr="00DC58E6" w:rsidRDefault="00D21C07" w:rsidP="00DC58E6">
      <w:pPr>
        <w:pStyle w:val="Heading1"/>
      </w:pPr>
      <w:bookmarkStart w:id="1500" w:name="_Toc529530652"/>
      <w:bookmarkStart w:id="1501" w:name="_Toc529545255"/>
      <w:bookmarkStart w:id="1502" w:name="_Toc529795018"/>
      <w:bookmarkStart w:id="1503" w:name="_Toc529802501"/>
      <w:bookmarkStart w:id="1504" w:name="_Toc529878076"/>
      <w:bookmarkStart w:id="1505" w:name="_Toc529879300"/>
      <w:bookmarkStart w:id="1506" w:name="_Toc529882565"/>
      <w:bookmarkStart w:id="1507" w:name="_Toc529885236"/>
      <w:bookmarkStart w:id="1508" w:name="_Toc529890708"/>
      <w:bookmarkStart w:id="1509" w:name="_Toc529970079"/>
      <w:bookmarkStart w:id="1510" w:name="_Toc529979434"/>
      <w:bookmarkStart w:id="1511" w:name="_Toc530050480"/>
      <w:bookmarkStart w:id="1512" w:name="_Toc530065559"/>
      <w:bookmarkStart w:id="1513" w:name="_Toc530066387"/>
      <w:bookmarkStart w:id="1514" w:name="_Toc530145108"/>
      <w:bookmarkStart w:id="1515" w:name="_Toc530146078"/>
      <w:bookmarkStart w:id="1516" w:name="_Toc530146999"/>
      <w:bookmarkStart w:id="1517" w:name="_Toc530148357"/>
      <w:bookmarkStart w:id="1518" w:name="_Toc530148558"/>
      <w:bookmarkStart w:id="1519" w:name="_Toc530149230"/>
      <w:bookmarkStart w:id="1520" w:name="_Toc530149801"/>
      <w:bookmarkStart w:id="1521" w:name="_Toc532207346"/>
      <w:bookmarkStart w:id="1522" w:name="_Toc532217734"/>
      <w:bookmarkStart w:id="1523" w:name="_Toc532218755"/>
      <w:bookmarkStart w:id="1524" w:name="_Toc532219067"/>
      <w:bookmarkStart w:id="1525" w:name="_Toc532223751"/>
      <w:bookmarkStart w:id="1526" w:name="_Toc532224210"/>
      <w:bookmarkStart w:id="1527" w:name="_Toc532226689"/>
      <w:bookmarkStart w:id="1528" w:name="_Toc536029390"/>
      <w:bookmarkStart w:id="1529" w:name="_Toc1120412"/>
      <w:bookmarkStart w:id="1530" w:name="_Toc1121983"/>
      <w:r w:rsidRPr="00DC58E6">
        <w:t xml:space="preserve">Appendix </w:t>
      </w:r>
      <w:r w:rsidR="00BE7816" w:rsidRPr="00BE7816">
        <w:t xml:space="preserve">A: FIRB Meetings </w:t>
      </w:r>
      <w:r w:rsidR="00DC58E6" w:rsidRPr="00DC58E6">
        <w:t>during 2</w:t>
      </w:r>
      <w:bookmarkEnd w:id="1500"/>
      <w:r w:rsidR="00DC58E6" w:rsidRPr="00DC58E6">
        <w:t>017</w:t>
      </w:r>
      <w:r w:rsidRPr="00DC58E6">
        <w:t>–1</w:t>
      </w:r>
      <w:r w:rsidR="00DC58E6" w:rsidRPr="00DC58E6">
        <w:t>8</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2EA14415" w14:textId="0C7F2414" w:rsidR="00D21C07" w:rsidRPr="002229ED" w:rsidRDefault="00D21C07" w:rsidP="00FE0B08">
      <w:pPr>
        <w:pStyle w:val="TableHeading"/>
      </w:pPr>
      <w:bookmarkStart w:id="1531" w:name="_Toc529545224"/>
      <w:bookmarkStart w:id="1532" w:name="_Toc529802478"/>
      <w:bookmarkStart w:id="1533" w:name="_Toc529878053"/>
      <w:bookmarkStart w:id="1534" w:name="_Toc529879277"/>
      <w:bookmarkStart w:id="1535" w:name="_Toc529882542"/>
      <w:bookmarkStart w:id="1536" w:name="_Toc529885213"/>
      <w:bookmarkStart w:id="1537" w:name="_Toc529890685"/>
      <w:bookmarkStart w:id="1538" w:name="_Toc529970056"/>
      <w:bookmarkStart w:id="1539" w:name="_Toc529979411"/>
      <w:bookmarkStart w:id="1540" w:name="_Toc530050456"/>
      <w:bookmarkStart w:id="1541" w:name="_Toc530065535"/>
      <w:bookmarkStart w:id="1542" w:name="_Toc530066363"/>
      <w:bookmarkStart w:id="1543" w:name="_Toc530145083"/>
      <w:bookmarkStart w:id="1544" w:name="_Toc530146053"/>
      <w:bookmarkStart w:id="1545" w:name="_Toc530146974"/>
      <w:bookmarkStart w:id="1546" w:name="_Toc530148332"/>
      <w:bookmarkStart w:id="1547" w:name="_Toc530148533"/>
      <w:bookmarkStart w:id="1548" w:name="_Toc530149205"/>
      <w:bookmarkStart w:id="1549" w:name="_Toc530149829"/>
      <w:bookmarkStart w:id="1550" w:name="_Toc530401681"/>
      <w:bookmarkStart w:id="1551" w:name="_Toc530491434"/>
      <w:bookmarkStart w:id="1552" w:name="_Toc530495852"/>
      <w:bookmarkStart w:id="1553" w:name="_Toc530497755"/>
      <w:bookmarkStart w:id="1554" w:name="_Toc530663575"/>
      <w:bookmarkStart w:id="1555" w:name="_Toc530753869"/>
      <w:bookmarkStart w:id="1556" w:name="_Toc530756438"/>
      <w:bookmarkStart w:id="1557" w:name="_Toc530759875"/>
      <w:bookmarkStart w:id="1558" w:name="_Toc532223722"/>
      <w:bookmarkStart w:id="1559" w:name="_Toc532224181"/>
      <w:bookmarkStart w:id="1560" w:name="_Toc532226660"/>
      <w:bookmarkStart w:id="1561" w:name="_Toc536029362"/>
      <w:bookmarkStart w:id="1562" w:name="_Toc1054902"/>
      <w:r>
        <w:t>Table</w:t>
      </w:r>
      <w:r w:rsidR="00FE0B08">
        <w:t xml:space="preserve"> </w:t>
      </w:r>
      <w:r>
        <w:t>A.1:</w:t>
      </w:r>
      <w:r w:rsidR="00665F25">
        <w:t xml:space="preserve"> </w:t>
      </w:r>
      <w:r w:rsidR="00581D93">
        <w:t>FIRB</w:t>
      </w:r>
      <w:r>
        <w:t xml:space="preserve"> meeting attendance during 2017–18</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2BED5DAF" w14:textId="3D1E37FA" w:rsidR="00E831E5" w:rsidRPr="00E831E5" w:rsidRDefault="00E56859" w:rsidP="00E831E5">
      <w:pPr>
        <w:pStyle w:val="TableGraphic"/>
      </w:pPr>
      <w:r>
        <w:object w:dxaOrig="8270" w:dyaOrig="1967" w14:anchorId="589B1B26">
          <v:shape id="_x0000_i1049" type="#_x0000_t75" alt="Table shows the FIRB meeting attendance of the FIRB members for 2017-18 against the meeting they were eligible to attend.&#10;Michael D'Ascenzo and Teresa Dyson were the only two members ineligible to attend all 11 FIRB meetings. Teresa Dyson, Cheryl Edwardes, Patrick Secker and Alice Williams did not attend one meeting they were eligible to attend. David Peever did not attend five possible meetings. David Irvine, Michael D'Ascenzo and Roger Brake attended all eligible meetings." style="width:385.4pt;height:102.2pt;mso-position-vertical:absolute" o:ole="">
            <v:imagedata r:id="rId123" o:title=""/>
          </v:shape>
          <o:OLEObject Type="Link" ProgID="Excel.Sheet.12" ShapeID="_x0000_i1049" DrawAspect="Content" r:id="rId124" UpdateMode="Always">
            <o:LinkType>EnhancedMetaFile</o:LinkType>
            <o:LockedField>false</o:LockedField>
          </o:OLEObject>
        </w:object>
      </w:r>
    </w:p>
    <w:p w14:paraId="06EC3127" w14:textId="3775ABB7" w:rsidR="003E1D3A" w:rsidRDefault="003E1D3A" w:rsidP="00D21C07"/>
    <w:p w14:paraId="5E99ACB9" w14:textId="77777777" w:rsidR="003E1D3A" w:rsidRDefault="003E1D3A" w:rsidP="00D21C07">
      <w:pPr>
        <w:sectPr w:rsidR="003E1D3A" w:rsidSect="003E1D3A">
          <w:type w:val="oddPage"/>
          <w:pgSz w:w="11907" w:h="16840" w:code="9"/>
          <w:pgMar w:top="2466" w:right="2098" w:bottom="2466" w:left="2098" w:header="1899" w:footer="1899" w:gutter="0"/>
          <w:cols w:space="708"/>
          <w:titlePg/>
          <w:docGrid w:linePitch="360"/>
        </w:sectPr>
      </w:pPr>
    </w:p>
    <w:bookmarkEnd w:id="1494"/>
    <w:bookmarkEnd w:id="1495"/>
    <w:bookmarkEnd w:id="1496"/>
    <w:bookmarkEnd w:id="1497"/>
    <w:bookmarkEnd w:id="1498"/>
    <w:bookmarkEnd w:id="1499"/>
    <w:p w14:paraId="326616C2" w14:textId="77777777" w:rsidR="00D21C07" w:rsidRDefault="00D21C07" w:rsidP="009F5A6A">
      <w:pPr>
        <w:pStyle w:val="ChartGraphic"/>
      </w:pPr>
      <w:r>
        <w:rPr>
          <w:noProof/>
        </w:rPr>
        <w:drawing>
          <wp:inline distT="0" distB="0" distL="0" distR="0" wp14:anchorId="4D0B8D17" wp14:editId="624668D3">
            <wp:extent cx="4895087" cy="3059239"/>
            <wp:effectExtent l="0" t="0" r="127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B part page6.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895087" cy="3059239"/>
                    </a:xfrm>
                    <a:prstGeom prst="rect">
                      <a:avLst/>
                    </a:prstGeom>
                  </pic:spPr>
                </pic:pic>
              </a:graphicData>
            </a:graphic>
          </wp:inline>
        </w:drawing>
      </w:r>
    </w:p>
    <w:p w14:paraId="0D287272" w14:textId="346BEB2A" w:rsidR="009C204A" w:rsidRPr="00264BB4" w:rsidDel="00CE6D73" w:rsidRDefault="00CE6D73" w:rsidP="00F708B2">
      <w:pPr>
        <w:pStyle w:val="Heading1"/>
      </w:pPr>
      <w:bookmarkStart w:id="1563" w:name="_Toc529802502"/>
      <w:bookmarkStart w:id="1564" w:name="_Toc529878077"/>
      <w:bookmarkStart w:id="1565" w:name="_Toc529879301"/>
      <w:bookmarkStart w:id="1566" w:name="_Toc529882566"/>
      <w:bookmarkStart w:id="1567" w:name="_Toc529885237"/>
      <w:bookmarkStart w:id="1568" w:name="_Toc529890709"/>
      <w:bookmarkStart w:id="1569" w:name="_Toc529970080"/>
      <w:bookmarkStart w:id="1570" w:name="_Toc529979435"/>
      <w:bookmarkStart w:id="1571" w:name="_Toc530050481"/>
      <w:bookmarkStart w:id="1572" w:name="_Toc530065560"/>
      <w:bookmarkStart w:id="1573" w:name="_Toc530066388"/>
      <w:bookmarkStart w:id="1574" w:name="_Toc530145109"/>
      <w:bookmarkStart w:id="1575" w:name="_Toc530146079"/>
      <w:bookmarkStart w:id="1576" w:name="_Toc530147000"/>
      <w:bookmarkStart w:id="1577" w:name="_Toc530148358"/>
      <w:bookmarkStart w:id="1578" w:name="_Toc530148559"/>
      <w:bookmarkStart w:id="1579" w:name="_Toc530149231"/>
      <w:bookmarkStart w:id="1580" w:name="_Toc530149802"/>
      <w:bookmarkStart w:id="1581" w:name="_Toc532207347"/>
      <w:bookmarkStart w:id="1582" w:name="_Toc532217735"/>
      <w:bookmarkStart w:id="1583" w:name="_Toc532218756"/>
      <w:bookmarkStart w:id="1584" w:name="_Toc532219068"/>
      <w:bookmarkStart w:id="1585" w:name="_Toc532223752"/>
      <w:bookmarkStart w:id="1586" w:name="_Toc532224211"/>
      <w:bookmarkStart w:id="1587" w:name="_Toc532226690"/>
      <w:bookmarkStart w:id="1588" w:name="_Toc536029391"/>
      <w:bookmarkStart w:id="1589" w:name="_Toc1120413"/>
      <w:bookmarkStart w:id="1590" w:name="_Toc1121984"/>
      <w:r w:rsidRPr="00CE6D73">
        <w:t xml:space="preserve">Appendix </w:t>
      </w:r>
      <w:r w:rsidRPr="002229ED">
        <w:t>B</w:t>
      </w:r>
      <w:r w:rsidRPr="00CE6D73">
        <w:t xml:space="preserve">: </w:t>
      </w:r>
      <w:r w:rsidRPr="002229ED">
        <w:t>Methodological and Data Cave</w:t>
      </w:r>
      <w:r w:rsidR="003329CB">
        <w:t>a</w:t>
      </w:r>
      <w:r w:rsidRPr="00786181">
        <w:t>ts</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3ADCB466" w14:textId="2F84A09A" w:rsidR="00D21C07" w:rsidRPr="00264BB4" w:rsidRDefault="00D21C07" w:rsidP="00D21C07">
      <w:pPr>
        <w:rPr>
          <w:sz w:val="24"/>
        </w:rPr>
      </w:pPr>
      <w:r w:rsidRPr="00264BB4">
        <w:t xml:space="preserve">This appendix provides an overview of the main methodological and data caveats that apply to </w:t>
      </w:r>
      <w:r w:rsidR="00431A60">
        <w:t>application</w:t>
      </w:r>
      <w:r w:rsidR="000940C9">
        <w:t>s</w:t>
      </w:r>
      <w:r w:rsidR="00431A60">
        <w:t xml:space="preserve"> and approvals</w:t>
      </w:r>
      <w:r w:rsidRPr="00264BB4">
        <w:t xml:space="preserve"> data in this Annual </w:t>
      </w:r>
      <w:r w:rsidRPr="00264BB4">
        <w:rPr>
          <w:szCs w:val="24"/>
        </w:rPr>
        <w:t>Report.</w:t>
      </w:r>
      <w:r w:rsidRPr="00264BB4">
        <w:t xml:space="preserve"> While a useful source of data on proposed foreign investment in Australia, the </w:t>
      </w:r>
      <w:r w:rsidR="00581D93">
        <w:t>Board</w:t>
      </w:r>
      <w:r w:rsidRPr="00264BB4">
        <w:t xml:space="preserve"> urges caution in the use of these statistics, particularly when making comparisons with earlier years or alternate data sources on foreign investment.</w:t>
      </w:r>
    </w:p>
    <w:p w14:paraId="63BB3789" w14:textId="77777777" w:rsidR="00D21C07" w:rsidRPr="00264BB4" w:rsidRDefault="00D21C07" w:rsidP="004B7E5B">
      <w:pPr>
        <w:pStyle w:val="Heading2"/>
        <w:rPr>
          <w:rFonts w:eastAsiaTheme="majorEastAsia" w:cstheme="majorBidi"/>
          <w:smallCaps/>
          <w:color w:val="A32035" w:themeColor="accent1"/>
          <w:sz w:val="24"/>
        </w:rPr>
      </w:pPr>
      <w:bookmarkStart w:id="1591" w:name="_Toc529545257"/>
      <w:bookmarkStart w:id="1592" w:name="_Toc529795019"/>
      <w:bookmarkStart w:id="1593" w:name="_Toc529802503"/>
      <w:bookmarkStart w:id="1594" w:name="_Toc529878078"/>
      <w:bookmarkStart w:id="1595" w:name="_Toc529879302"/>
      <w:bookmarkStart w:id="1596" w:name="_Toc529882567"/>
      <w:bookmarkStart w:id="1597" w:name="_Toc529885238"/>
      <w:bookmarkStart w:id="1598" w:name="_Toc529890710"/>
      <w:bookmarkStart w:id="1599" w:name="_Toc529970081"/>
      <w:bookmarkStart w:id="1600" w:name="_Toc529979436"/>
      <w:bookmarkStart w:id="1601" w:name="_Toc530050482"/>
      <w:bookmarkStart w:id="1602" w:name="_Toc530065561"/>
      <w:bookmarkStart w:id="1603" w:name="_Toc530066389"/>
      <w:bookmarkStart w:id="1604" w:name="_Toc530145110"/>
      <w:bookmarkStart w:id="1605" w:name="_Toc530146080"/>
      <w:bookmarkStart w:id="1606" w:name="_Toc530147001"/>
      <w:bookmarkStart w:id="1607" w:name="_Toc530148359"/>
      <w:bookmarkStart w:id="1608" w:name="_Toc530148560"/>
      <w:bookmarkStart w:id="1609" w:name="_Toc530149232"/>
      <w:bookmarkStart w:id="1610" w:name="_Toc530149803"/>
      <w:bookmarkStart w:id="1611" w:name="_Toc532207348"/>
      <w:bookmarkStart w:id="1612" w:name="_Toc532217736"/>
      <w:bookmarkStart w:id="1613" w:name="_Toc532218757"/>
      <w:bookmarkStart w:id="1614" w:name="_Toc532219069"/>
      <w:bookmarkStart w:id="1615" w:name="_Toc532223753"/>
      <w:bookmarkStart w:id="1616" w:name="_Toc532224212"/>
      <w:bookmarkStart w:id="1617" w:name="_Toc532226691"/>
      <w:bookmarkStart w:id="1618" w:name="_Toc536029392"/>
      <w:bookmarkStart w:id="1619" w:name="_Toc1120414"/>
      <w:bookmarkStart w:id="1620" w:name="_Toc1121985"/>
      <w:r w:rsidRPr="00264BB4">
        <w:rPr>
          <w:rFonts w:eastAsiaTheme="majorEastAsia"/>
        </w:rPr>
        <w:t>Methodological and data caveats</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14:paraId="204E5E7C" w14:textId="1A990557" w:rsidR="00D21C07" w:rsidRPr="00264BB4" w:rsidRDefault="00D21C07" w:rsidP="0075316F">
      <w:pPr>
        <w:pStyle w:val="Bullet"/>
      </w:pPr>
      <w:r w:rsidRPr="00264BB4">
        <w:t xml:space="preserve">The statistics contained in this Annual Report do not measure total foreign investment made in any year, nor do they measure changes in net foreign ownership levels in Australia. They reflect investor intentions (not actual purchases) to acquire Australian assets. They can be skewed by very large investment proposals and multiple </w:t>
      </w:r>
      <w:r w:rsidR="002A07B9">
        <w:t xml:space="preserve">competing </w:t>
      </w:r>
      <w:r w:rsidRPr="00264BB4">
        <w:t>proposals for the same target.</w:t>
      </w:r>
    </w:p>
    <w:p w14:paraId="798B7B1B" w14:textId="17E8296E" w:rsidR="00D21C07" w:rsidRPr="00264BB4" w:rsidRDefault="00D21C07" w:rsidP="0075316F">
      <w:pPr>
        <w:pStyle w:val="Bullet"/>
      </w:pPr>
      <w:r w:rsidRPr="00264BB4">
        <w:t xml:space="preserve">There are substantial differences between these statistics on proposed investments and actual investment flows. The latter are captured by the Australian Bureau of Statistics, which </w:t>
      </w:r>
      <w:r w:rsidR="000A0D2C" w:rsidRPr="000A0D2C">
        <w:t>covers</w:t>
      </w:r>
      <w:r w:rsidRPr="00264BB4">
        <w:t xml:space="preserve"> investment transactions between residents of Australia and non</w:t>
      </w:r>
      <w:r w:rsidRPr="00264BB4">
        <w:noBreakHyphen/>
        <w:t>residents.</w:t>
      </w:r>
    </w:p>
    <w:p w14:paraId="76FEC69F" w14:textId="5E052E01" w:rsidR="00D21C07" w:rsidRPr="00264BB4" w:rsidRDefault="00D21C07" w:rsidP="0075316F">
      <w:pPr>
        <w:pStyle w:val="Bullet"/>
      </w:pPr>
      <w:r w:rsidRPr="00264BB4">
        <w:t xml:space="preserve">Data capture, systems and reporting methodologies change over time and from </w:t>
      </w:r>
      <w:r>
        <w:t>the 2015</w:t>
      </w:r>
      <w:r w:rsidR="002A07B9">
        <w:noBreakHyphen/>
      </w:r>
      <w:r>
        <w:t>16</w:t>
      </w:r>
      <w:r w:rsidRPr="00264BB4">
        <w:t xml:space="preserve"> Annual Report onwards much of the data is an aggregation of separate data captured by Treasury and the ATO</w:t>
      </w:r>
      <w:r w:rsidRPr="00264BB4" w:rsidDel="0064640E">
        <w:t>.</w:t>
      </w:r>
    </w:p>
    <w:p w14:paraId="2716BFB8" w14:textId="77777777" w:rsidR="00D21C07" w:rsidRPr="00264BB4" w:rsidRDefault="00D21C07" w:rsidP="0075316F">
      <w:pPr>
        <w:pStyle w:val="Bullet"/>
      </w:pPr>
      <w:r w:rsidRPr="00264BB4">
        <w:t>Data presented for earlier years may also have been revised since last published</w:t>
      </w:r>
      <w:r>
        <w:t>.</w:t>
      </w:r>
    </w:p>
    <w:p w14:paraId="2EC5B65C" w14:textId="0693EFF3" w:rsidR="00D21C07" w:rsidRDefault="00D21C07" w:rsidP="0075316F">
      <w:pPr>
        <w:pStyle w:val="Bullet"/>
      </w:pPr>
      <w:r>
        <w:t>Prior to 2017</w:t>
      </w:r>
      <w:r w:rsidR="0080522B">
        <w:t>–</w:t>
      </w:r>
      <w:r>
        <w:t>18, t</w:t>
      </w:r>
      <w:r w:rsidRPr="00D37120">
        <w:t xml:space="preserve">he source </w:t>
      </w:r>
      <w:r>
        <w:t xml:space="preserve">country </w:t>
      </w:r>
      <w:r w:rsidRPr="00D37120">
        <w:t xml:space="preserve">of proposed investment identified in the </w:t>
      </w:r>
      <w:r w:rsidR="00581D93">
        <w:t>FIRB</w:t>
      </w:r>
      <w:r w:rsidRPr="00D37120">
        <w:t xml:space="preserve"> </w:t>
      </w:r>
      <w:r w:rsidR="003224B4">
        <w:t>data</w:t>
      </w:r>
      <w:r w:rsidRPr="00D37120">
        <w:t xml:space="preserve"> </w:t>
      </w:r>
      <w:r>
        <w:t xml:space="preserve">was generally </w:t>
      </w:r>
      <w:r w:rsidRPr="00D37120">
        <w:t xml:space="preserve">attributed to </w:t>
      </w:r>
      <w:r>
        <w:t xml:space="preserve">the investor(s) who was </w:t>
      </w:r>
      <w:r w:rsidR="00431A60">
        <w:t xml:space="preserve">likely </w:t>
      </w:r>
      <w:r>
        <w:t>in control, or in a position to control, the investor proposing to make the investment. Non</w:t>
      </w:r>
      <w:r>
        <w:noBreakHyphen/>
        <w:t xml:space="preserve">controlling foreign government investors with greater than a </w:t>
      </w:r>
      <w:r w:rsidR="00DA6415">
        <w:t>five</w:t>
      </w:r>
      <w:r>
        <w:t> per cent interest in the investor were allocated a notional interest</w:t>
      </w:r>
      <w:r w:rsidR="008B38DF">
        <w:t xml:space="preserve"> (</w:t>
      </w:r>
      <w:r w:rsidR="000C11CC">
        <w:t>that is, one per cent</w:t>
      </w:r>
      <w:r w:rsidR="008B38DF">
        <w:t>)</w:t>
      </w:r>
      <w:r>
        <w:t>.</w:t>
      </w:r>
      <w:r w:rsidRPr="00D87734">
        <w:t xml:space="preserve"> </w:t>
      </w:r>
      <w:r w:rsidRPr="00D37120">
        <w:t xml:space="preserve">For example, the source </w:t>
      </w:r>
      <w:r w:rsidR="008B38DF">
        <w:t xml:space="preserve">country </w:t>
      </w:r>
      <w:r w:rsidRPr="00D37120">
        <w:t xml:space="preserve">may be attributed to </w:t>
      </w:r>
      <w:r w:rsidR="003224B4">
        <w:t xml:space="preserve">a foreign </w:t>
      </w:r>
      <w:r w:rsidR="008B38DF">
        <w:t>investor</w:t>
      </w:r>
      <w:r w:rsidR="000C11CC">
        <w:t>’</w:t>
      </w:r>
      <w:r w:rsidR="008B38DF">
        <w:t>s</w:t>
      </w:r>
      <w:r w:rsidR="008B38DF" w:rsidRPr="00D37120">
        <w:t xml:space="preserve"> </w:t>
      </w:r>
      <w:r>
        <w:t>only large</w:t>
      </w:r>
      <w:r w:rsidRPr="00D37120">
        <w:t xml:space="preserve"> </w:t>
      </w:r>
      <w:r w:rsidR="003224B4">
        <w:t>interest</w:t>
      </w:r>
      <w:r w:rsidR="003224B4" w:rsidRPr="00D37120">
        <w:t xml:space="preserve"> holder</w:t>
      </w:r>
      <w:r w:rsidRPr="00D37120">
        <w:t xml:space="preserve">, or if </w:t>
      </w:r>
      <w:r w:rsidR="003224B4">
        <w:t>the investor’s securities were</w:t>
      </w:r>
      <w:r w:rsidRPr="00D37120">
        <w:t xml:space="preserve"> widely held, the country of domicile</w:t>
      </w:r>
      <w:r>
        <w:t>, primary listing,</w:t>
      </w:r>
      <w:r w:rsidR="003224B4">
        <w:t xml:space="preserve"> establishment or </w:t>
      </w:r>
      <w:r w:rsidRPr="00D37120">
        <w:t>incorporation may be recorded.</w:t>
      </w:r>
    </w:p>
    <w:p w14:paraId="71F1A9F5" w14:textId="06428AF8" w:rsidR="00D21C07" w:rsidRPr="0075316F" w:rsidRDefault="00D21C07" w:rsidP="0075316F">
      <w:pPr>
        <w:pStyle w:val="Dash"/>
      </w:pPr>
      <w:r w:rsidRPr="0075316F">
        <w:t xml:space="preserve">For consortium </w:t>
      </w:r>
      <w:r w:rsidR="002D52D5">
        <w:t>approvals</w:t>
      </w:r>
      <w:r w:rsidRPr="0075316F">
        <w:t>, or where there is shared control, the proposed investment may be counted against a number of countries with the investment value apportioned between those countries involved.</w:t>
      </w:r>
    </w:p>
    <w:p w14:paraId="5F12013B" w14:textId="5A86F36D" w:rsidR="00D21C07" w:rsidRDefault="00D21C07" w:rsidP="0075316F">
      <w:pPr>
        <w:pStyle w:val="Bullet"/>
      </w:pPr>
      <w:r>
        <w:t>From 2017</w:t>
      </w:r>
      <w:r w:rsidR="0080522B">
        <w:t>–</w:t>
      </w:r>
      <w:r>
        <w:t>18, the source country</w:t>
      </w:r>
      <w:r w:rsidR="00057C85" w:rsidRPr="00BA0A4D">
        <w:t>(s)</w:t>
      </w:r>
      <w:r>
        <w:t xml:space="preserve"> of proposed investment is generally allocated based on </w:t>
      </w:r>
      <w:r w:rsidR="00682DBD">
        <w:t xml:space="preserve">the known or disclosed </w:t>
      </w:r>
      <w:r>
        <w:t>ultimate underlying ownership</w:t>
      </w:r>
      <w:r w:rsidR="00057C85" w:rsidRPr="00BA0A4D">
        <w:t xml:space="preserve"> of the investor</w:t>
      </w:r>
      <w:r w:rsidR="002003F0" w:rsidRPr="00BA0A4D">
        <w:t xml:space="preserve"> proposing to make the investment</w:t>
      </w:r>
      <w:r w:rsidRPr="00BA0A4D">
        <w:t>.</w:t>
      </w:r>
      <w:r>
        <w:t xml:space="preserve"> While in some cases, this would be the same outcome as if attributed based on who was </w:t>
      </w:r>
      <w:r w:rsidR="00431A60">
        <w:t xml:space="preserve">likely </w:t>
      </w:r>
      <w:r>
        <w:t xml:space="preserve">in a position to control the </w:t>
      </w:r>
      <w:r w:rsidR="003224B4">
        <w:t>investor</w:t>
      </w:r>
      <w:r>
        <w:t>, the data is not comparable to that of 2016</w:t>
      </w:r>
      <w:r w:rsidR="0080522B">
        <w:t>–</w:t>
      </w:r>
      <w:r>
        <w:t xml:space="preserve">17 and earlier years. Where a portion of the </w:t>
      </w:r>
      <w:r w:rsidR="00682DBD">
        <w:t xml:space="preserve">ultimate </w:t>
      </w:r>
      <w:r>
        <w:t xml:space="preserve">underlying owners are unknown, the unknown ownership portion is either apportioned amongst the countries of known investors or allocated to </w:t>
      </w:r>
      <w:r w:rsidR="003224B4">
        <w:t xml:space="preserve">or amongst </w:t>
      </w:r>
      <w:r>
        <w:t>the country of domicile, primary listing</w:t>
      </w:r>
      <w:r w:rsidR="003224B4">
        <w:t xml:space="preserve">, </w:t>
      </w:r>
      <w:r w:rsidR="003224B4" w:rsidRPr="003224B4">
        <w:t>establishment or incorporation</w:t>
      </w:r>
      <w:r>
        <w:t>. It continues to be the case that i</w:t>
      </w:r>
      <w:r w:rsidRPr="00D87734">
        <w:t>f a</w:t>
      </w:r>
      <w:r w:rsidR="003224B4">
        <w:t>n</w:t>
      </w:r>
      <w:r w:rsidRPr="00D87734">
        <w:t xml:space="preserve"> </w:t>
      </w:r>
      <w:r w:rsidR="003224B4">
        <w:t>investor</w:t>
      </w:r>
      <w:r w:rsidRPr="00D87734">
        <w:t xml:space="preserve">’s </w:t>
      </w:r>
      <w:r w:rsidR="003224B4">
        <w:t>securities</w:t>
      </w:r>
      <w:r w:rsidRPr="00D87734">
        <w:t xml:space="preserve"> are widely held, the country of domicile</w:t>
      </w:r>
      <w:r>
        <w:t>, primary listing,</w:t>
      </w:r>
      <w:r w:rsidRPr="00D87734">
        <w:t xml:space="preserve"> </w:t>
      </w:r>
      <w:r w:rsidR="003224B4">
        <w:t xml:space="preserve">establishment </w:t>
      </w:r>
      <w:r w:rsidRPr="00D87734">
        <w:t>or incorporation may be recorded.</w:t>
      </w:r>
    </w:p>
    <w:p w14:paraId="0AB0E237" w14:textId="44F7F951" w:rsidR="002003F0" w:rsidRDefault="002003F0" w:rsidP="00C34BA1">
      <w:pPr>
        <w:pStyle w:val="Dash"/>
        <w:numPr>
          <w:ilvl w:val="0"/>
          <w:numId w:val="0"/>
        </w:numPr>
        <w:pBdr>
          <w:top w:val="single" w:sz="4" w:space="1" w:color="auto"/>
          <w:left w:val="single" w:sz="4" w:space="4" w:color="auto"/>
          <w:bottom w:val="single" w:sz="4" w:space="1" w:color="auto"/>
          <w:right w:val="single" w:sz="4" w:space="4" w:color="auto"/>
        </w:pBdr>
        <w:ind w:left="284"/>
      </w:pPr>
      <w:r w:rsidRPr="00071729">
        <w:rPr>
          <w:b/>
        </w:rPr>
        <w:t>Example 1</w:t>
      </w:r>
      <w:r>
        <w:t>: When tracing back the ownership of Investor A, it has five beneficial owners all owning equal shares. Two each are from Countries A and B, and one is from Country</w:t>
      </w:r>
      <w:r w:rsidR="00BA0A4D">
        <w:t> </w:t>
      </w:r>
      <w:r>
        <w:t>C.</w:t>
      </w:r>
    </w:p>
    <w:p w14:paraId="69AF3E10" w14:textId="7824746F" w:rsidR="002003F0" w:rsidRDefault="002003F0" w:rsidP="00C34BA1">
      <w:pPr>
        <w:pStyle w:val="Dash"/>
        <w:numPr>
          <w:ilvl w:val="0"/>
          <w:numId w:val="0"/>
        </w:numPr>
        <w:pBdr>
          <w:top w:val="single" w:sz="4" w:space="1" w:color="auto"/>
          <w:left w:val="single" w:sz="4" w:space="4" w:color="auto"/>
          <w:bottom w:val="single" w:sz="4" w:space="1" w:color="auto"/>
          <w:right w:val="single" w:sz="4" w:space="4" w:color="auto"/>
        </w:pBdr>
        <w:ind w:left="284"/>
      </w:pPr>
      <w:r w:rsidRPr="00BA0A4D">
        <w:t>From 2017–18, the source</w:t>
      </w:r>
      <w:r>
        <w:t xml:space="preserve"> country for Investor A’s proposed investment </w:t>
      </w:r>
      <w:r w:rsidR="00C50CB2">
        <w:t xml:space="preserve">based on country of ownership </w:t>
      </w:r>
      <w:r>
        <w:t xml:space="preserve">is recorded as </w:t>
      </w:r>
      <w:r w:rsidR="00E74739">
        <w:t>40 per cent each for Countries</w:t>
      </w:r>
      <w:r>
        <w:t xml:space="preserve"> A and</w:t>
      </w:r>
      <w:r w:rsidR="00C50CB2">
        <w:t> </w:t>
      </w:r>
      <w:r>
        <w:t xml:space="preserve">B, with the </w:t>
      </w:r>
      <w:r w:rsidR="00E74739">
        <w:t>remaining</w:t>
      </w:r>
      <w:r>
        <w:t xml:space="preserve"> 20 per cent allocated to Country</w:t>
      </w:r>
      <w:r w:rsidR="00E74739">
        <w:t> </w:t>
      </w:r>
      <w:r>
        <w:t>C.</w:t>
      </w:r>
    </w:p>
    <w:p w14:paraId="4FF40772" w14:textId="26677E8B" w:rsidR="002003F0" w:rsidRDefault="002003F0" w:rsidP="00C34BA1">
      <w:pPr>
        <w:pStyle w:val="Dash"/>
        <w:numPr>
          <w:ilvl w:val="0"/>
          <w:numId w:val="0"/>
        </w:numPr>
        <w:pBdr>
          <w:top w:val="single" w:sz="4" w:space="1" w:color="auto"/>
          <w:left w:val="single" w:sz="4" w:space="4" w:color="auto"/>
          <w:bottom w:val="single" w:sz="4" w:space="1" w:color="auto"/>
          <w:right w:val="single" w:sz="4" w:space="4" w:color="auto"/>
        </w:pBdr>
        <w:ind w:left="284"/>
      </w:pPr>
      <w:r>
        <w:t>Prior to 2017</w:t>
      </w:r>
      <w:r>
        <w:noBreakHyphen/>
        <w:t>18, the source country for Investor A’s proposed investment based on country of control was recorded</w:t>
      </w:r>
      <w:r w:rsidR="003756BE">
        <w:t xml:space="preserve"> as 50 per cent each for Countries</w:t>
      </w:r>
      <w:r>
        <w:t xml:space="preserve"> A and B, as these investors had </w:t>
      </w:r>
      <w:r w:rsidR="00C50CB2">
        <w:t xml:space="preserve">an </w:t>
      </w:r>
      <w:r>
        <w:t xml:space="preserve">equal number of directors on the board </w:t>
      </w:r>
      <w:r w:rsidR="000C5E3A">
        <w:t xml:space="preserve">of Investor A </w:t>
      </w:r>
      <w:r>
        <w:t xml:space="preserve">and both had to agree on any major decisions. Country C </w:t>
      </w:r>
      <w:r w:rsidR="00431A60">
        <w:t xml:space="preserve">was </w:t>
      </w:r>
      <w:r>
        <w:t>not allocated an amount as their interest in Investor</w:t>
      </w:r>
      <w:r w:rsidR="000C5E3A">
        <w:t> </w:t>
      </w:r>
      <w:r>
        <w:t>A was as a passive investor only</w:t>
      </w:r>
      <w:r w:rsidR="00C50CB2">
        <w:t>, with no board seats or veto rights</w:t>
      </w:r>
      <w:r>
        <w:t>.</w:t>
      </w:r>
    </w:p>
    <w:p w14:paraId="28A2DC75" w14:textId="77777777" w:rsidR="00C20B81" w:rsidRDefault="00C20B81">
      <w:pPr>
        <w:spacing w:after="200" w:line="276" w:lineRule="auto"/>
        <w:jc w:val="left"/>
        <w:rPr>
          <w:rFonts w:ascii="Calibri" w:hAnsi="Calibri"/>
          <w:b/>
        </w:rPr>
      </w:pPr>
      <w:r>
        <w:rPr>
          <w:b/>
        </w:rPr>
        <w:br w:type="page"/>
      </w:r>
    </w:p>
    <w:p w14:paraId="0B5C697D" w14:textId="23B66DE6" w:rsidR="00BA0A4D" w:rsidRDefault="00360A2F" w:rsidP="00C34BA1">
      <w:pPr>
        <w:pStyle w:val="Dash"/>
        <w:numPr>
          <w:ilvl w:val="0"/>
          <w:numId w:val="0"/>
        </w:numPr>
        <w:pBdr>
          <w:top w:val="single" w:sz="4" w:space="1" w:color="auto"/>
          <w:left w:val="single" w:sz="4" w:space="4" w:color="auto"/>
          <w:bottom w:val="single" w:sz="4" w:space="1" w:color="auto"/>
          <w:right w:val="single" w:sz="4" w:space="4" w:color="auto"/>
        </w:pBdr>
        <w:ind w:left="284"/>
      </w:pPr>
      <w:r w:rsidRPr="00071729">
        <w:rPr>
          <w:b/>
        </w:rPr>
        <w:t>Example 2</w:t>
      </w:r>
      <w:r>
        <w:t>: Investor D</w:t>
      </w:r>
      <w:r w:rsidR="00340103">
        <w:t xml:space="preserve">, which </w:t>
      </w:r>
      <w:r w:rsidR="000C5E3A">
        <w:t xml:space="preserve">although incorporated in Country D, </w:t>
      </w:r>
      <w:r w:rsidR="00340103">
        <w:t xml:space="preserve">is listed </w:t>
      </w:r>
      <w:r w:rsidR="0044213A">
        <w:t>and controlled</w:t>
      </w:r>
      <w:r w:rsidR="00340103">
        <w:t xml:space="preserve"> in Country Y,</w:t>
      </w:r>
      <w:r>
        <w:t xml:space="preserve"> has five </w:t>
      </w:r>
      <w:r w:rsidR="0044213A">
        <w:t xml:space="preserve">passive </w:t>
      </w:r>
      <w:r>
        <w:t xml:space="preserve">shareholders each with a 10 per cent interest </w:t>
      </w:r>
      <w:r w:rsidR="00340103">
        <w:t>(Shareholder E, F, G, H and I</w:t>
      </w:r>
      <w:r w:rsidR="00A07681">
        <w:t>,</w:t>
      </w:r>
      <w:r w:rsidR="00E74739">
        <w:t xml:space="preserve"> who come from C</w:t>
      </w:r>
      <w:r w:rsidR="00A07681">
        <w:t>ountries E, F, G, H and I</w:t>
      </w:r>
      <w:r w:rsidR="00340103">
        <w:t xml:space="preserve">) </w:t>
      </w:r>
      <w:r>
        <w:t>and the remaining 50 per cent is widely held.</w:t>
      </w:r>
      <w:r w:rsidR="00340103">
        <w:t xml:space="preserve"> S</w:t>
      </w:r>
      <w:r w:rsidR="00E74739">
        <w:t>hareholder </w:t>
      </w:r>
      <w:r w:rsidR="00340103">
        <w:t xml:space="preserve">E </w:t>
      </w:r>
      <w:r w:rsidR="00E74739">
        <w:t>has</w:t>
      </w:r>
      <w:r w:rsidR="00340103">
        <w:t xml:space="preserve"> </w:t>
      </w:r>
      <w:r w:rsidR="00E74739">
        <w:t>two shareholders from Countr</w:t>
      </w:r>
      <w:r w:rsidR="000C5E3A">
        <w:t>ies </w:t>
      </w:r>
      <w:r w:rsidR="00E74739">
        <w:t>J and K holding 25 per cent each and the remainder is widely held.</w:t>
      </w:r>
    </w:p>
    <w:p w14:paraId="32996E40" w14:textId="02CD805B" w:rsidR="00E74739" w:rsidRDefault="00E74739" w:rsidP="00C34BA1">
      <w:pPr>
        <w:pStyle w:val="Dash"/>
        <w:numPr>
          <w:ilvl w:val="0"/>
          <w:numId w:val="0"/>
        </w:numPr>
        <w:pBdr>
          <w:top w:val="single" w:sz="4" w:space="1" w:color="auto"/>
          <w:left w:val="single" w:sz="4" w:space="4" w:color="auto"/>
          <w:bottom w:val="single" w:sz="4" w:space="1" w:color="auto"/>
          <w:right w:val="single" w:sz="4" w:space="4" w:color="auto"/>
        </w:pBdr>
        <w:ind w:left="284"/>
      </w:pPr>
      <w:r w:rsidRPr="00BA0A4D">
        <w:t>From 2017–18, the source</w:t>
      </w:r>
      <w:r>
        <w:t xml:space="preserve"> country for Investor D’s proposed investment based on country of ownership is recorded as 50 per cent for Country Y, 10 per cent each for Countr</w:t>
      </w:r>
      <w:r w:rsidR="00486375">
        <w:t>ies</w:t>
      </w:r>
      <w:r>
        <w:t xml:space="preserve"> F, G, H and I, 5 per cent for Country E and 2.5 per cent for Countr</w:t>
      </w:r>
      <w:r w:rsidR="00486375">
        <w:t>ies</w:t>
      </w:r>
      <w:r>
        <w:t xml:space="preserve"> J and K.</w:t>
      </w:r>
      <w:r w:rsidR="00D77E3B">
        <w:t xml:space="preserve"> </w:t>
      </w:r>
      <w:r w:rsidR="00DF5436">
        <w:t xml:space="preserve">For Investor D and Shareholder E, it is assumed that the widely held portions relate to owners in their country of listing or incorporation. If it was common for the widely held ownership portion of entities listed in Country Y to come from Countries Y and X in </w:t>
      </w:r>
      <w:r w:rsidR="00996BCD">
        <w:t xml:space="preserve">roughly </w:t>
      </w:r>
      <w:r w:rsidR="00DF5436">
        <w:t>equal proportion</w:t>
      </w:r>
      <w:r w:rsidR="00996BCD">
        <w:t>s,</w:t>
      </w:r>
      <w:r w:rsidR="00DF5436">
        <w:t xml:space="preserve"> the 50 per cent allocated to Country Y could have been split between Countries Y and X on this basis.</w:t>
      </w:r>
    </w:p>
    <w:p w14:paraId="1351996A" w14:textId="2993C8A0" w:rsidR="00E74739" w:rsidRDefault="00E74739" w:rsidP="00C34BA1">
      <w:pPr>
        <w:pStyle w:val="Dash"/>
        <w:numPr>
          <w:ilvl w:val="0"/>
          <w:numId w:val="0"/>
        </w:numPr>
        <w:pBdr>
          <w:top w:val="single" w:sz="4" w:space="1" w:color="auto"/>
          <w:left w:val="single" w:sz="4" w:space="4" w:color="auto"/>
          <w:bottom w:val="single" w:sz="4" w:space="1" w:color="auto"/>
          <w:right w:val="single" w:sz="4" w:space="4" w:color="auto"/>
        </w:pBdr>
        <w:ind w:left="284"/>
      </w:pPr>
      <w:r>
        <w:t>Prior to 2017</w:t>
      </w:r>
      <w:r>
        <w:noBreakHyphen/>
        <w:t>18, the source country for Investor D’s proposed investment based on country of control was recorded as 100 per cent for Country Y.</w:t>
      </w:r>
    </w:p>
    <w:p w14:paraId="21A155C3" w14:textId="77777777" w:rsidR="008B38DF" w:rsidRPr="002229CB" w:rsidRDefault="008B38DF" w:rsidP="008B38DF">
      <w:pPr>
        <w:pStyle w:val="Bullet"/>
      </w:pPr>
      <w:r w:rsidRPr="002229CB">
        <w:t xml:space="preserve">The data does not necessarily reflect a change from domestic to foreign ownership as in some cases both the </w:t>
      </w:r>
      <w:r>
        <w:t>seller</w:t>
      </w:r>
      <w:r w:rsidRPr="002229CB">
        <w:t xml:space="preserve"> and the purchaser are foreign persons.</w:t>
      </w:r>
    </w:p>
    <w:p w14:paraId="50C61D8F" w14:textId="62F8747D" w:rsidR="00D21C07" w:rsidRPr="00264BB4" w:rsidRDefault="00D21C07" w:rsidP="0075316F">
      <w:pPr>
        <w:pStyle w:val="Bullet"/>
      </w:pPr>
      <w:r>
        <w:t xml:space="preserve">Proposed investment values allocated against source countries </w:t>
      </w:r>
      <w:r w:rsidRPr="00264BB4">
        <w:t xml:space="preserve">assume that investment funds will be sourced from overseas. The extent to which approved </w:t>
      </w:r>
      <w:r w:rsidR="002D52D5">
        <w:t xml:space="preserve">proposed </w:t>
      </w:r>
      <w:r w:rsidRPr="00264BB4">
        <w:t>investment will actually be funded from outside of Australia and result in foreign capital inflows depends not only upon whether they are implemented, but also upon the proportion that is financed from foreign sources. The proposed funds to be invested may be contributed by Australians, for example, where they are in partnership with foreign interests, or where the investment is financed from existing Australian operations.</w:t>
      </w:r>
    </w:p>
    <w:p w14:paraId="5E35D187" w14:textId="6B41CAC5" w:rsidR="00D21C07" w:rsidRPr="002229CB" w:rsidRDefault="00D21C07" w:rsidP="0075316F">
      <w:pPr>
        <w:pStyle w:val="Bullet"/>
      </w:pPr>
      <w:r w:rsidRPr="002229CB">
        <w:t xml:space="preserve">The value ascribed to a proposed investment which has received approval is the amount </w:t>
      </w:r>
      <w:r>
        <w:t xml:space="preserve">agreed to in any contract entered into or a reasonable estimate </w:t>
      </w:r>
      <w:r w:rsidRPr="002229CB">
        <w:t>advised by the applicant based on the available information. It represents an estimate of the expected proposed investment in the 12 months from the approval unless the approval is granted for a longer period (</w:t>
      </w:r>
      <w:r w:rsidR="00431A60">
        <w:t>and assumes</w:t>
      </w:r>
      <w:r w:rsidR="00431A60" w:rsidRPr="002229CB">
        <w:t xml:space="preserve"> </w:t>
      </w:r>
      <w:r w:rsidR="00431A60">
        <w:t>full implementation</w:t>
      </w:r>
      <w:r w:rsidRPr="002229CB">
        <w:t>).</w:t>
      </w:r>
      <w:r w:rsidR="006F6A10">
        <w:t xml:space="preserve"> In cases where the acquisition has </w:t>
      </w:r>
      <w:r w:rsidR="00431A60">
        <w:t xml:space="preserve">already </w:t>
      </w:r>
      <w:r w:rsidR="008B38DF">
        <w:t>been</w:t>
      </w:r>
      <w:r w:rsidR="006F6A10">
        <w:t xml:space="preserve"> completed, it is the amount paid for the interest acquired.</w:t>
      </w:r>
    </w:p>
    <w:p w14:paraId="51B41C55" w14:textId="77777777" w:rsidR="00D21C07" w:rsidRPr="00264BB4" w:rsidRDefault="00D21C07" w:rsidP="0075316F">
      <w:pPr>
        <w:pStyle w:val="Dash"/>
      </w:pPr>
      <w:r w:rsidRPr="00264BB4">
        <w:t>Where an approved acquisition is a part of an offshore acquisition, the proposed investment figure is calculated based on the share attributable to the approved acquisition in Australia.</w:t>
      </w:r>
    </w:p>
    <w:p w14:paraId="05AFBF20" w14:textId="77777777" w:rsidR="00D21C07" w:rsidRPr="00264BB4" w:rsidRDefault="00D21C07" w:rsidP="0075316F">
      <w:pPr>
        <w:pStyle w:val="Dash"/>
      </w:pPr>
      <w:r w:rsidRPr="00264BB4">
        <w:t xml:space="preserve">Where amounts are in a foreign currency, this is converted to Australian dollars based on the exchange rate at the time of the </w:t>
      </w:r>
      <w:r>
        <w:t>contract or when the application was made</w:t>
      </w:r>
      <w:r w:rsidRPr="00264BB4">
        <w:t>.</w:t>
      </w:r>
    </w:p>
    <w:p w14:paraId="4243E4B9" w14:textId="1BCDA715" w:rsidR="00D21C07" w:rsidRDefault="00D21C07" w:rsidP="0075316F">
      <w:pPr>
        <w:pStyle w:val="Dash"/>
      </w:pPr>
      <w:r w:rsidRPr="00264BB4">
        <w:t xml:space="preserve">There are some </w:t>
      </w:r>
      <w:r w:rsidR="002D52D5">
        <w:t>approvals</w:t>
      </w:r>
      <w:r w:rsidRPr="00264BB4">
        <w:t xml:space="preserve"> for which proposed investment is treated as nil. Examples of this include internal corporate reorganisation</w:t>
      </w:r>
      <w:r>
        <w:t xml:space="preserve"> and</w:t>
      </w:r>
      <w:r w:rsidRPr="00264BB4">
        <w:t xml:space="preserve"> financing arrangement</w:t>
      </w:r>
      <w:r w:rsidR="002D52D5">
        <w:t xml:space="preserve"> approvals</w:t>
      </w:r>
      <w:r w:rsidRPr="00264BB4">
        <w:t>.</w:t>
      </w:r>
    </w:p>
    <w:p w14:paraId="21463220" w14:textId="296B5B17" w:rsidR="00FF52ED" w:rsidRDefault="00FF52ED" w:rsidP="0075316F">
      <w:pPr>
        <w:pStyle w:val="Bullet"/>
      </w:pPr>
      <w:r>
        <w:t>Proposed investment record</w:t>
      </w:r>
      <w:r w:rsidR="00E0011E">
        <w:t>ed</w:t>
      </w:r>
      <w:r>
        <w:t xml:space="preserve"> for exemption certificates is the maximum investment that may be made by foreign persons covered by the certificate</w:t>
      </w:r>
      <w:r w:rsidR="00086118">
        <w:t xml:space="preserve"> over the duration of the certificate</w:t>
      </w:r>
      <w:r>
        <w:t>.</w:t>
      </w:r>
      <w:r w:rsidR="00086118">
        <w:t xml:space="preserve"> </w:t>
      </w:r>
      <w:r w:rsidR="00EE3E4C">
        <w:t>Actual foreign investment under n</w:t>
      </w:r>
      <w:r w:rsidR="00086118">
        <w:t xml:space="preserve">ew dwelling exemption certificates </w:t>
      </w:r>
      <w:r w:rsidR="00EE3E4C">
        <w:t>is likely to take place over multiple years during the sale phase of the covered development. Also,</w:t>
      </w:r>
      <w:r w:rsidR="00086118">
        <w:t xml:space="preserve"> </w:t>
      </w:r>
      <w:r w:rsidR="00EE3E4C">
        <w:t xml:space="preserve">as of December 2015, </w:t>
      </w:r>
      <w:r w:rsidR="00086118">
        <w:t>exemption certificates for foreign persons</w:t>
      </w:r>
      <w:r w:rsidR="00EE3E4C">
        <w:t xml:space="preserve"> (formerly known as </w:t>
      </w:r>
      <w:r w:rsidR="00BB1419">
        <w:t>a</w:t>
      </w:r>
      <w:r w:rsidR="00EE3E4C" w:rsidRPr="00A35DCB">
        <w:t xml:space="preserve">nnual </w:t>
      </w:r>
      <w:r w:rsidR="00BB1419">
        <w:t>p</w:t>
      </w:r>
      <w:r w:rsidR="00EE3E4C" w:rsidRPr="00A35DCB">
        <w:t>rograms</w:t>
      </w:r>
      <w:r w:rsidR="00EE3E4C">
        <w:t>), are no longer limited to a maximum 12 month period</w:t>
      </w:r>
      <w:r w:rsidR="00431A60">
        <w:t xml:space="preserve"> and so investments under these certificates may take place over a longer period</w:t>
      </w:r>
      <w:r w:rsidR="00EE3E4C">
        <w:t>.</w:t>
      </w:r>
    </w:p>
    <w:p w14:paraId="7E36C399" w14:textId="3A49732C" w:rsidR="00FF52ED" w:rsidRDefault="00FF52ED" w:rsidP="00FF52ED">
      <w:pPr>
        <w:pStyle w:val="Dash"/>
      </w:pPr>
      <w:r>
        <w:t>For new dwelling exemption certificates</w:t>
      </w:r>
      <w:r w:rsidRPr="00FF52ED">
        <w:t xml:space="preserve"> </w:t>
      </w:r>
      <w:r>
        <w:t>which</w:t>
      </w:r>
      <w:r w:rsidRPr="00FF52ED">
        <w:t xml:space="preserve"> allow developers to receive pre</w:t>
      </w:r>
      <w:r>
        <w:noBreakHyphen/>
      </w:r>
      <w:r w:rsidRPr="00FF52ED">
        <w:t xml:space="preserve">approval on behalf of foreign persons to enable foreign persons to purchase </w:t>
      </w:r>
      <w:r w:rsidR="00431A60">
        <w:t xml:space="preserve">up to 50 per cent of </w:t>
      </w:r>
      <w:r w:rsidRPr="00FF52ED">
        <w:t xml:space="preserve">new </w:t>
      </w:r>
      <w:r w:rsidR="00BE3D67">
        <w:t>dwellings</w:t>
      </w:r>
      <w:r w:rsidR="00BE3D67" w:rsidRPr="00FF52ED">
        <w:t xml:space="preserve"> </w:t>
      </w:r>
      <w:r w:rsidRPr="00FF52ED">
        <w:t xml:space="preserve">within </w:t>
      </w:r>
      <w:r>
        <w:t>a</w:t>
      </w:r>
      <w:r w:rsidRPr="00FF52ED">
        <w:t xml:space="preserve"> development up to a cumulative value of $3</w:t>
      </w:r>
      <w:r>
        <w:t> </w:t>
      </w:r>
      <w:r w:rsidRPr="00FF52ED">
        <w:t>million per investor in a single development</w:t>
      </w:r>
      <w:r>
        <w:t xml:space="preserve">, the </w:t>
      </w:r>
      <w:r w:rsidRPr="00FF52ED">
        <w:t>approved investment figure may overstate the extent of actual foreign purchases.</w:t>
      </w:r>
    </w:p>
    <w:p w14:paraId="0CCCC415" w14:textId="77777777" w:rsidR="00FF52ED" w:rsidRPr="00264BB4" w:rsidRDefault="00FF52ED" w:rsidP="00FF52ED">
      <w:pPr>
        <w:pStyle w:val="Dash"/>
      </w:pPr>
      <w:r>
        <w:t>Near new dwelling exemption certificates will generally be given a nil value as the maximum value of proposed investment for the development will have been attributed to any associated new dwelling exemption certificate in the year that the certificate was granted.</w:t>
      </w:r>
    </w:p>
    <w:p w14:paraId="41AA6C97" w14:textId="77777777" w:rsidR="00D21C07" w:rsidRPr="00264BB4" w:rsidRDefault="00D21C07" w:rsidP="0075316F">
      <w:pPr>
        <w:pStyle w:val="Bullet"/>
      </w:pPr>
      <w:r w:rsidRPr="00264BB4">
        <w:t>The statistics may include some transactions that do not actually proceed. They include:</w:t>
      </w:r>
    </w:p>
    <w:p w14:paraId="4214BF76" w14:textId="2ED444BD" w:rsidR="00D21C07" w:rsidRPr="00C27882" w:rsidRDefault="00531839" w:rsidP="0075316F">
      <w:pPr>
        <w:pStyle w:val="Dash"/>
      </w:pPr>
      <w:r>
        <w:t>approvals</w:t>
      </w:r>
      <w:r w:rsidR="00D21C07" w:rsidRPr="00C27882">
        <w:t xml:space="preserve"> in a given year but which are not actually implemented in that year or at all;</w:t>
      </w:r>
    </w:p>
    <w:p w14:paraId="3101ED35" w14:textId="2CDC3411" w:rsidR="00D21C07" w:rsidRPr="00C27882" w:rsidRDefault="00D21C07" w:rsidP="0075316F">
      <w:pPr>
        <w:pStyle w:val="Dash"/>
      </w:pPr>
      <w:r w:rsidRPr="00C27882">
        <w:t xml:space="preserve">approvals for multiple </w:t>
      </w:r>
      <w:r w:rsidR="003B05C5">
        <w:t xml:space="preserve">competing </w:t>
      </w:r>
      <w:r w:rsidRPr="00C27882">
        <w:t>potential acquirers of the same target (including for potential consortium participants that are yet to determine their final m</w:t>
      </w:r>
      <w:r w:rsidR="009070BC">
        <w:t>aximum percentage interest);</w:t>
      </w:r>
    </w:p>
    <w:p w14:paraId="381EA59F" w14:textId="336F4347" w:rsidR="009070BC" w:rsidRDefault="00D21C07" w:rsidP="0075316F">
      <w:pPr>
        <w:pStyle w:val="Dash"/>
      </w:pPr>
      <w:r w:rsidRPr="00264BB4">
        <w:t>approvals for shares</w:t>
      </w:r>
      <w:r>
        <w:t>,</w:t>
      </w:r>
      <w:r w:rsidRPr="00264BB4">
        <w:t xml:space="preserve"> units </w:t>
      </w:r>
      <w:r>
        <w:t xml:space="preserve">or other interests, </w:t>
      </w:r>
      <w:r w:rsidRPr="00264BB4">
        <w:t>where only a portion of th</w:t>
      </w:r>
      <w:r>
        <w:t>ose</w:t>
      </w:r>
      <w:r w:rsidRPr="00264BB4">
        <w:t xml:space="preserve"> intended may be acquired</w:t>
      </w:r>
      <w:r w:rsidR="009070BC">
        <w:t xml:space="preserve">; </w:t>
      </w:r>
      <w:r w:rsidR="009070BC" w:rsidRPr="00C27882">
        <w:t>and</w:t>
      </w:r>
    </w:p>
    <w:p w14:paraId="31F5CDD7" w14:textId="547A4FF1" w:rsidR="00D21C07" w:rsidRPr="00264BB4" w:rsidRDefault="009070BC" w:rsidP="0075316F">
      <w:pPr>
        <w:pStyle w:val="Dash"/>
      </w:pPr>
      <w:r>
        <w:t>proposed investment programs covered by an exemption certificate, where the program is not fully implemented</w:t>
      </w:r>
      <w:r w:rsidR="00D21C07" w:rsidRPr="00264BB4">
        <w:t>.</w:t>
      </w:r>
    </w:p>
    <w:p w14:paraId="3DE684CD" w14:textId="251E2F4A" w:rsidR="00D21C07" w:rsidRDefault="00D21C07" w:rsidP="0075316F">
      <w:pPr>
        <w:pStyle w:val="Bullet"/>
      </w:pPr>
      <w:r>
        <w:t>Proposed a</w:t>
      </w:r>
      <w:r w:rsidRPr="002229CB">
        <w:t>cquisitions of diversified company groups are classified into a single industry sector according to the major activity of the group, such as in a diversified mining company with interests in various minerals.</w:t>
      </w:r>
      <w:r w:rsidRPr="00F30900">
        <w:rPr>
          <w:rStyle w:val="FootnoteReference"/>
        </w:rPr>
        <w:footnoteReference w:id="20"/>
      </w:r>
    </w:p>
    <w:p w14:paraId="4F818231" w14:textId="2D6FF175" w:rsidR="00D21C07" w:rsidRDefault="00D21C07" w:rsidP="0075316F">
      <w:pPr>
        <w:pStyle w:val="Bullet"/>
      </w:pPr>
      <w:r>
        <w:t>Proposed acquisitions of land, including land entities</w:t>
      </w:r>
      <w:r w:rsidR="00431A60">
        <w:t xml:space="preserve"> and mining, production or exploration entities</w:t>
      </w:r>
      <w:r>
        <w:t>,</w:t>
      </w:r>
      <w:r w:rsidR="00431A60">
        <w:rPr>
          <w:rStyle w:val="FootnoteReference"/>
        </w:rPr>
        <w:footnoteReference w:id="21"/>
      </w:r>
      <w:r>
        <w:t xml:space="preserve"> are classified as follows:</w:t>
      </w:r>
    </w:p>
    <w:p w14:paraId="366C63D9" w14:textId="4487445C" w:rsidR="00D21C07" w:rsidRPr="0075316F" w:rsidRDefault="004002E5" w:rsidP="0075316F">
      <w:pPr>
        <w:pStyle w:val="Dash"/>
      </w:pPr>
      <w:r>
        <w:t>c</w:t>
      </w:r>
      <w:r w:rsidR="00D21C07" w:rsidRPr="0075316F">
        <w:t xml:space="preserve">ommercial land and residential land are reported </w:t>
      </w:r>
      <w:r w:rsidR="000C11CC">
        <w:t>in the</w:t>
      </w:r>
      <w:r w:rsidR="00D21C07" w:rsidRPr="0075316F">
        <w:t xml:space="preserve"> </w:t>
      </w:r>
      <w:r w:rsidR="002D162E">
        <w:t>real estate sector;</w:t>
      </w:r>
    </w:p>
    <w:p w14:paraId="773F51B2" w14:textId="4457D35E" w:rsidR="00D21C07" w:rsidRPr="0075316F" w:rsidRDefault="004002E5" w:rsidP="0075316F">
      <w:pPr>
        <w:pStyle w:val="Dash"/>
      </w:pPr>
      <w:r>
        <w:t>a</w:t>
      </w:r>
      <w:r w:rsidR="00D21C07" w:rsidRPr="0075316F">
        <w:t>gricultural land is included in the agriculture, forestry and fishing sector and within this industry</w:t>
      </w:r>
      <w:r w:rsidR="003B05C5">
        <w:t>,</w:t>
      </w:r>
      <w:r w:rsidR="00D21C07" w:rsidRPr="0075316F">
        <w:t xml:space="preserve"> is allocated based on actual use, or if not currently being used </w:t>
      </w:r>
      <w:r w:rsidR="00A1607F">
        <w:t>for</w:t>
      </w:r>
      <w:r w:rsidR="00A1607F" w:rsidRPr="0075316F">
        <w:t xml:space="preserve"> </w:t>
      </w:r>
      <w:r w:rsidR="00D21C07" w:rsidRPr="0075316F">
        <w:t>a primary production business, based on its likely use as agricultural land; and</w:t>
      </w:r>
    </w:p>
    <w:p w14:paraId="727E7571" w14:textId="20133CA9" w:rsidR="00597772" w:rsidRDefault="004002E5" w:rsidP="000C11CC">
      <w:pPr>
        <w:pStyle w:val="Dash"/>
      </w:pPr>
      <w:r>
        <w:t>t</w:t>
      </w:r>
      <w:r w:rsidR="00D21C07" w:rsidRPr="0075316F">
        <w:t xml:space="preserve">enements are included in the mineral exploration and development sector and within this industry </w:t>
      </w:r>
      <w:r w:rsidR="001239A5">
        <w:t>are</w:t>
      </w:r>
      <w:r w:rsidR="00D21C07" w:rsidRPr="0075316F">
        <w:t xml:space="preserve"> allocated based on the mineral, oil or gas that can be recovered. If a tenement allows for different types of minerals to be recovered then this is allocated based on the primary target mineral or </w:t>
      </w:r>
      <w:r w:rsidR="0045671F">
        <w:t>mineral thought to be dominant.</w:t>
      </w:r>
    </w:p>
    <w:p w14:paraId="2B8EE0CB" w14:textId="77777777" w:rsidR="00D21C07" w:rsidRPr="00264BB4" w:rsidRDefault="00D21C07" w:rsidP="004B7E5B">
      <w:pPr>
        <w:pStyle w:val="Heading3"/>
        <w:rPr>
          <w:iCs/>
          <w:smallCaps/>
        </w:rPr>
      </w:pPr>
      <w:r w:rsidRPr="00264BB4">
        <w:t>Policy scope and changes</w:t>
      </w:r>
    </w:p>
    <w:p w14:paraId="4AFCE8CD" w14:textId="39FAF48F" w:rsidR="007F6C27" w:rsidRDefault="00D21C07" w:rsidP="00D21C07">
      <w:r w:rsidRPr="00264BB4">
        <w:t xml:space="preserve">The breadth of the data </w:t>
      </w:r>
      <w:r w:rsidR="007F6C27">
        <w:t xml:space="preserve">on proposed investment </w:t>
      </w:r>
      <w:r w:rsidR="008E049A">
        <w:t xml:space="preserve">in this annual report </w:t>
      </w:r>
      <w:r w:rsidRPr="00264BB4">
        <w:t xml:space="preserve">reflects the requirements </w:t>
      </w:r>
      <w:r w:rsidR="008E049A">
        <w:t xml:space="preserve">under </w:t>
      </w:r>
      <w:r w:rsidR="00054CB5">
        <w:t>the foreign i</w:t>
      </w:r>
      <w:r w:rsidR="008E049A">
        <w:t>nvestm</w:t>
      </w:r>
      <w:r w:rsidR="00054CB5">
        <w:t>ent f</w:t>
      </w:r>
      <w:r w:rsidR="008E049A">
        <w:t xml:space="preserve">ramework during the </w:t>
      </w:r>
      <w:r w:rsidR="007F6C27">
        <w:t xml:space="preserve">applicable </w:t>
      </w:r>
      <w:r w:rsidR="008E049A">
        <w:t>reporting period</w:t>
      </w:r>
      <w:r w:rsidRPr="00264BB4">
        <w:t xml:space="preserve">. </w:t>
      </w:r>
      <w:r w:rsidR="00597772">
        <w:t>The requirements have changed over time, and in some instances, during a reporting period.</w:t>
      </w:r>
    </w:p>
    <w:p w14:paraId="3B2E14B7" w14:textId="021E5A7E" w:rsidR="007F6C27" w:rsidRDefault="00D21C07" w:rsidP="00D21C07">
      <w:r w:rsidRPr="00264BB4">
        <w:t>The</w:t>
      </w:r>
      <w:r w:rsidR="007F6C27">
        <w:rPr>
          <w:szCs w:val="24"/>
        </w:rPr>
        <w:t xml:space="preserve"> </w:t>
      </w:r>
      <w:r w:rsidRPr="00264BB4">
        <w:t>data do</w:t>
      </w:r>
      <w:r w:rsidR="007F6C27">
        <w:t>es</w:t>
      </w:r>
      <w:r w:rsidRPr="00264BB4">
        <w:t xml:space="preserve"> not cover foreign investments </w:t>
      </w:r>
      <w:r w:rsidR="008E049A">
        <w:t xml:space="preserve">considered or made </w:t>
      </w:r>
      <w:r w:rsidRPr="00264BB4">
        <w:t xml:space="preserve">below the various screening thresholds that </w:t>
      </w:r>
      <w:r w:rsidR="00955C66">
        <w:t>apply</w:t>
      </w:r>
      <w:r w:rsidR="00955C66" w:rsidRPr="00264BB4">
        <w:t xml:space="preserve"> </w:t>
      </w:r>
      <w:r w:rsidRPr="00264BB4">
        <w:t xml:space="preserve">under the Act. </w:t>
      </w:r>
      <w:r w:rsidR="007F6C27">
        <w:t>For example, in 2017</w:t>
      </w:r>
      <w:r w:rsidR="007F6C27">
        <w:noBreakHyphen/>
        <w:t>18 a $250 million takeover of an Australian business only required foreign investment approval in limited situations, such as if the acquirer was a foreign government investor</w:t>
      </w:r>
      <w:r w:rsidR="00FA6B07">
        <w:t>,</w:t>
      </w:r>
      <w:r w:rsidR="007F6C27">
        <w:t xml:space="preserve"> or the Australian business was an agribusiness or in the media sector. If the foreign investor was an agreement country investor they could </w:t>
      </w:r>
      <w:r w:rsidR="00C34BA1">
        <w:t>take over</w:t>
      </w:r>
      <w:r w:rsidR="007F6C27">
        <w:t xml:space="preserve"> an Australia business in a non-sensitive sector for $1 billion</w:t>
      </w:r>
      <w:r w:rsidR="00FA6B07">
        <w:t>,</w:t>
      </w:r>
      <w:r w:rsidR="007F6C27">
        <w:t xml:space="preserve"> or acquire </w:t>
      </w:r>
      <w:r w:rsidR="00FA6B07">
        <w:t xml:space="preserve">any </w:t>
      </w:r>
      <w:r w:rsidR="007F6C27">
        <w:t>commercial propert</w:t>
      </w:r>
      <w:r w:rsidR="00FA6B07">
        <w:t xml:space="preserve">y under this amount </w:t>
      </w:r>
      <w:r w:rsidR="007F6C27">
        <w:t>without requiring foreign investment approval</w:t>
      </w:r>
      <w:r w:rsidR="00FA6B07">
        <w:t>.</w:t>
      </w:r>
    </w:p>
    <w:p w14:paraId="23528D16" w14:textId="37E28A20" w:rsidR="00D21C07" w:rsidRPr="00264BB4" w:rsidRDefault="00D21C07" w:rsidP="00D21C07">
      <w:r w:rsidRPr="00264BB4">
        <w:t>Nor does the data cover follow</w:t>
      </w:r>
      <w:r w:rsidRPr="00264BB4">
        <w:noBreakHyphen/>
        <w:t>on investments to expand the capital stock of existing foreign</w:t>
      </w:r>
      <w:r w:rsidRPr="00264BB4">
        <w:noBreakHyphen/>
        <w:t>owned businesses (both in existing areas and into related areas)</w:t>
      </w:r>
      <w:r w:rsidR="00D20C31">
        <w:t xml:space="preserve"> such as pro</w:t>
      </w:r>
      <w:r w:rsidR="00D20C31">
        <w:noBreakHyphen/>
        <w:t>rata capital injections</w:t>
      </w:r>
      <w:r w:rsidRPr="00264BB4">
        <w:t>.</w:t>
      </w:r>
      <w:r w:rsidR="00FA6B07">
        <w:t xml:space="preserve"> For example, a</w:t>
      </w:r>
      <w:r w:rsidR="00054CB5">
        <w:t>dditional investment by</w:t>
      </w:r>
      <w:r w:rsidR="00FA6B07">
        <w:t xml:space="preserve"> </w:t>
      </w:r>
      <w:r w:rsidR="00054CB5">
        <w:t xml:space="preserve">a </w:t>
      </w:r>
      <w:r w:rsidR="00FA6B07">
        <w:t xml:space="preserve">foreign owned miner </w:t>
      </w:r>
      <w:r w:rsidR="00054CB5">
        <w:t xml:space="preserve">expanding their mining operations by reinvesting their Australian profits </w:t>
      </w:r>
      <w:r w:rsidR="00955C66">
        <w:t xml:space="preserve">in their operations </w:t>
      </w:r>
      <w:r w:rsidR="00054CB5">
        <w:t>is not reflected in the data.</w:t>
      </w:r>
    </w:p>
    <w:p w14:paraId="30FB4774" w14:textId="58321067" w:rsidR="00D21C07" w:rsidRPr="00264BB4" w:rsidRDefault="00D21C07" w:rsidP="002229ED">
      <w:pPr>
        <w:spacing w:after="200"/>
      </w:pPr>
      <w:r w:rsidRPr="00264BB4">
        <w:t xml:space="preserve">Furthermore, policy and legislative change can have a considerable impact on the continuity of data. For instance, changes in </w:t>
      </w:r>
      <w:r w:rsidR="000C11CC">
        <w:t>Australia’s Foreign Investment</w:t>
      </w:r>
      <w:r w:rsidRPr="00264BB4">
        <w:t xml:space="preserve"> Policy since the mid</w:t>
      </w:r>
      <w:r w:rsidRPr="00264BB4">
        <w:noBreakHyphen/>
        <w:t>1980s have affected the number of some types of proposals, limiting comparability over time. These changes include:</w:t>
      </w:r>
    </w:p>
    <w:p w14:paraId="32F10B67" w14:textId="068D1D72" w:rsidR="00D21C07" w:rsidRPr="00264BB4" w:rsidRDefault="00D21C07" w:rsidP="002229ED">
      <w:pPr>
        <w:pStyle w:val="Bullet"/>
        <w:spacing w:after="200"/>
      </w:pPr>
      <w:r>
        <w:t xml:space="preserve">changes to the thresholds above which an acquisition requires foreign investment approval, both through trade agreements and general policy changes (for example, </w:t>
      </w:r>
      <w:r w:rsidRPr="00264BB4">
        <w:t xml:space="preserve">the lowering of the general </w:t>
      </w:r>
      <w:r>
        <w:t>rural</w:t>
      </w:r>
      <w:r w:rsidRPr="00264BB4">
        <w:t xml:space="preserve"> land screening threshold from $252</w:t>
      </w:r>
      <w:r>
        <w:t> </w:t>
      </w:r>
      <w:r w:rsidRPr="00264BB4">
        <w:t>million to $15 million (cumulative) from 1 March 2015</w:t>
      </w:r>
      <w:r>
        <w:t>)</w:t>
      </w:r>
      <w:r w:rsidR="0045671F">
        <w:t>;</w:t>
      </w:r>
    </w:p>
    <w:p w14:paraId="644F3539" w14:textId="77777777" w:rsidR="00D21C07" w:rsidRPr="00264BB4" w:rsidRDefault="00D21C07" w:rsidP="002229ED">
      <w:pPr>
        <w:pStyle w:val="Bullet"/>
        <w:spacing w:after="200"/>
      </w:pPr>
      <w:r w:rsidRPr="00264BB4">
        <w:t>the revised definition of foreign government investor introduced in March 2013;</w:t>
      </w:r>
    </w:p>
    <w:p w14:paraId="4DB9BE7F" w14:textId="77777777" w:rsidR="00D21C07" w:rsidRPr="00264BB4" w:rsidRDefault="00D21C07" w:rsidP="002229ED">
      <w:pPr>
        <w:pStyle w:val="Bullet"/>
        <w:spacing w:after="200"/>
      </w:pPr>
      <w:r w:rsidRPr="00264BB4">
        <w:t>the introduction of changes in 2009 and 2010 to the screening arrangements for temporary residents purchasing residential real estate</w:t>
      </w:r>
      <w:r>
        <w:t xml:space="preserve">, as well as changes </w:t>
      </w:r>
      <w:r w:rsidRPr="00264BB4">
        <w:t>in immigration policies that control the number of temporary resident visa holders;</w:t>
      </w:r>
    </w:p>
    <w:p w14:paraId="69CDF277" w14:textId="4265B5B7" w:rsidR="00D21C07" w:rsidRPr="00264BB4" w:rsidRDefault="00D21C07" w:rsidP="002229ED">
      <w:pPr>
        <w:pStyle w:val="Bullet"/>
        <w:spacing w:after="200"/>
      </w:pPr>
      <w:r w:rsidRPr="00264BB4">
        <w:t>the significant 1 December 2015 reforms which included:</w:t>
      </w:r>
    </w:p>
    <w:p w14:paraId="1CDBA164" w14:textId="77777777" w:rsidR="00D21C07" w:rsidRPr="00264BB4" w:rsidRDefault="00D21C07" w:rsidP="002229ED">
      <w:pPr>
        <w:pStyle w:val="Dash"/>
        <w:spacing w:after="190"/>
      </w:pPr>
      <w:r w:rsidRPr="00264BB4">
        <w:t>the introduction of fees for foreign investment applications;</w:t>
      </w:r>
    </w:p>
    <w:p w14:paraId="30CB2ADB" w14:textId="77777777" w:rsidR="00D21C07" w:rsidRPr="00264BB4" w:rsidRDefault="00D21C07" w:rsidP="002229ED">
      <w:pPr>
        <w:pStyle w:val="Dash"/>
        <w:spacing w:after="190"/>
      </w:pPr>
      <w:r w:rsidRPr="00264BB4">
        <w:t>the introduction of a $55</w:t>
      </w:r>
      <w:r>
        <w:t> </w:t>
      </w:r>
      <w:r w:rsidRPr="00264BB4">
        <w:t>million threshold for direct investments in agribusiness;</w:t>
      </w:r>
    </w:p>
    <w:p w14:paraId="7D37EFDE" w14:textId="13AC2254" w:rsidR="00D21C07" w:rsidRPr="00264BB4" w:rsidRDefault="00D21C07" w:rsidP="002229ED">
      <w:pPr>
        <w:pStyle w:val="Dash"/>
        <w:spacing w:after="190"/>
      </w:pPr>
      <w:r w:rsidRPr="00264BB4">
        <w:t>the shift of many requirement</w:t>
      </w:r>
      <w:r w:rsidR="0045671F">
        <w:t xml:space="preserve">s from </w:t>
      </w:r>
      <w:r w:rsidR="00610A97">
        <w:t>p</w:t>
      </w:r>
      <w:r w:rsidR="0045671F">
        <w:t>olicy into legislation;</w:t>
      </w:r>
    </w:p>
    <w:p w14:paraId="65FA0F75" w14:textId="77777777" w:rsidR="00D21C07" w:rsidRPr="00264BB4" w:rsidRDefault="00D21C07" w:rsidP="002229ED">
      <w:pPr>
        <w:pStyle w:val="Dash"/>
        <w:spacing w:after="190"/>
      </w:pPr>
      <w:r w:rsidRPr="00264BB4">
        <w:t>modernisation of the foreign investment legislation including changes to exemptions and the substantial interest threshold</w:t>
      </w:r>
      <w:r>
        <w:t>, with the latter reducing the number of Australian based entities that were foreign persons due to interests held in them by overseas investors</w:t>
      </w:r>
      <w:r w:rsidRPr="00264BB4">
        <w:t>;</w:t>
      </w:r>
    </w:p>
    <w:p w14:paraId="452FE66D" w14:textId="77777777" w:rsidR="00D21C07" w:rsidRPr="00264BB4" w:rsidRDefault="00D21C07" w:rsidP="002229ED">
      <w:pPr>
        <w:pStyle w:val="Dash"/>
        <w:spacing w:after="190"/>
      </w:pPr>
      <w:r w:rsidRPr="00264BB4">
        <w:t xml:space="preserve">changes to </w:t>
      </w:r>
      <w:r>
        <w:t>e</w:t>
      </w:r>
      <w:r w:rsidRPr="00264BB4">
        <w:t xml:space="preserve">xemption </w:t>
      </w:r>
      <w:r>
        <w:t>c</w:t>
      </w:r>
      <w:r w:rsidRPr="00264BB4">
        <w:t>ertificates; and</w:t>
      </w:r>
    </w:p>
    <w:p w14:paraId="59A7C527" w14:textId="5784F699" w:rsidR="00D21C07" w:rsidRDefault="00D21C07" w:rsidP="002229ED">
      <w:pPr>
        <w:pStyle w:val="Dash"/>
        <w:spacing w:after="190"/>
      </w:pPr>
      <w:r w:rsidRPr="00264BB4">
        <w:t>the increase in the monetary threshold for commercial developed land that is not sensitive from $55</w:t>
      </w:r>
      <w:r>
        <w:t> </w:t>
      </w:r>
      <w:r w:rsidRPr="00264BB4">
        <w:t>million to $252</w:t>
      </w:r>
      <w:r>
        <w:t> </w:t>
      </w:r>
      <w:r w:rsidRPr="00264BB4">
        <w:t>million</w:t>
      </w:r>
      <w:r w:rsidR="00A1607F">
        <w:t>; and</w:t>
      </w:r>
    </w:p>
    <w:p w14:paraId="200C0BDB" w14:textId="114F5A2E" w:rsidR="00D20C31" w:rsidRPr="00264BB4" w:rsidRDefault="00A1607F" w:rsidP="00D20C31">
      <w:pPr>
        <w:pStyle w:val="Bullet"/>
      </w:pPr>
      <w:r>
        <w:t>c</w:t>
      </w:r>
      <w:r w:rsidR="00D20C31">
        <w:t>hanges announced in the 2017</w:t>
      </w:r>
      <w:r w:rsidR="00D20C31">
        <w:noBreakHyphen/>
        <w:t xml:space="preserve">18 </w:t>
      </w:r>
      <w:r>
        <w:t xml:space="preserve">Budget </w:t>
      </w:r>
      <w:r w:rsidR="00D20C31">
        <w:t>that came into effect in 2017</w:t>
      </w:r>
      <w:r w:rsidR="00D20C31">
        <w:noBreakHyphen/>
        <w:t>18 (see</w:t>
      </w:r>
      <w:r w:rsidR="00F708B2">
        <w:t> </w:t>
      </w:r>
      <w:r w:rsidR="0045671F">
        <w:t>Chapter </w:t>
      </w:r>
      <w:r w:rsidR="00221663">
        <w:t>T</w:t>
      </w:r>
      <w:r w:rsidR="003E1146">
        <w:t>wo</w:t>
      </w:r>
      <w:r w:rsidR="00605820">
        <w:t>: The Foreign Investment Framework</w:t>
      </w:r>
      <w:r w:rsidR="0045671F">
        <w:t>).</w:t>
      </w:r>
    </w:p>
    <w:p w14:paraId="1443560B" w14:textId="77777777" w:rsidR="00D21C07" w:rsidRPr="00264BB4" w:rsidRDefault="00D21C07" w:rsidP="002229ED">
      <w:pPr>
        <w:pStyle w:val="Heading3"/>
        <w:spacing w:before="120"/>
        <w:rPr>
          <w:iCs/>
          <w:smallCaps/>
        </w:rPr>
      </w:pPr>
      <w:r w:rsidRPr="00264BB4">
        <w:t>Administrative practices</w:t>
      </w:r>
    </w:p>
    <w:p w14:paraId="7648948C" w14:textId="77777777" w:rsidR="00D21C07" w:rsidRPr="00264BB4" w:rsidRDefault="00D21C07" w:rsidP="002229ED">
      <w:pPr>
        <w:spacing w:after="200"/>
      </w:pPr>
      <w:r w:rsidRPr="00264BB4">
        <w:t>Changes in administrative practice (for example, data collection and record keeping) and foreign investment application requirements have also impacted on year</w:t>
      </w:r>
      <w:r w:rsidRPr="00264BB4">
        <w:noBreakHyphen/>
        <w:t>to</w:t>
      </w:r>
      <w:r w:rsidRPr="00264BB4">
        <w:noBreakHyphen/>
        <w:t>year data comparability. Examples of this include the following:</w:t>
      </w:r>
    </w:p>
    <w:p w14:paraId="5977B3AC" w14:textId="5056A725" w:rsidR="00D21C07" w:rsidRPr="00CC2CDC" w:rsidRDefault="00D21C07" w:rsidP="002229ED">
      <w:pPr>
        <w:pStyle w:val="Bullet"/>
        <w:spacing w:after="200"/>
      </w:pPr>
      <w:r w:rsidRPr="00264BB4">
        <w:t>The most recent Australian and New Zealand Standard Industrial Classification (ANZSIC</w:t>
      </w:r>
      <w:r w:rsidR="00E47DBF">
        <w:t>,</w:t>
      </w:r>
      <w:r w:rsidRPr="00264BB4">
        <w:t xml:space="preserve"> 2006) was adopted for </w:t>
      </w:r>
      <w:r w:rsidRPr="00353E9A">
        <w:t xml:space="preserve">data recording and reporting purposes as part of the </w:t>
      </w:r>
      <w:r>
        <w:t>1 July 2014</w:t>
      </w:r>
      <w:r w:rsidRPr="00353E9A">
        <w:t xml:space="preserve"> case management system. Year</w:t>
      </w:r>
      <w:r w:rsidR="00EB7CF5" w:rsidRPr="00264BB4">
        <w:noBreakHyphen/>
        <w:t>to</w:t>
      </w:r>
      <w:r w:rsidR="00EB7CF5" w:rsidRPr="00264BB4">
        <w:noBreakHyphen/>
      </w:r>
      <w:r w:rsidRPr="00CC2CDC">
        <w:t>year comparability of pre 2014</w:t>
      </w:r>
      <w:r>
        <w:t>–</w:t>
      </w:r>
      <w:r w:rsidRPr="00CC2CDC">
        <w:t>15 data may be limited.</w:t>
      </w:r>
    </w:p>
    <w:p w14:paraId="545D27AD" w14:textId="7BE5BA8A" w:rsidR="003E1D3A" w:rsidRPr="007D3940" w:rsidRDefault="00D21C07" w:rsidP="007D3940">
      <w:pPr>
        <w:pStyle w:val="Bullet"/>
        <w:spacing w:after="0"/>
      </w:pPr>
      <w:r w:rsidRPr="002229CB">
        <w:t>The transfer of screening of residential real estate cases to the ATO from 1</w:t>
      </w:r>
      <w:r>
        <w:t> </w:t>
      </w:r>
      <w:r w:rsidRPr="002229CB">
        <w:t>December</w:t>
      </w:r>
      <w:r>
        <w:t> </w:t>
      </w:r>
      <w:r w:rsidRPr="002229CB">
        <w:t xml:space="preserve">2015 and of non-sensitive commercial real estate and </w:t>
      </w:r>
      <w:r w:rsidR="00955C66">
        <w:t>corporate</w:t>
      </w:r>
      <w:r w:rsidR="00955C66" w:rsidRPr="002229CB">
        <w:t xml:space="preserve"> </w:t>
      </w:r>
      <w:r w:rsidRPr="002229CB">
        <w:t xml:space="preserve">reorganisation </w:t>
      </w:r>
      <w:r w:rsidR="00955C66">
        <w:t>cases</w:t>
      </w:r>
      <w:r w:rsidRPr="002229CB">
        <w:t xml:space="preserve"> from 1</w:t>
      </w:r>
      <w:r>
        <w:t> </w:t>
      </w:r>
      <w:r w:rsidRPr="002229CB">
        <w:t>April</w:t>
      </w:r>
      <w:r>
        <w:t> </w:t>
      </w:r>
      <w:r w:rsidRPr="002229CB">
        <w:t>2017.</w:t>
      </w:r>
      <w:r>
        <w:t xml:space="preserve"> Data for cases screened by the ATO are captured in this annual report using data from the ATO systems.</w:t>
      </w:r>
    </w:p>
    <w:p w14:paraId="709ED7DB" w14:textId="77777777" w:rsidR="007D3940" w:rsidRPr="007D3940" w:rsidRDefault="007D3940" w:rsidP="007D3940"/>
    <w:p w14:paraId="5686CAFB" w14:textId="77777777" w:rsidR="007D3940" w:rsidRPr="007D3940" w:rsidRDefault="007D3940" w:rsidP="007D3940">
      <w:pPr>
        <w:sectPr w:rsidR="007D3940" w:rsidRPr="007D3940" w:rsidSect="003E1D3A">
          <w:type w:val="oddPage"/>
          <w:pgSz w:w="11907" w:h="16840" w:code="9"/>
          <w:pgMar w:top="2466" w:right="2098" w:bottom="2466" w:left="2098" w:header="1899" w:footer="1899" w:gutter="0"/>
          <w:cols w:space="708"/>
          <w:titlePg/>
          <w:docGrid w:linePitch="360"/>
        </w:sectPr>
      </w:pPr>
    </w:p>
    <w:p w14:paraId="55EF41FB" w14:textId="77777777" w:rsidR="00D21C07" w:rsidRDefault="00D21C07" w:rsidP="009F5A6A">
      <w:pPr>
        <w:pStyle w:val="ChartGraphic"/>
      </w:pPr>
      <w:r>
        <w:rPr>
          <w:noProof/>
        </w:rPr>
        <w:drawing>
          <wp:inline distT="0" distB="0" distL="0" distR="0" wp14:anchorId="13DFDBED" wp14:editId="7D54B73A">
            <wp:extent cx="4895088" cy="3059239"/>
            <wp:effectExtent l="0" t="0" r="127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B part page7.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895088" cy="3059239"/>
                    </a:xfrm>
                    <a:prstGeom prst="rect">
                      <a:avLst/>
                    </a:prstGeom>
                  </pic:spPr>
                </pic:pic>
              </a:graphicData>
            </a:graphic>
          </wp:inline>
        </w:drawing>
      </w:r>
    </w:p>
    <w:p w14:paraId="028EFFB6" w14:textId="65ED5DF0" w:rsidR="009F5A6A" w:rsidRPr="009F5A6A" w:rsidRDefault="009F5A6A" w:rsidP="009F5A6A">
      <w:pPr>
        <w:pStyle w:val="Heading1"/>
      </w:pPr>
      <w:bookmarkStart w:id="1621" w:name="_Toc529795020"/>
      <w:bookmarkStart w:id="1622" w:name="_Toc529802504"/>
      <w:bookmarkStart w:id="1623" w:name="_Toc529878079"/>
      <w:bookmarkStart w:id="1624" w:name="_Toc529879303"/>
      <w:bookmarkStart w:id="1625" w:name="_Toc529882568"/>
      <w:bookmarkStart w:id="1626" w:name="_Toc529885239"/>
      <w:bookmarkStart w:id="1627" w:name="_Toc529890711"/>
      <w:bookmarkStart w:id="1628" w:name="_Toc529970082"/>
      <w:bookmarkStart w:id="1629" w:name="_Toc529979437"/>
      <w:bookmarkStart w:id="1630" w:name="_Toc530050483"/>
      <w:bookmarkStart w:id="1631" w:name="_Toc530065562"/>
      <w:bookmarkStart w:id="1632" w:name="_Toc530066390"/>
      <w:bookmarkStart w:id="1633" w:name="_Toc530145111"/>
      <w:bookmarkStart w:id="1634" w:name="_Toc530146081"/>
      <w:bookmarkStart w:id="1635" w:name="_Toc530147002"/>
      <w:bookmarkStart w:id="1636" w:name="_Toc530148360"/>
      <w:bookmarkStart w:id="1637" w:name="_Toc530148561"/>
      <w:bookmarkStart w:id="1638" w:name="_Toc530149233"/>
      <w:bookmarkStart w:id="1639" w:name="_Toc530149804"/>
      <w:bookmarkStart w:id="1640" w:name="_Toc532207349"/>
      <w:bookmarkStart w:id="1641" w:name="_Toc532217737"/>
      <w:bookmarkStart w:id="1642" w:name="_Toc532218758"/>
      <w:bookmarkStart w:id="1643" w:name="_Toc532219070"/>
      <w:bookmarkStart w:id="1644" w:name="_Toc532223754"/>
      <w:bookmarkStart w:id="1645" w:name="_Toc532224213"/>
      <w:bookmarkStart w:id="1646" w:name="_Toc532226692"/>
      <w:bookmarkStart w:id="1647" w:name="_Toc536029393"/>
      <w:bookmarkStart w:id="1648" w:name="_Toc1120415"/>
      <w:bookmarkStart w:id="1649" w:name="_Toc1121986"/>
      <w:r w:rsidRPr="009F5A6A">
        <w:t>Appendix C: Examination and Approval Process</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1850B469" w14:textId="64539163" w:rsidR="00D21C07" w:rsidRPr="00264BB4" w:rsidRDefault="00D21C07" w:rsidP="00D21C07">
      <w:r w:rsidRPr="00264BB4">
        <w:t xml:space="preserve">The examination of foreign investment </w:t>
      </w:r>
      <w:r w:rsidR="00A64E26">
        <w:t>application</w:t>
      </w:r>
      <w:r w:rsidRPr="00264BB4">
        <w:t xml:space="preserve">s is rigorous. The assessment process seeks to ensure that particular </w:t>
      </w:r>
      <w:r w:rsidR="00A64E26">
        <w:t>proposed investments</w:t>
      </w:r>
      <w:r w:rsidRPr="00264BB4">
        <w:t xml:space="preserve"> are not contrary to Australia’s national interest. In fulfilling this objective, </w:t>
      </w:r>
      <w:r w:rsidR="00A64E26">
        <w:t>proposed investments</w:t>
      </w:r>
      <w:r w:rsidRPr="00264BB4">
        <w:t xml:space="preserve"> are examined with a view to identifying any sensitivity regarding the national interest and determining whether these sensitivities can be mitigated or managed.</w:t>
      </w:r>
    </w:p>
    <w:p w14:paraId="6B25DC3C" w14:textId="3771D0B2" w:rsidR="00D21C07" w:rsidRPr="004B7E5B" w:rsidRDefault="00581D93" w:rsidP="00E76F2E">
      <w:pPr>
        <w:pStyle w:val="Heading2"/>
      </w:pPr>
      <w:bookmarkStart w:id="1650" w:name="_Toc529530655"/>
      <w:bookmarkStart w:id="1651" w:name="_Toc529545259"/>
      <w:bookmarkStart w:id="1652" w:name="_Toc529795021"/>
      <w:bookmarkStart w:id="1653" w:name="_Toc529802505"/>
      <w:bookmarkStart w:id="1654" w:name="_Toc529878080"/>
      <w:bookmarkStart w:id="1655" w:name="_Toc529879304"/>
      <w:bookmarkStart w:id="1656" w:name="_Toc529882569"/>
      <w:bookmarkStart w:id="1657" w:name="_Toc529885240"/>
      <w:bookmarkStart w:id="1658" w:name="_Toc529890712"/>
      <w:bookmarkStart w:id="1659" w:name="_Toc529970083"/>
      <w:bookmarkStart w:id="1660" w:name="_Toc529979438"/>
      <w:bookmarkStart w:id="1661" w:name="_Toc530050484"/>
      <w:bookmarkStart w:id="1662" w:name="_Toc530065563"/>
      <w:bookmarkStart w:id="1663" w:name="_Toc530066391"/>
      <w:bookmarkStart w:id="1664" w:name="_Toc530145112"/>
      <w:bookmarkStart w:id="1665" w:name="_Toc530146082"/>
      <w:bookmarkStart w:id="1666" w:name="_Toc530147003"/>
      <w:bookmarkStart w:id="1667" w:name="_Toc530148361"/>
      <w:bookmarkStart w:id="1668" w:name="_Toc530148562"/>
      <w:bookmarkStart w:id="1669" w:name="_Toc530149234"/>
      <w:bookmarkStart w:id="1670" w:name="_Toc530149805"/>
      <w:bookmarkStart w:id="1671" w:name="_Toc532207350"/>
      <w:bookmarkStart w:id="1672" w:name="_Toc532217738"/>
      <w:bookmarkStart w:id="1673" w:name="_Toc532218759"/>
      <w:bookmarkStart w:id="1674" w:name="_Toc532219071"/>
      <w:bookmarkStart w:id="1675" w:name="_Toc532223755"/>
      <w:bookmarkStart w:id="1676" w:name="_Toc532224214"/>
      <w:bookmarkStart w:id="1677" w:name="_Toc532226693"/>
      <w:bookmarkStart w:id="1678" w:name="_Toc536029394"/>
      <w:bookmarkStart w:id="1679" w:name="_Toc1120416"/>
      <w:bookmarkStart w:id="1680" w:name="_Toc1121987"/>
      <w:r>
        <w:t>FIRB</w:t>
      </w:r>
      <w:r w:rsidR="00D21C07" w:rsidRPr="004B7E5B">
        <w:t xml:space="preserve"> </w:t>
      </w:r>
      <w:r w:rsidR="00D21C07" w:rsidRPr="00E76F2E">
        <w:t>involvement</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14:paraId="267EDD90" w14:textId="5958EED5" w:rsidR="00D21C07" w:rsidRPr="00264BB4" w:rsidRDefault="00D21C07" w:rsidP="00D21C07">
      <w:r w:rsidRPr="00264BB4">
        <w:t xml:space="preserve">The </w:t>
      </w:r>
      <w:r w:rsidR="00581D93">
        <w:t>Board</w:t>
      </w:r>
      <w:r w:rsidRPr="00264BB4">
        <w:t xml:space="preserve"> provides advice on the application of the foreign investment framework across the range of </w:t>
      </w:r>
      <w:r w:rsidR="00A64E26">
        <w:t>proposed investments</w:t>
      </w:r>
      <w:r w:rsidRPr="00264BB4">
        <w:t xml:space="preserve"> received and on foreign investment policy issues. It provides specific advice on the more significant applications received and also reviews the general handling of other applications. The </w:t>
      </w:r>
      <w:r w:rsidR="00581D93">
        <w:t>Board</w:t>
      </w:r>
      <w:r w:rsidRPr="00264BB4">
        <w:t xml:space="preserve"> performs this role with the benefit of weekly reports on </w:t>
      </w:r>
      <w:r w:rsidR="00A64E26">
        <w:t>applications</w:t>
      </w:r>
      <w:r w:rsidRPr="00264BB4">
        <w:t xml:space="preserve"> received and through regular meetings and discussions with the Executive Member and </w:t>
      </w:r>
      <w:r>
        <w:t>Treasury or ATO</w:t>
      </w:r>
      <w:r w:rsidRPr="00264BB4">
        <w:t xml:space="preserve"> officers. Formal Board meetings are generally held monthly, with telephone discussions taking place in the intervening weeks. The </w:t>
      </w:r>
      <w:r w:rsidR="00581D93">
        <w:t>Board</w:t>
      </w:r>
      <w:r w:rsidRPr="00264BB4">
        <w:t xml:space="preserve"> members draw on their considerable collective and individual professional and commercial experience in discharging their advisory role.</w:t>
      </w:r>
    </w:p>
    <w:p w14:paraId="6C06A936" w14:textId="77777777" w:rsidR="00D21C07" w:rsidRPr="004B7E5B" w:rsidRDefault="00D21C07" w:rsidP="00E76F2E">
      <w:pPr>
        <w:pStyle w:val="Heading2"/>
      </w:pPr>
      <w:bookmarkStart w:id="1681" w:name="_Toc529530656"/>
      <w:bookmarkStart w:id="1682" w:name="_Toc529545260"/>
      <w:bookmarkStart w:id="1683" w:name="_Toc529795022"/>
      <w:bookmarkStart w:id="1684" w:name="_Toc529802506"/>
      <w:bookmarkStart w:id="1685" w:name="_Toc529878081"/>
      <w:bookmarkStart w:id="1686" w:name="_Toc529879305"/>
      <w:bookmarkStart w:id="1687" w:name="_Toc529882570"/>
      <w:bookmarkStart w:id="1688" w:name="_Toc529885241"/>
      <w:bookmarkStart w:id="1689" w:name="_Toc529890713"/>
      <w:bookmarkStart w:id="1690" w:name="_Toc529970084"/>
      <w:bookmarkStart w:id="1691" w:name="_Toc529979439"/>
      <w:bookmarkStart w:id="1692" w:name="_Toc530050485"/>
      <w:bookmarkStart w:id="1693" w:name="_Toc530065564"/>
      <w:bookmarkStart w:id="1694" w:name="_Toc530066392"/>
      <w:bookmarkStart w:id="1695" w:name="_Toc530145113"/>
      <w:bookmarkStart w:id="1696" w:name="_Toc530146083"/>
      <w:bookmarkStart w:id="1697" w:name="_Toc530147004"/>
      <w:bookmarkStart w:id="1698" w:name="_Toc530148294"/>
      <w:bookmarkStart w:id="1699" w:name="_Toc530148362"/>
      <w:bookmarkStart w:id="1700" w:name="_Toc530148563"/>
      <w:bookmarkStart w:id="1701" w:name="_Toc530149235"/>
      <w:bookmarkStart w:id="1702" w:name="_Toc530149806"/>
      <w:bookmarkStart w:id="1703" w:name="_Toc532207351"/>
      <w:bookmarkStart w:id="1704" w:name="_Toc532217739"/>
      <w:bookmarkStart w:id="1705" w:name="_Toc532218760"/>
      <w:bookmarkStart w:id="1706" w:name="_Toc532219072"/>
      <w:bookmarkStart w:id="1707" w:name="_Toc532223756"/>
      <w:bookmarkStart w:id="1708" w:name="_Toc532224215"/>
      <w:bookmarkStart w:id="1709" w:name="_Toc532226694"/>
      <w:bookmarkStart w:id="1710" w:name="_Toc536029395"/>
      <w:bookmarkStart w:id="1711" w:name="_Toc1120417"/>
      <w:bookmarkStart w:id="1712" w:name="_Toc1121988"/>
      <w:r w:rsidRPr="004B7E5B">
        <w:t xml:space="preserve">Handling of commercially </w:t>
      </w:r>
      <w:r w:rsidRPr="00E76F2E">
        <w:t>sensitive</w:t>
      </w:r>
      <w:r w:rsidRPr="004B7E5B">
        <w:t xml:space="preserve"> and personal information</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4FF60C40" w14:textId="4DADF44C" w:rsidR="0049652A" w:rsidRDefault="00D21C07" w:rsidP="00E76F2E">
      <w:r w:rsidRPr="00264BB4">
        <w:t xml:space="preserve">The </w:t>
      </w:r>
      <w:r w:rsidR="00581D93">
        <w:t>Board</w:t>
      </w:r>
      <w:r w:rsidRPr="00264BB4">
        <w:t xml:space="preserve"> recognises that much of the information required to assess </w:t>
      </w:r>
      <w:r w:rsidR="00A64E26">
        <w:t>an application</w:t>
      </w:r>
      <w:r w:rsidRPr="00264BB4">
        <w:t xml:space="preserve"> will be commercially sensitive or of a private or confidential nature. Consequently, appropriate measures are in place to ensure tha</w:t>
      </w:r>
      <w:r w:rsidR="00E76F2E">
        <w:t>t confidentiality is protected.</w:t>
      </w:r>
    </w:p>
    <w:p w14:paraId="664235D4" w14:textId="5BE88DEF" w:rsidR="00D21C07" w:rsidRPr="00264BB4" w:rsidRDefault="00D21C07" w:rsidP="00D21C07">
      <w:r w:rsidRPr="00264BB4">
        <w:t xml:space="preserve">In the event that access to confidential information is sought for purposes other than the assessment of an application, </w:t>
      </w:r>
      <w:r w:rsidR="00255B4D">
        <w:t>FIRB</w:t>
      </w:r>
      <w:r w:rsidR="00EF7442">
        <w:t xml:space="preserve"> agencies are subject to legislative</w:t>
      </w:r>
      <w:r w:rsidRPr="00264BB4">
        <w:t xml:space="preserve"> provisions </w:t>
      </w:r>
      <w:r w:rsidR="00EF7442">
        <w:t>that govern</w:t>
      </w:r>
      <w:r w:rsidRPr="00264BB4">
        <w:t xml:space="preserve"> </w:t>
      </w:r>
      <w:r w:rsidR="00EF7442">
        <w:t xml:space="preserve">if </w:t>
      </w:r>
      <w:r w:rsidRPr="00264BB4">
        <w:t>information</w:t>
      </w:r>
      <w:r w:rsidR="00EF7442">
        <w:t xml:space="preserve"> received under the </w:t>
      </w:r>
      <w:r w:rsidR="00F600CD">
        <w:t>framework</w:t>
      </w:r>
      <w:r w:rsidRPr="00264BB4">
        <w:t xml:space="preserve"> may be used or disclosed. </w:t>
      </w:r>
      <w:r w:rsidR="00EF7442">
        <w:t xml:space="preserve">Circumstances in which information can be disclosed </w:t>
      </w:r>
      <w:r w:rsidRPr="00264BB4">
        <w:t xml:space="preserve">include </w:t>
      </w:r>
      <w:r w:rsidR="00EF7442">
        <w:t xml:space="preserve">for </w:t>
      </w:r>
      <w:r w:rsidRPr="00264BB4">
        <w:t xml:space="preserve">the administration of specified Commonwealth statutes, to certain law enforcement bodies and </w:t>
      </w:r>
      <w:r w:rsidR="00524ABB">
        <w:t xml:space="preserve">in aggregate form, such as the public reporting of </w:t>
      </w:r>
      <w:r w:rsidR="00255B4D">
        <w:t>FIRB</w:t>
      </w:r>
      <w:r w:rsidR="00524ABB">
        <w:t xml:space="preserve"> data in this report</w:t>
      </w:r>
      <w:r w:rsidRPr="00264BB4">
        <w:t xml:space="preserve">. Unauthorised disclosure of protected information under the </w:t>
      </w:r>
      <w:r w:rsidR="00F600CD">
        <w:t>framework</w:t>
      </w:r>
      <w:r w:rsidRPr="00264BB4">
        <w:t xml:space="preserve"> is an offence subject to a maximum of two years imprisonment, a $</w:t>
      </w:r>
      <w:r>
        <w:t>25,000</w:t>
      </w:r>
      <w:r w:rsidRPr="00264BB4">
        <w:t xml:space="preserve"> fine, or both.</w:t>
      </w:r>
    </w:p>
    <w:p w14:paraId="151801A6" w14:textId="3430BAA9" w:rsidR="00D21C07" w:rsidRPr="004B7E5B" w:rsidRDefault="00D21C07" w:rsidP="00E76F2E">
      <w:pPr>
        <w:pStyle w:val="Heading2"/>
      </w:pPr>
      <w:bookmarkStart w:id="1713" w:name="_Toc512259070"/>
      <w:bookmarkStart w:id="1714" w:name="_Toc512523492"/>
      <w:bookmarkStart w:id="1715" w:name="_Toc512524861"/>
      <w:bookmarkStart w:id="1716" w:name="_Toc513021749"/>
      <w:bookmarkStart w:id="1717" w:name="_Toc513122767"/>
      <w:bookmarkStart w:id="1718" w:name="_Toc513131337"/>
      <w:bookmarkStart w:id="1719" w:name="_Toc513456071"/>
      <w:bookmarkStart w:id="1720" w:name="_Toc513457317"/>
      <w:bookmarkStart w:id="1721" w:name="_Toc513557395"/>
      <w:bookmarkStart w:id="1722" w:name="_Toc513559411"/>
      <w:bookmarkStart w:id="1723" w:name="_Toc529530657"/>
      <w:bookmarkStart w:id="1724" w:name="_Toc529545261"/>
      <w:bookmarkStart w:id="1725" w:name="_Toc529795023"/>
      <w:bookmarkStart w:id="1726" w:name="_Toc529802507"/>
      <w:bookmarkStart w:id="1727" w:name="_Toc529878082"/>
      <w:bookmarkStart w:id="1728" w:name="_Toc529879306"/>
      <w:bookmarkStart w:id="1729" w:name="_Toc529882571"/>
      <w:bookmarkStart w:id="1730" w:name="_Toc529885242"/>
      <w:bookmarkStart w:id="1731" w:name="_Toc529890714"/>
      <w:bookmarkStart w:id="1732" w:name="_Toc529970085"/>
      <w:bookmarkStart w:id="1733" w:name="_Toc529979440"/>
      <w:bookmarkStart w:id="1734" w:name="_Toc530050486"/>
      <w:bookmarkStart w:id="1735" w:name="_Toc530065565"/>
      <w:bookmarkStart w:id="1736" w:name="_Toc530066393"/>
      <w:bookmarkStart w:id="1737" w:name="_Toc530145114"/>
      <w:bookmarkStart w:id="1738" w:name="_Toc530146084"/>
      <w:bookmarkStart w:id="1739" w:name="_Toc530147005"/>
      <w:bookmarkStart w:id="1740" w:name="_Toc530148295"/>
      <w:bookmarkStart w:id="1741" w:name="_Toc530148363"/>
      <w:bookmarkStart w:id="1742" w:name="_Toc530148564"/>
      <w:bookmarkStart w:id="1743" w:name="_Toc530149236"/>
      <w:bookmarkStart w:id="1744" w:name="_Toc530149807"/>
      <w:bookmarkStart w:id="1745" w:name="_Toc532207352"/>
      <w:bookmarkStart w:id="1746" w:name="_Toc532217740"/>
      <w:bookmarkStart w:id="1747" w:name="_Toc532218761"/>
      <w:bookmarkStart w:id="1748" w:name="_Toc532219073"/>
      <w:bookmarkStart w:id="1749" w:name="_Toc532223757"/>
      <w:bookmarkStart w:id="1750" w:name="_Toc532224216"/>
      <w:bookmarkStart w:id="1751" w:name="_Toc532226695"/>
      <w:bookmarkStart w:id="1752" w:name="_Toc536029396"/>
      <w:bookmarkStart w:id="1753" w:name="_Toc1120418"/>
      <w:bookmarkStart w:id="1754" w:name="_Toc1121989"/>
      <w:r w:rsidRPr="004B7E5B">
        <w:t xml:space="preserve">Application </w:t>
      </w:r>
      <w:r w:rsidR="0093021F">
        <w:t>s</w:t>
      </w:r>
      <w:r w:rsidR="0093021F" w:rsidRPr="004B7E5B">
        <w:t xml:space="preserve">creening </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r w:rsidR="0093021F">
        <w:t>p</w:t>
      </w:r>
      <w:r w:rsidR="0093021F" w:rsidRPr="004B7E5B">
        <w:t>rocess</w:t>
      </w:r>
      <w:bookmarkEnd w:id="1752"/>
      <w:bookmarkEnd w:id="1753"/>
      <w:bookmarkEnd w:id="1754"/>
    </w:p>
    <w:p w14:paraId="55040BE7" w14:textId="77777777" w:rsidR="00D21C07" w:rsidRPr="00264BB4" w:rsidRDefault="00D21C07" w:rsidP="00D21C07">
      <w:r w:rsidRPr="00264BB4">
        <w:t xml:space="preserve">Key elements of the </w:t>
      </w:r>
      <w:r>
        <w:t xml:space="preserve">application screening process </w:t>
      </w:r>
      <w:r w:rsidRPr="00264BB4">
        <w:t>are outlined below</w:t>
      </w:r>
      <w:r>
        <w:t xml:space="preserve">, and summarised in </w:t>
      </w:r>
      <w:r w:rsidRPr="007757AE">
        <w:t>Figure C.1</w:t>
      </w:r>
      <w:r w:rsidRPr="00264BB4">
        <w:t>.</w:t>
      </w:r>
    </w:p>
    <w:p w14:paraId="17498B84" w14:textId="77777777" w:rsidR="00D21C07" w:rsidRPr="004B7E5B" w:rsidRDefault="00D21C07" w:rsidP="00E76F2E">
      <w:pPr>
        <w:pStyle w:val="Heading3"/>
      </w:pPr>
      <w:r w:rsidRPr="004B7E5B">
        <w:t xml:space="preserve">Initial </w:t>
      </w:r>
      <w:r w:rsidRPr="00E76F2E">
        <w:t>examination</w:t>
      </w:r>
    </w:p>
    <w:p w14:paraId="7B79FE52" w14:textId="15565370" w:rsidR="00D21C07" w:rsidRPr="00264BB4" w:rsidRDefault="00D21C07" w:rsidP="00D21C07">
      <w:r w:rsidRPr="00264BB4">
        <w:t>The initial examination seeks to determine whether an application meets the notification requirements for a proposal in so far as the</w:t>
      </w:r>
      <w:r w:rsidR="00F600CD" w:rsidRPr="00CB54C2">
        <w:t xml:space="preserve"> </w:t>
      </w:r>
      <w:r w:rsidR="00F600CD" w:rsidRPr="00CB54C2">
        <w:rPr>
          <w:i/>
        </w:rPr>
        <w:t>Foreign Acquisitions and Takeovers Act 1975</w:t>
      </w:r>
      <w:r w:rsidR="00F600CD" w:rsidRPr="00CB54C2">
        <w:t xml:space="preserve"> </w:t>
      </w:r>
      <w:r w:rsidR="00F600CD">
        <w:t xml:space="preserve">(the </w:t>
      </w:r>
      <w:r w:rsidRPr="00264BB4">
        <w:t>Act</w:t>
      </w:r>
      <w:r w:rsidR="00F600CD">
        <w:t>)</w:t>
      </w:r>
      <w:r w:rsidRPr="00264BB4">
        <w:t xml:space="preserve"> applies, whether the application contains sufficient detail and that the correct application fee has been paid. Timing is also considered, including deadlines that are commercially important to the applicant. The </w:t>
      </w:r>
      <w:r w:rsidR="00255B4D">
        <w:t>Board</w:t>
      </w:r>
      <w:r w:rsidRPr="00264BB4">
        <w:t xml:space="preserve"> has direct and early involvement in significant or sensiti</w:t>
      </w:r>
      <w:r>
        <w:t>ve applications.</w:t>
      </w:r>
    </w:p>
    <w:p w14:paraId="121E98E9" w14:textId="77777777" w:rsidR="00D21C07" w:rsidRPr="004B7E5B" w:rsidRDefault="00D21C07" w:rsidP="00E76F2E">
      <w:pPr>
        <w:pStyle w:val="Heading3"/>
      </w:pPr>
      <w:r w:rsidRPr="004B7E5B">
        <w:t xml:space="preserve">Consultation </w:t>
      </w:r>
      <w:r w:rsidRPr="00E76F2E">
        <w:t>arrangements</w:t>
      </w:r>
    </w:p>
    <w:p w14:paraId="3ADCE58E" w14:textId="2DFCE525" w:rsidR="00D21C07" w:rsidRPr="00264BB4" w:rsidRDefault="00D21C07" w:rsidP="00D21C07">
      <w:r w:rsidRPr="00264BB4">
        <w:t xml:space="preserve">For significant </w:t>
      </w:r>
      <w:r w:rsidR="00050DF4">
        <w:t>applications</w:t>
      </w:r>
      <w:r w:rsidRPr="00264BB4">
        <w:t xml:space="preserve">, consultations are undertaken with Australian </w:t>
      </w:r>
      <w:r>
        <w:t>G</w:t>
      </w:r>
      <w:r w:rsidRPr="00264BB4">
        <w:t xml:space="preserve">overnment departments, state and territory government departments, national security agencies and authorities with responsibilities relevant to the </w:t>
      </w:r>
      <w:r w:rsidR="00050DF4">
        <w:t>proposed investment</w:t>
      </w:r>
      <w:r w:rsidRPr="00264BB4">
        <w:t xml:space="preserve">. Advice and comments provided by such agencies are important in assessing the implications of </w:t>
      </w:r>
      <w:r w:rsidR="00050DF4">
        <w:t>proposed investments</w:t>
      </w:r>
      <w:r w:rsidRPr="00264BB4">
        <w:t xml:space="preserve"> and in particular, in determining whether they raise any national interest issues. The </w:t>
      </w:r>
      <w:r w:rsidR="00255B4D">
        <w:t>Board</w:t>
      </w:r>
      <w:r w:rsidRPr="00264BB4">
        <w:t xml:space="preserve"> may also receive unsolicited submissions from third parties.</w:t>
      </w:r>
    </w:p>
    <w:p w14:paraId="475F5A4B" w14:textId="77777777" w:rsidR="00D21C07" w:rsidRPr="004B7E5B" w:rsidRDefault="00D21C07" w:rsidP="00E76F2E">
      <w:pPr>
        <w:pStyle w:val="Heading3"/>
      </w:pPr>
      <w:r w:rsidRPr="004B7E5B">
        <w:t xml:space="preserve">National interest </w:t>
      </w:r>
      <w:r w:rsidRPr="00E76F2E">
        <w:t>factors</w:t>
      </w:r>
    </w:p>
    <w:p w14:paraId="3017C3B1" w14:textId="77777777" w:rsidR="00D21C07" w:rsidRPr="00264BB4" w:rsidRDefault="00D21C07" w:rsidP="00D21C07">
      <w:r w:rsidRPr="00264BB4">
        <w:t>The Act empowers the Treasurer to prohibit an investment if satisfied it would be contrary to the national interest. However, the general presumption is that foreign investment is beneficial, given the important role it plays in Australia’s economy.</w:t>
      </w:r>
    </w:p>
    <w:p w14:paraId="1ABB2BFA" w14:textId="6EC900A1" w:rsidR="00D21C07" w:rsidRPr="00264BB4" w:rsidRDefault="00D21C07" w:rsidP="00D21C07">
      <w:r w:rsidRPr="00264BB4">
        <w:t xml:space="preserve">The national interest, and what would be contrary to it, is not defined in the Act. Instead, the Treasurer can decide in each case whether the investment would be contrary to the national interest. Across all </w:t>
      </w:r>
      <w:r w:rsidR="00050DF4">
        <w:t>applications</w:t>
      </w:r>
      <w:r w:rsidRPr="00264BB4">
        <w:t xml:space="preserve"> the Government typically considers the following factors:</w:t>
      </w:r>
    </w:p>
    <w:p w14:paraId="1992E506" w14:textId="77777777" w:rsidR="00D21C07" w:rsidRPr="00264BB4" w:rsidRDefault="00D21C07" w:rsidP="002229ED">
      <w:pPr>
        <w:pStyle w:val="Bullet"/>
      </w:pPr>
      <w:r w:rsidRPr="00264BB4">
        <w:t>national security;</w:t>
      </w:r>
    </w:p>
    <w:p w14:paraId="3368CA6F" w14:textId="77777777" w:rsidR="00D21C07" w:rsidRPr="00264BB4" w:rsidRDefault="00D21C07" w:rsidP="002229ED">
      <w:pPr>
        <w:pStyle w:val="Bullet"/>
      </w:pPr>
      <w:r w:rsidRPr="00264BB4">
        <w:t>competition;</w:t>
      </w:r>
    </w:p>
    <w:p w14:paraId="562AC117" w14:textId="77777777" w:rsidR="00D21C07" w:rsidRPr="00264BB4" w:rsidRDefault="00D21C07" w:rsidP="002229ED">
      <w:pPr>
        <w:pStyle w:val="Bullet"/>
      </w:pPr>
      <w:r w:rsidRPr="00264BB4">
        <w:t>other Government policies (including taxation);</w:t>
      </w:r>
    </w:p>
    <w:p w14:paraId="413E751C" w14:textId="77777777" w:rsidR="00D21C07" w:rsidRPr="00264BB4" w:rsidRDefault="00D21C07" w:rsidP="002229ED">
      <w:pPr>
        <w:pStyle w:val="Bullet"/>
      </w:pPr>
      <w:r w:rsidRPr="00264BB4">
        <w:t>impact on the economy and the community; and</w:t>
      </w:r>
    </w:p>
    <w:p w14:paraId="141F8047" w14:textId="77777777" w:rsidR="00D21C07" w:rsidRPr="00264BB4" w:rsidRDefault="00D21C07" w:rsidP="002229ED">
      <w:pPr>
        <w:pStyle w:val="Bullet"/>
      </w:pPr>
      <w:r w:rsidRPr="00264BB4">
        <w:t>the character of the investor.</w:t>
      </w:r>
    </w:p>
    <w:p w14:paraId="1788D3C0" w14:textId="77777777" w:rsidR="00D21C07" w:rsidRPr="00264BB4" w:rsidRDefault="00D21C07" w:rsidP="00D21C07">
      <w:pPr>
        <w:keepNext/>
        <w:keepLines/>
      </w:pPr>
      <w:r w:rsidRPr="00264BB4">
        <w:t xml:space="preserve">Recognising their significance, additional factors are considered as part of the national interest test for proposed investments in the agricultural sector and for residential land as well as for applications made by foreign government investors. General guidance on the national interest factors is published in </w:t>
      </w:r>
      <w:r w:rsidRPr="000C11CC">
        <w:rPr>
          <w:i/>
        </w:rPr>
        <w:t>Australia’s Foreign Investment Policy</w:t>
      </w:r>
      <w:r w:rsidRPr="00264BB4">
        <w:t>.</w:t>
      </w:r>
    </w:p>
    <w:p w14:paraId="773029D0" w14:textId="77777777" w:rsidR="00D21C07" w:rsidRPr="004B7E5B" w:rsidRDefault="00D21C07" w:rsidP="00E76F2E">
      <w:pPr>
        <w:pStyle w:val="Heading3"/>
      </w:pPr>
      <w:r w:rsidRPr="004B7E5B">
        <w:t xml:space="preserve">Extending the </w:t>
      </w:r>
      <w:r w:rsidRPr="00E76F2E">
        <w:t>statutory</w:t>
      </w:r>
      <w:r w:rsidRPr="004B7E5B">
        <w:t xml:space="preserve"> timeframe</w:t>
      </w:r>
    </w:p>
    <w:p w14:paraId="0DC11231" w14:textId="22EE1CC7" w:rsidR="00D21C07" w:rsidRPr="00264BB4" w:rsidRDefault="00D21C07" w:rsidP="00D21C07">
      <w:r w:rsidRPr="00264BB4">
        <w:t xml:space="preserve">The Act requires a decision to be made </w:t>
      </w:r>
      <w:r w:rsidR="00955C66">
        <w:t xml:space="preserve">on applications </w:t>
      </w:r>
      <w:r w:rsidRPr="00264BB4">
        <w:t>within 30 calendar days of the correct fee being paid</w:t>
      </w:r>
      <w:r w:rsidR="00955C66">
        <w:t>, unless the application is a variation application. The Act</w:t>
      </w:r>
      <w:r w:rsidRPr="00264BB4">
        <w:t xml:space="preserve"> provides a further </w:t>
      </w:r>
      <w:r w:rsidR="00194932" w:rsidRPr="00264BB4">
        <w:t>10</w:t>
      </w:r>
      <w:r w:rsidR="00194932">
        <w:t> </w:t>
      </w:r>
      <w:r w:rsidRPr="00264BB4">
        <w:t>calendar days for the applicant to be notified of the decision. If a decision is not made within this time or the applicant has not been advised, the application is deemed to be ‘approved’ since ‘no objection’ to the proposal has been made</w:t>
      </w:r>
      <w:r w:rsidR="00955C66">
        <w:t xml:space="preserve"> or an exemption certificate is deemed granted</w:t>
      </w:r>
      <w:r w:rsidRPr="00264BB4">
        <w:t>.</w:t>
      </w:r>
    </w:p>
    <w:p w14:paraId="42E39E6B" w14:textId="00B59229" w:rsidR="00D21C07" w:rsidRPr="00264BB4" w:rsidRDefault="00D21C07" w:rsidP="00D21C07">
      <w:r w:rsidRPr="00264BB4">
        <w:t xml:space="preserve">If </w:t>
      </w:r>
      <w:r w:rsidR="00955C66">
        <w:t>such applications</w:t>
      </w:r>
      <w:r w:rsidRPr="00264BB4">
        <w:t xml:space="preserve"> cannot be decided within 30 days, because the</w:t>
      </w:r>
      <w:r w:rsidR="00955C66">
        <w:t>y are</w:t>
      </w:r>
      <w:r w:rsidRPr="00264BB4">
        <w:t xml:space="preserve"> complex or further information is needed to properly assess </w:t>
      </w:r>
      <w:r w:rsidR="00955C66">
        <w:t>them</w:t>
      </w:r>
      <w:r w:rsidRPr="00264BB4">
        <w:t xml:space="preserve">, </w:t>
      </w:r>
      <w:r w:rsidR="00955C66" w:rsidRPr="00264BB4">
        <w:t xml:space="preserve">the applicant can voluntarily extend </w:t>
      </w:r>
      <w:r w:rsidR="00955C66">
        <w:t xml:space="preserve">in writing </w:t>
      </w:r>
      <w:r w:rsidR="00955C66" w:rsidRPr="00264BB4">
        <w:t>the decision period where it is clear that more time will be required.</w:t>
      </w:r>
      <w:r w:rsidR="00955C66">
        <w:t xml:space="preserve"> In practice, this is the common way of extending the statutory timeframes. </w:t>
      </w:r>
      <w:r w:rsidR="00955C66" w:rsidRPr="00264BB4">
        <w:t xml:space="preserve">Alternatively, </w:t>
      </w:r>
      <w:r w:rsidRPr="00264BB4">
        <w:t>the Treasurer can issue an Interim Order extending the timeframe up to a further 90 days.</w:t>
      </w:r>
      <w:r w:rsidR="00955C66">
        <w:rPr>
          <w:rStyle w:val="FootnoteReference"/>
        </w:rPr>
        <w:footnoteReference w:id="22"/>
      </w:r>
      <w:r w:rsidRPr="00264BB4">
        <w:t xml:space="preserve"> </w:t>
      </w:r>
    </w:p>
    <w:p w14:paraId="314146B0" w14:textId="77777777" w:rsidR="00D21C07" w:rsidRPr="004B7E5B" w:rsidRDefault="00D21C07" w:rsidP="00E76F2E">
      <w:pPr>
        <w:pStyle w:val="Heading3"/>
      </w:pPr>
      <w:r w:rsidRPr="004B7E5B">
        <w:t xml:space="preserve">Approvals and </w:t>
      </w:r>
      <w:r w:rsidRPr="00E76F2E">
        <w:t>Conditions</w:t>
      </w:r>
    </w:p>
    <w:p w14:paraId="3041A348" w14:textId="6F2FAC23" w:rsidR="00D21C07" w:rsidRPr="00264BB4" w:rsidRDefault="002052C4" w:rsidP="00D21C07">
      <w:r>
        <w:t>T</w:t>
      </w:r>
      <w:r w:rsidR="00D21C07" w:rsidRPr="00264BB4">
        <w:t xml:space="preserve">he </w:t>
      </w:r>
      <w:r w:rsidR="00255B4D">
        <w:t>Board</w:t>
      </w:r>
      <w:r w:rsidR="00D21C07">
        <w:t>, Treasury and the ATO</w:t>
      </w:r>
      <w:r w:rsidR="00D21C07" w:rsidRPr="00264BB4">
        <w:t xml:space="preserve"> work closely with applicants</w:t>
      </w:r>
      <w:r w:rsidR="00D21C07">
        <w:t>, and in some cases, vendors</w:t>
      </w:r>
      <w:r w:rsidR="00D21C07" w:rsidRPr="00264BB4">
        <w:t xml:space="preserve">. If a </w:t>
      </w:r>
      <w:r w:rsidR="00050DF4">
        <w:t>proposed</w:t>
      </w:r>
      <w:r w:rsidR="00D21C07" w:rsidRPr="00264BB4">
        <w:t xml:space="preserve"> investment raises potential national interest concerns, these concerns are discussed with the applicant and the applicant is provided an opportunity to comment. If the applicant proposes mitigating actions, these will also be taken into account.</w:t>
      </w:r>
    </w:p>
    <w:p w14:paraId="6A3761AE" w14:textId="7F5ED8BC" w:rsidR="00D21C07" w:rsidRDefault="00D21C07" w:rsidP="00E76F2E">
      <w:r w:rsidRPr="00264BB4">
        <w:t>Where a</w:t>
      </w:r>
      <w:r w:rsidR="00050DF4">
        <w:t xml:space="preserve"> proposed investment</w:t>
      </w:r>
      <w:r w:rsidRPr="00264BB4">
        <w:t xml:space="preserve"> raises no national interest concerns or that any concerns are adequately addressed by conditions, the applicant is notified in writing of no objection or no objection subject to conditions</w:t>
      </w:r>
      <w:r w:rsidR="00050DF4">
        <w:t>, or granted an exemption certificate</w:t>
      </w:r>
      <w:r w:rsidRPr="00264BB4">
        <w:t>. Once an applicant receives a no objection or no objection subject to condition notification</w:t>
      </w:r>
      <w:r w:rsidR="00050DF4">
        <w:t xml:space="preserve"> or is granted an exemption certificate</w:t>
      </w:r>
      <w:r w:rsidRPr="00264BB4">
        <w:t xml:space="preserve">, the applicant may proceed with the </w:t>
      </w:r>
      <w:r w:rsidR="00050DF4">
        <w:t>proposed investment</w:t>
      </w:r>
      <w:r w:rsidRPr="00264BB4">
        <w:t xml:space="preserve">. If national interest concerns remain and may not be able to be addressed, the </w:t>
      </w:r>
      <w:r w:rsidR="00050DF4">
        <w:t>proposed investment</w:t>
      </w:r>
      <w:r w:rsidRPr="00264BB4">
        <w:t xml:space="preserve"> may be </w:t>
      </w:r>
      <w:r>
        <w:t>prohibited</w:t>
      </w:r>
      <w:r w:rsidRPr="00264BB4">
        <w:t xml:space="preserve"> by the Treasurer</w:t>
      </w:r>
      <w:r w:rsidR="00050DF4">
        <w:t>, or in the case of an exemption certificate, the Treasurer may decline to grant the exemption certificate</w:t>
      </w:r>
      <w:r w:rsidRPr="00264BB4">
        <w:t>.</w:t>
      </w:r>
      <w:r w:rsidR="00050DF4">
        <w:t xml:space="preserve"> The Treasurer declining to grant an exemption certificate is without prejudice to future applications for specified targets tha</w:t>
      </w:r>
      <w:r w:rsidR="0045671F">
        <w:t>t the foreign person may lodge.</w:t>
      </w:r>
      <w:r>
        <w:br w:type="page"/>
      </w:r>
    </w:p>
    <w:p w14:paraId="69AB2E52" w14:textId="361432F5" w:rsidR="00D21C07" w:rsidRPr="00E76F2E" w:rsidRDefault="00D21C07" w:rsidP="00E76F2E">
      <w:pPr>
        <w:pStyle w:val="ChartHeading"/>
        <w:spacing w:after="240"/>
      </w:pPr>
      <w:bookmarkStart w:id="1755" w:name="_Toc529794995"/>
      <w:bookmarkStart w:id="1756" w:name="_Toc529802460"/>
      <w:bookmarkStart w:id="1757" w:name="_Toc529878033"/>
      <w:bookmarkStart w:id="1758" w:name="_Toc529879257"/>
      <w:bookmarkStart w:id="1759" w:name="_Toc529882522"/>
      <w:bookmarkStart w:id="1760" w:name="_Toc529885193"/>
      <w:bookmarkStart w:id="1761" w:name="_Toc529890665"/>
      <w:bookmarkStart w:id="1762" w:name="_Toc529970036"/>
      <w:bookmarkStart w:id="1763" w:name="_Toc529979391"/>
      <w:bookmarkStart w:id="1764" w:name="_Toc530050436"/>
      <w:bookmarkStart w:id="1765" w:name="_Toc530065515"/>
      <w:bookmarkStart w:id="1766" w:name="_Toc530066343"/>
      <w:bookmarkStart w:id="1767" w:name="_Toc530145062"/>
      <w:bookmarkStart w:id="1768" w:name="_Toc530146032"/>
      <w:bookmarkStart w:id="1769" w:name="_Toc530146953"/>
      <w:bookmarkStart w:id="1770" w:name="_Toc530148311"/>
      <w:bookmarkStart w:id="1771" w:name="_Toc530148512"/>
      <w:bookmarkStart w:id="1772" w:name="_Toc530149184"/>
      <w:bookmarkStart w:id="1773" w:name="_Toc530149837"/>
      <w:bookmarkStart w:id="1774" w:name="_Toc530401660"/>
      <w:bookmarkStart w:id="1775" w:name="_Toc530491413"/>
      <w:bookmarkStart w:id="1776" w:name="_Toc530495831"/>
      <w:bookmarkStart w:id="1777" w:name="_Toc530497734"/>
      <w:bookmarkStart w:id="1778" w:name="_Toc530663554"/>
      <w:bookmarkStart w:id="1779" w:name="_Toc530753847"/>
      <w:bookmarkStart w:id="1780" w:name="_Toc530756416"/>
      <w:bookmarkStart w:id="1781" w:name="_Toc530759853"/>
      <w:bookmarkStart w:id="1782" w:name="_Toc532207317"/>
      <w:bookmarkStart w:id="1783" w:name="_Toc532217705"/>
      <w:bookmarkStart w:id="1784" w:name="_Toc532218726"/>
      <w:bookmarkStart w:id="1785" w:name="_Toc532219038"/>
      <w:bookmarkStart w:id="1786" w:name="_Toc532223699"/>
      <w:bookmarkStart w:id="1787" w:name="_Toc532224158"/>
      <w:bookmarkStart w:id="1788" w:name="_Toc532226637"/>
      <w:bookmarkStart w:id="1789" w:name="_Toc1054879"/>
      <w:r w:rsidRPr="003A3CDB">
        <w:t>Figure C.1</w:t>
      </w:r>
      <w:r w:rsidR="003A3CDB" w:rsidRPr="003A3CDB">
        <w:t>:</w:t>
      </w:r>
      <w:r w:rsidR="00930A32">
        <w:t xml:space="preserve"> </w:t>
      </w:r>
      <w:r w:rsidR="008343A5">
        <w:t>FIRB</w:t>
      </w:r>
      <w:r w:rsidRPr="003A3CDB">
        <w:t xml:space="preserve"> application </w:t>
      </w:r>
      <w:r w:rsidRPr="00E76F2E">
        <w:t>screening</w:t>
      </w:r>
      <w:r w:rsidRPr="003A3CDB">
        <w:t xml:space="preserve"> process</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14:paraId="671CDF05" w14:textId="77777777" w:rsidR="00D21C07" w:rsidRPr="00264BB4" w:rsidRDefault="00D21C07" w:rsidP="00E76F2E">
      <w:pPr>
        <w:pStyle w:val="ChartGraphic"/>
      </w:pPr>
      <w:r w:rsidRPr="00E76F2E">
        <w:rPr>
          <w:noProof/>
        </w:rPr>
        <w:drawing>
          <wp:inline distT="0" distB="0" distL="0" distR="0" wp14:anchorId="67B8CD48" wp14:editId="6EA4C923">
            <wp:extent cx="4754894" cy="6027969"/>
            <wp:effectExtent l="19050" t="19050" r="26670" b="11430"/>
            <wp:docPr id="58" name="Picture 58" descr="The diagram gives a brief overview of the FIRB screening process.&#10;The process can begin with pre-application engagement.&#10;Otherwise the applicant submits their application and pays any required fee to start the application process.&#10;Applications are then reviewed against national interest with a decision on applications made by the Treasurer, another Treasury portfolio minister, or a delegate in a FIRB agency. Foreign investment approvals generally remain valid for a period of up to 12 months." title="The FIRB application scree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4754894" cy="6027969"/>
                    </a:xfrm>
                    <a:prstGeom prst="rect">
                      <a:avLst/>
                    </a:prstGeom>
                    <a:ln w="9525" cap="flat" cmpd="sng" algn="ctr">
                      <a:solidFill>
                        <a:srgbClr val="A3203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ECF361" w14:textId="77777777" w:rsidR="00D21C07" w:rsidRDefault="00D21C07" w:rsidP="00D21C07"/>
    <w:p w14:paraId="3AFCE69C" w14:textId="3839F6A3" w:rsidR="003E1D3A" w:rsidRPr="00264BB4" w:rsidRDefault="003E1D3A" w:rsidP="00D21C07">
      <w:pPr>
        <w:sectPr w:rsidR="003E1D3A" w:rsidRPr="00264BB4" w:rsidSect="009E3DDC">
          <w:headerReference w:type="default" r:id="rId128"/>
          <w:type w:val="oddPage"/>
          <w:pgSz w:w="11907" w:h="16840" w:code="9"/>
          <w:pgMar w:top="2466" w:right="2098" w:bottom="2466" w:left="2098" w:header="1899" w:footer="1899" w:gutter="0"/>
          <w:cols w:space="708"/>
          <w:titlePg/>
          <w:docGrid w:linePitch="360"/>
        </w:sectPr>
      </w:pPr>
    </w:p>
    <w:p w14:paraId="644E54B4" w14:textId="559F6539" w:rsidR="00D21C07" w:rsidRDefault="00D21C07" w:rsidP="003E1D3A">
      <w:pPr>
        <w:pStyle w:val="ChartGraphic"/>
      </w:pPr>
      <w:r>
        <w:rPr>
          <w:noProof/>
        </w:rPr>
        <w:drawing>
          <wp:inline distT="0" distB="0" distL="0" distR="0" wp14:anchorId="4841EABD" wp14:editId="599D08A6">
            <wp:extent cx="4895088" cy="3059239"/>
            <wp:effectExtent l="0" t="0" r="127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B part page8.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895088" cy="3059239"/>
                    </a:xfrm>
                    <a:prstGeom prst="rect">
                      <a:avLst/>
                    </a:prstGeom>
                  </pic:spPr>
                </pic:pic>
              </a:graphicData>
            </a:graphic>
          </wp:inline>
        </w:drawing>
      </w:r>
    </w:p>
    <w:p w14:paraId="0A1D824F" w14:textId="532C528F" w:rsidR="003E1D3A" w:rsidRPr="009F5A6A" w:rsidRDefault="003E1D3A" w:rsidP="009F5A6A">
      <w:pPr>
        <w:pStyle w:val="Heading1"/>
      </w:pPr>
      <w:bookmarkStart w:id="1790" w:name="_Toc529545262"/>
      <w:bookmarkStart w:id="1791" w:name="_Toc529795024"/>
      <w:bookmarkStart w:id="1792" w:name="_Toc529802508"/>
      <w:bookmarkStart w:id="1793" w:name="_Toc529878083"/>
      <w:bookmarkStart w:id="1794" w:name="_Toc529879307"/>
      <w:bookmarkStart w:id="1795" w:name="_Toc529882572"/>
      <w:bookmarkStart w:id="1796" w:name="_Toc529885243"/>
      <w:bookmarkStart w:id="1797" w:name="_Toc529890715"/>
      <w:bookmarkStart w:id="1798" w:name="_Toc529970086"/>
      <w:bookmarkStart w:id="1799" w:name="_Toc529979441"/>
      <w:bookmarkStart w:id="1800" w:name="_Toc530050487"/>
      <w:bookmarkStart w:id="1801" w:name="_Toc530065566"/>
      <w:bookmarkStart w:id="1802" w:name="_Toc530066394"/>
      <w:bookmarkStart w:id="1803" w:name="_Toc530145115"/>
      <w:bookmarkStart w:id="1804" w:name="_Toc530146085"/>
      <w:bookmarkStart w:id="1805" w:name="_Toc530147006"/>
      <w:bookmarkStart w:id="1806" w:name="_Toc530148296"/>
      <w:bookmarkStart w:id="1807" w:name="_Toc530148364"/>
      <w:bookmarkStart w:id="1808" w:name="_Toc530148565"/>
      <w:bookmarkStart w:id="1809" w:name="_Toc530149237"/>
      <w:bookmarkStart w:id="1810" w:name="_Toc530149808"/>
      <w:bookmarkStart w:id="1811" w:name="_Toc532207353"/>
      <w:bookmarkStart w:id="1812" w:name="_Toc532217741"/>
      <w:bookmarkStart w:id="1813" w:name="_Toc532218762"/>
      <w:bookmarkStart w:id="1814" w:name="_Toc532219074"/>
      <w:bookmarkStart w:id="1815" w:name="_Toc532223758"/>
      <w:bookmarkStart w:id="1816" w:name="_Toc532224217"/>
      <w:bookmarkStart w:id="1817" w:name="_Toc532226696"/>
      <w:bookmarkStart w:id="1818" w:name="_Toc536029397"/>
      <w:bookmarkStart w:id="1819" w:name="_Toc1120419"/>
      <w:bookmarkStart w:id="1820" w:name="_Toc1121990"/>
      <w:r w:rsidRPr="009F5A6A">
        <w:t>Appendix D: Glossary</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tbl>
      <w:tblPr>
        <w:tblStyle w:val="TableGrid1"/>
        <w:tblW w:w="0" w:type="auto"/>
        <w:tblBorders>
          <w:top w:val="single" w:sz="2" w:space="0" w:color="A32035"/>
          <w:left w:val="none" w:sz="0" w:space="0" w:color="auto"/>
          <w:bottom w:val="single" w:sz="2" w:space="0" w:color="A32035"/>
          <w:right w:val="none" w:sz="0" w:space="0" w:color="auto"/>
          <w:insideH w:val="single" w:sz="2" w:space="0" w:color="A32035"/>
          <w:insideV w:val="none" w:sz="0" w:space="0" w:color="auto"/>
        </w:tblBorders>
        <w:shd w:val="clear" w:color="auto" w:fill="FCFCFC" w:themeFill="accent2" w:themeFillTint="33"/>
        <w:tblLook w:val="04A0" w:firstRow="1" w:lastRow="0" w:firstColumn="1" w:lastColumn="0" w:noHBand="0" w:noVBand="1"/>
      </w:tblPr>
      <w:tblGrid>
        <w:gridCol w:w="1410"/>
        <w:gridCol w:w="6516"/>
      </w:tblGrid>
      <w:tr w:rsidR="00D21C07" w:rsidRPr="00893B68" w14:paraId="20E91C20" w14:textId="3D8D1188" w:rsidTr="005C7590">
        <w:tc>
          <w:tcPr>
            <w:tcW w:w="1410" w:type="dxa"/>
            <w:shd w:val="clear" w:color="auto" w:fill="F2F2F2" w:themeFill="background1" w:themeFillShade="F2"/>
          </w:tcPr>
          <w:p w14:paraId="2C147C52" w14:textId="77777777" w:rsidR="00D21C07" w:rsidRPr="00EB0856" w:rsidRDefault="00D21C07" w:rsidP="00EB0856">
            <w:pPr>
              <w:pStyle w:val="TableTextColumnHeadingLeft"/>
            </w:pPr>
            <w:r w:rsidRPr="00EB0856">
              <w:t>Act</w:t>
            </w:r>
          </w:p>
        </w:tc>
        <w:tc>
          <w:tcPr>
            <w:tcW w:w="6516" w:type="dxa"/>
            <w:shd w:val="clear" w:color="auto" w:fill="F2F2F2" w:themeFill="background1" w:themeFillShade="F2"/>
          </w:tcPr>
          <w:p w14:paraId="5AD56F34" w14:textId="2EED8AF5" w:rsidR="00D21C07" w:rsidRPr="00EB0856" w:rsidRDefault="00D21C07" w:rsidP="00EB0856">
            <w:pPr>
              <w:pStyle w:val="TableTextLeft"/>
            </w:pPr>
            <w:r w:rsidRPr="00EB0856">
              <w:t>The Foreign Acquisitions and Takeovers Act 1975</w:t>
            </w:r>
            <w:r w:rsidR="00EB0856">
              <w:t xml:space="preserve"> </w:t>
            </w:r>
            <w:r w:rsidRPr="00EB0856">
              <w:t>(</w:t>
            </w:r>
            <w:r w:rsidR="00EB0856" w:rsidRPr="00EB0856">
              <w:t>as</w:t>
            </w:r>
            <w:r w:rsidR="00EB0856">
              <w:t xml:space="preserve"> </w:t>
            </w:r>
            <w:r w:rsidR="00EB0856" w:rsidRPr="00EB0856">
              <w:t>in</w:t>
            </w:r>
            <w:r w:rsidR="00EB0856">
              <w:t xml:space="preserve"> </w:t>
            </w:r>
            <w:r w:rsidR="00EB0856" w:rsidRPr="00EB0856">
              <w:t>force</w:t>
            </w:r>
            <w:r w:rsidR="00EB0856">
              <w:t xml:space="preserve"> </w:t>
            </w:r>
            <w:r w:rsidR="00EB0856" w:rsidRPr="00EB0856">
              <w:t>during</w:t>
            </w:r>
            <w:r w:rsidR="00EB0856">
              <w:t xml:space="preserve"> </w:t>
            </w:r>
            <w:r w:rsidR="005C7590" w:rsidRPr="00EB0856">
              <w:t>2017–18</w:t>
            </w:r>
            <w:r w:rsidRPr="00EB0856">
              <w:t>)</w:t>
            </w:r>
          </w:p>
        </w:tc>
      </w:tr>
      <w:tr w:rsidR="00D21C07" w:rsidRPr="00893B68" w14:paraId="41BC735B" w14:textId="77777777" w:rsidTr="005C7590">
        <w:tc>
          <w:tcPr>
            <w:tcW w:w="1410" w:type="dxa"/>
            <w:shd w:val="clear" w:color="auto" w:fill="auto"/>
          </w:tcPr>
          <w:p w14:paraId="29E8B298" w14:textId="77777777" w:rsidR="00D21C07" w:rsidRPr="00EB0856" w:rsidRDefault="00D21C07" w:rsidP="00EB0856">
            <w:pPr>
              <w:pStyle w:val="TableTextColumnHeadingLeft"/>
            </w:pPr>
            <w:r w:rsidRPr="00EB0856">
              <w:t>Agricultural land</w:t>
            </w:r>
          </w:p>
        </w:tc>
        <w:tc>
          <w:tcPr>
            <w:tcW w:w="6516" w:type="dxa"/>
            <w:shd w:val="clear" w:color="auto" w:fill="auto"/>
          </w:tcPr>
          <w:p w14:paraId="5F18492F" w14:textId="77777777" w:rsidR="00D21C07" w:rsidRPr="00EB0856" w:rsidRDefault="00D21C07" w:rsidP="00EB0856">
            <w:pPr>
              <w:pStyle w:val="TableTextLeft"/>
            </w:pPr>
            <w:r w:rsidRPr="00EB0856">
              <w:t>Land in Australia that is used, or that could reasonably be used, for a primary production business. The regulations may provide that land of a specified kind is not agricultural land.</w:t>
            </w:r>
          </w:p>
        </w:tc>
      </w:tr>
      <w:tr w:rsidR="00D21C07" w:rsidRPr="00893B68" w14:paraId="31A2CDA7" w14:textId="77777777" w:rsidTr="005C7590">
        <w:tc>
          <w:tcPr>
            <w:tcW w:w="1410" w:type="dxa"/>
            <w:shd w:val="clear" w:color="auto" w:fill="F2F2F2" w:themeFill="background1" w:themeFillShade="F2"/>
          </w:tcPr>
          <w:p w14:paraId="75A23762" w14:textId="77777777" w:rsidR="00D21C07" w:rsidRPr="00EB0856" w:rsidRDefault="00D21C07" w:rsidP="00EB0856">
            <w:pPr>
              <w:pStyle w:val="TableTextColumnHeadingLeft"/>
            </w:pPr>
            <w:r w:rsidRPr="00EB0856">
              <w:t>Commercial land</w:t>
            </w:r>
          </w:p>
        </w:tc>
        <w:tc>
          <w:tcPr>
            <w:tcW w:w="6516" w:type="dxa"/>
            <w:shd w:val="clear" w:color="auto" w:fill="F2F2F2" w:themeFill="background1" w:themeFillShade="F2"/>
          </w:tcPr>
          <w:p w14:paraId="6B3395D2" w14:textId="77777777" w:rsidR="00D21C07" w:rsidRPr="00EB0856" w:rsidRDefault="00D21C07" w:rsidP="00EB0856">
            <w:pPr>
              <w:pStyle w:val="TableTextLeft"/>
            </w:pPr>
            <w:r w:rsidRPr="00EB0856">
              <w:t>Land in Australia or the seabed of the offshore area, other than land:</w:t>
            </w:r>
          </w:p>
          <w:p w14:paraId="350796CC" w14:textId="77777777" w:rsidR="00D21C07" w:rsidRPr="00893B68" w:rsidRDefault="00D21C07" w:rsidP="00EB0856">
            <w:pPr>
              <w:pStyle w:val="TableTextLeft-Bullet"/>
            </w:pPr>
            <w:r w:rsidRPr="00893B68">
              <w:t>used wholly and exclusively for a primary production business; or</w:t>
            </w:r>
          </w:p>
          <w:p w14:paraId="7F30CD2C" w14:textId="77777777" w:rsidR="00D21C07" w:rsidRPr="00893B68" w:rsidRDefault="00D21C07" w:rsidP="00EB0856">
            <w:pPr>
              <w:pStyle w:val="TableTextLeft-Bullet"/>
            </w:pPr>
            <w:r w:rsidRPr="00893B68">
              <w:t>on which there is at least one dwelling (except commercial residential premises); or</w:t>
            </w:r>
          </w:p>
          <w:p w14:paraId="0E3C129D" w14:textId="729F1818" w:rsidR="00D21C07" w:rsidRPr="00893B68" w:rsidRDefault="00D21C07" w:rsidP="00EB0856">
            <w:pPr>
              <w:pStyle w:val="TableTextLeft-Bullet"/>
            </w:pPr>
            <w:r w:rsidRPr="00893B68">
              <w:t xml:space="preserve">on which the number of dwellings (except commercial residential premises) that could reasonably be built is less than the number prescribed by the </w:t>
            </w:r>
            <w:r w:rsidR="00EB0856" w:rsidRPr="00893B68">
              <w:t>regulations</w:t>
            </w:r>
            <w:r w:rsidR="00EB0856">
              <w:br/>
            </w:r>
            <w:r w:rsidRPr="00893B68">
              <w:t xml:space="preserve">(10, </w:t>
            </w:r>
            <w:r w:rsidRPr="00893B68" w:rsidDel="007B1A52">
              <w:t xml:space="preserve">during </w:t>
            </w:r>
            <w:r w:rsidRPr="00893B68">
              <w:t>2017</w:t>
            </w:r>
            <w:r w:rsidR="0080522B" w:rsidRPr="00893B68">
              <w:t>–</w:t>
            </w:r>
            <w:r w:rsidR="0045671F" w:rsidRPr="00893B68">
              <w:t>18).</w:t>
            </w:r>
          </w:p>
        </w:tc>
      </w:tr>
      <w:tr w:rsidR="00D21C07" w:rsidRPr="00893B68" w14:paraId="2638A2E6" w14:textId="77777777" w:rsidTr="005C7590">
        <w:tc>
          <w:tcPr>
            <w:tcW w:w="1410" w:type="dxa"/>
            <w:shd w:val="clear" w:color="auto" w:fill="auto"/>
          </w:tcPr>
          <w:p w14:paraId="4DB8577C" w14:textId="77777777" w:rsidR="00D21C07" w:rsidRPr="00EB0856" w:rsidRDefault="00D21C07" w:rsidP="00EB0856">
            <w:pPr>
              <w:pStyle w:val="TableTextColumnHeadingLeft"/>
            </w:pPr>
            <w:r w:rsidRPr="00EB0856">
              <w:t>Established dwelling</w:t>
            </w:r>
          </w:p>
        </w:tc>
        <w:tc>
          <w:tcPr>
            <w:tcW w:w="6516" w:type="dxa"/>
            <w:shd w:val="clear" w:color="auto" w:fill="auto"/>
          </w:tcPr>
          <w:p w14:paraId="34010564" w14:textId="77777777" w:rsidR="00D21C07" w:rsidRPr="00EB0856" w:rsidRDefault="00D21C07" w:rsidP="00EB0856">
            <w:pPr>
              <w:pStyle w:val="TableTextLeft"/>
            </w:pPr>
            <w:r w:rsidRPr="00EB0856">
              <w:t>A dwelling (except commercial residential premises) on residential land that is not a new dwelling.</w:t>
            </w:r>
          </w:p>
        </w:tc>
      </w:tr>
      <w:tr w:rsidR="00D21C07" w:rsidRPr="00893B68" w14:paraId="68553BE1" w14:textId="77777777" w:rsidTr="005C7590">
        <w:tc>
          <w:tcPr>
            <w:tcW w:w="1410" w:type="dxa"/>
            <w:shd w:val="clear" w:color="auto" w:fill="F2F2F2" w:themeFill="background1" w:themeFillShade="F2"/>
          </w:tcPr>
          <w:p w14:paraId="65CE15AA" w14:textId="67A8D852" w:rsidR="00D21C07" w:rsidRPr="00EB0856" w:rsidRDefault="0045671F" w:rsidP="00EB0856">
            <w:pPr>
              <w:pStyle w:val="TableTextColumnHeadingLeft"/>
            </w:pPr>
            <w:r w:rsidRPr="00EB0856">
              <w:t>Exemption certificates</w:t>
            </w:r>
          </w:p>
        </w:tc>
        <w:tc>
          <w:tcPr>
            <w:tcW w:w="6516" w:type="dxa"/>
            <w:shd w:val="clear" w:color="auto" w:fill="F2F2F2" w:themeFill="background1" w:themeFillShade="F2"/>
          </w:tcPr>
          <w:p w14:paraId="2E21F8DF" w14:textId="671FDD0B" w:rsidR="00D21C07" w:rsidRPr="00EB0856" w:rsidRDefault="00D21C07" w:rsidP="00EB0856">
            <w:pPr>
              <w:pStyle w:val="TableTextLeft"/>
            </w:pPr>
            <w:r w:rsidRPr="00EB0856">
              <w:t xml:space="preserve">Advance approval to allow foreign persons to undertake a program of acquisitions of land and/or business and entities. These are granted with a specified monetary limit within a defined region or sector and generally include conditions requiring the foreign person to report actual acquisitions and any other conditions that would normally be applied for the type of land and/or business and entity to be acquired. Business exemption certificates were introduced on </w:t>
            </w:r>
            <w:r w:rsidRPr="00EB0856" w:rsidDel="009473B3">
              <w:t>1</w:t>
            </w:r>
            <w:r w:rsidR="009473B3" w:rsidRPr="00EB0856">
              <w:t> </w:t>
            </w:r>
            <w:r w:rsidRPr="00EB0856">
              <w:t>July 2017. Prior to 1 December 2015, the equivalent to land exemption certificates was known as an annual program</w:t>
            </w:r>
            <w:r w:rsidR="005C7590" w:rsidRPr="00EB0856">
              <w:t xml:space="preserve"> certificate</w:t>
            </w:r>
            <w:r w:rsidRPr="00EB0856">
              <w:t>.</w:t>
            </w:r>
          </w:p>
        </w:tc>
      </w:tr>
    </w:tbl>
    <w:p w14:paraId="2527674D" w14:textId="77777777" w:rsidR="007B1A52" w:rsidRPr="00786181" w:rsidRDefault="007B1A52" w:rsidP="00786181">
      <w:pPr>
        <w:pStyle w:val="SingleParagraph"/>
        <w:spacing w:line="240" w:lineRule="auto"/>
        <w:rPr>
          <w:sz w:val="12"/>
        </w:rPr>
      </w:pPr>
      <w:r w:rsidRPr="00786181">
        <w:rPr>
          <w:sz w:val="12"/>
        </w:rPr>
        <w:br w:type="page"/>
      </w:r>
    </w:p>
    <w:tbl>
      <w:tblPr>
        <w:tblStyle w:val="TableGrid1"/>
        <w:tblW w:w="0" w:type="auto"/>
        <w:tblBorders>
          <w:top w:val="single" w:sz="2" w:space="0" w:color="A32035"/>
          <w:left w:val="none" w:sz="0" w:space="0" w:color="auto"/>
          <w:bottom w:val="single" w:sz="2" w:space="0" w:color="A32035"/>
          <w:right w:val="none" w:sz="0" w:space="0" w:color="auto"/>
          <w:insideH w:val="single" w:sz="2" w:space="0" w:color="A32035"/>
          <w:insideV w:val="none" w:sz="0" w:space="0" w:color="auto"/>
        </w:tblBorders>
        <w:tblLook w:val="04A0" w:firstRow="1" w:lastRow="0" w:firstColumn="1" w:lastColumn="0" w:noHBand="0" w:noVBand="1"/>
      </w:tblPr>
      <w:tblGrid>
        <w:gridCol w:w="1668"/>
        <w:gridCol w:w="6151"/>
      </w:tblGrid>
      <w:tr w:rsidR="00D21C07" w:rsidRPr="007B1A52" w14:paraId="62AA0942" w14:textId="77777777" w:rsidTr="00786181">
        <w:tc>
          <w:tcPr>
            <w:tcW w:w="1668" w:type="dxa"/>
            <w:shd w:val="clear" w:color="auto" w:fill="auto"/>
          </w:tcPr>
          <w:p w14:paraId="28E721C6" w14:textId="088D05E2" w:rsidR="00D21C07" w:rsidRPr="00EB0856" w:rsidRDefault="00D21C07" w:rsidP="00EB0856">
            <w:pPr>
              <w:pStyle w:val="TableTextColumnHeadingLeft"/>
            </w:pPr>
            <w:r w:rsidRPr="00EB0856">
              <w:t>Foreign government investor</w:t>
            </w:r>
          </w:p>
        </w:tc>
        <w:tc>
          <w:tcPr>
            <w:tcW w:w="6151" w:type="dxa"/>
            <w:shd w:val="clear" w:color="auto" w:fill="auto"/>
          </w:tcPr>
          <w:p w14:paraId="46076625" w14:textId="77777777" w:rsidR="00D21C07" w:rsidRPr="00EB0856" w:rsidRDefault="00D21C07" w:rsidP="00EB0856">
            <w:pPr>
              <w:pStyle w:val="TableTextLeft"/>
            </w:pPr>
            <w:r w:rsidRPr="00EB0856">
              <w:t>A foreign government investor includes:</w:t>
            </w:r>
          </w:p>
          <w:p w14:paraId="24E682A5" w14:textId="77777777" w:rsidR="00D21C07" w:rsidRPr="00893B68" w:rsidRDefault="00D21C07" w:rsidP="00EB0856">
            <w:pPr>
              <w:pStyle w:val="TableTextLeft-Bullet"/>
            </w:pPr>
            <w:r w:rsidRPr="00893B68">
              <w:t>a foreign government or separate government entity; or</w:t>
            </w:r>
          </w:p>
          <w:p w14:paraId="3A2EA851" w14:textId="77777777" w:rsidR="00D21C07" w:rsidRPr="00893B68" w:rsidRDefault="00D21C07" w:rsidP="00EB0856">
            <w:pPr>
              <w:pStyle w:val="TableTextLeft-Bullet"/>
            </w:pPr>
            <w:r w:rsidRPr="00893B68">
              <w:t>a corporation or trustee of a trust in which:</w:t>
            </w:r>
          </w:p>
          <w:p w14:paraId="2AFC03FE" w14:textId="5B0E22DE" w:rsidR="00D21C07" w:rsidRPr="00EB0856" w:rsidRDefault="00D21C07" w:rsidP="00EB0856">
            <w:pPr>
              <w:pStyle w:val="TableTextLeft-Dash"/>
            </w:pPr>
            <w:r w:rsidRPr="00EB0856">
              <w:t>a foreign government or separate government entity, alone or together with one or more associates, holds a substantial interest (that is, an int</w:t>
            </w:r>
            <w:r w:rsidR="0045671F" w:rsidRPr="00EB0856">
              <w:t>erest of at least 20 per cent);</w:t>
            </w:r>
          </w:p>
          <w:p w14:paraId="2131F593" w14:textId="31729B25" w:rsidR="00D21C07" w:rsidRPr="00EB0856" w:rsidRDefault="00D21C07" w:rsidP="00EB0856">
            <w:pPr>
              <w:pStyle w:val="TableTextLeft-Dash"/>
            </w:pPr>
            <w:r w:rsidRPr="00EB0856">
              <w:t xml:space="preserve">foreign governments or separate government entities of more than </w:t>
            </w:r>
            <w:r w:rsidR="00893B68" w:rsidRPr="00EB0856">
              <w:t>one </w:t>
            </w:r>
            <w:r w:rsidRPr="00EB0856">
              <w:t xml:space="preserve">foreign country (or parts of more than one foreign country), together with any one or more associates, hold an aggregate substantial interest (that is, an interest of at least </w:t>
            </w:r>
            <w:r w:rsidRPr="00EB0856" w:rsidDel="00BE59A2">
              <w:t>40</w:t>
            </w:r>
            <w:r w:rsidR="00BE59A2" w:rsidRPr="00EB0856">
              <w:t> </w:t>
            </w:r>
            <w:r w:rsidRPr="00EB0856">
              <w:t>per cent); or</w:t>
            </w:r>
          </w:p>
          <w:p w14:paraId="14A6DB20" w14:textId="77777777" w:rsidR="00D21C07" w:rsidRPr="00893B68" w:rsidRDefault="00D21C07" w:rsidP="00EB0856">
            <w:pPr>
              <w:pStyle w:val="TableTextLeft-Bullet"/>
            </w:pPr>
            <w:r w:rsidRPr="00893B68">
              <w:t>a general partner of a limited partnership in which:</w:t>
            </w:r>
          </w:p>
          <w:p w14:paraId="6031227B" w14:textId="7FF99A76" w:rsidR="00D21C07" w:rsidRPr="00EB0856" w:rsidRDefault="00D21C07" w:rsidP="00EB0856">
            <w:pPr>
              <w:pStyle w:val="TableTextLeft-Dash"/>
            </w:pPr>
            <w:r w:rsidRPr="00EB0856">
              <w:t>a foreign government or separate government entity, alone or together with one or more associates, holds an in</w:t>
            </w:r>
            <w:r w:rsidR="0045671F" w:rsidRPr="00EB0856">
              <w:t>terest of at least 20 per cent;</w:t>
            </w:r>
          </w:p>
          <w:p w14:paraId="5804A9F0" w14:textId="6414D7E9" w:rsidR="00D21C07" w:rsidRPr="00EB0856" w:rsidRDefault="00D21C07" w:rsidP="00EB0856">
            <w:pPr>
              <w:pStyle w:val="TableTextLeft-Dash"/>
            </w:pPr>
            <w:r w:rsidRPr="00EB0856">
              <w:t xml:space="preserve">foreign governments or separate government entities of more than </w:t>
            </w:r>
            <w:r w:rsidR="00893B68" w:rsidRPr="00EB0856">
              <w:t>one </w:t>
            </w:r>
            <w:r w:rsidRPr="00EB0856">
              <w:t xml:space="preserve">foreign country (or parts of more than </w:t>
            </w:r>
            <w:r w:rsidRPr="00EB0856" w:rsidDel="009473B3">
              <w:t>one</w:t>
            </w:r>
            <w:r w:rsidR="009473B3" w:rsidRPr="00EB0856">
              <w:t> </w:t>
            </w:r>
            <w:r w:rsidRPr="00EB0856">
              <w:t>foreign country), together with any one or more associates, hold an aggregate interest of 40 per cent or more; or</w:t>
            </w:r>
          </w:p>
          <w:p w14:paraId="45F8538C" w14:textId="77777777" w:rsidR="00D21C07" w:rsidRPr="00893B68" w:rsidRDefault="00D21C07" w:rsidP="00EB0856">
            <w:pPr>
              <w:pStyle w:val="TableTextLeft-Bullet"/>
            </w:pPr>
            <w:r w:rsidRPr="00893B68">
              <w:t>a corporation, trustee or general partner of a kind described in the two dot points above, assuming the references to foreign government (or foreign governments) in those dot points include references to a foreign government investor (or foreign government investors) within the meaning of those dot points.</w:t>
            </w:r>
          </w:p>
        </w:tc>
      </w:tr>
      <w:tr w:rsidR="00D21C07" w:rsidRPr="007B1A52" w14:paraId="4CDC5E5E" w14:textId="77777777" w:rsidTr="00786181">
        <w:tc>
          <w:tcPr>
            <w:tcW w:w="1668" w:type="dxa"/>
            <w:shd w:val="clear" w:color="auto" w:fill="F2F2F2" w:themeFill="background1" w:themeFillShade="F2"/>
          </w:tcPr>
          <w:p w14:paraId="30321C4B" w14:textId="77777777" w:rsidR="00D21C07" w:rsidRPr="00EB0856" w:rsidRDefault="00D21C07" w:rsidP="00EB0856">
            <w:pPr>
              <w:pStyle w:val="TableTextColumnHeadingLeft"/>
            </w:pPr>
            <w:r w:rsidRPr="00EB0856">
              <w:t>Foreign person</w:t>
            </w:r>
          </w:p>
        </w:tc>
        <w:tc>
          <w:tcPr>
            <w:tcW w:w="6151" w:type="dxa"/>
            <w:shd w:val="clear" w:color="auto" w:fill="F2F2F2" w:themeFill="background1" w:themeFillShade="F2"/>
          </w:tcPr>
          <w:p w14:paraId="0D7431A1" w14:textId="77777777" w:rsidR="00D21C07" w:rsidRPr="00EB0856" w:rsidRDefault="00D21C07" w:rsidP="00EB0856">
            <w:pPr>
              <w:pStyle w:val="TableTextLeft"/>
            </w:pPr>
            <w:r w:rsidRPr="00EB0856">
              <w:t>Foreign person means:</w:t>
            </w:r>
          </w:p>
          <w:p w14:paraId="3DA0B2CC" w14:textId="64BA57A2" w:rsidR="00D21C07" w:rsidRPr="00893B68" w:rsidRDefault="00D21C07" w:rsidP="00EB0856">
            <w:pPr>
              <w:pStyle w:val="TableTextLeft-Bullet"/>
            </w:pPr>
            <w:r w:rsidRPr="00893B68">
              <w:t>an individual not or</w:t>
            </w:r>
            <w:r w:rsidR="0045671F" w:rsidRPr="00893B68">
              <w:t>dinarily resident in Australia;</w:t>
            </w:r>
          </w:p>
          <w:p w14:paraId="58F8169F" w14:textId="342B9D1E" w:rsidR="00D21C07" w:rsidRPr="00893B68" w:rsidRDefault="00D21C07" w:rsidP="00EB0856">
            <w:pPr>
              <w:pStyle w:val="TableTextLeft-Bullet"/>
            </w:pPr>
            <w:r w:rsidRPr="00893B68">
              <w:t>a corporation in which an individual not ordinarily resident in Australia, a foreign corporation or a foreign governmen</w:t>
            </w:r>
            <w:r w:rsidR="0045671F" w:rsidRPr="00893B68">
              <w:t>t holds a substantial interest;</w:t>
            </w:r>
          </w:p>
          <w:p w14:paraId="4088BBC9" w14:textId="3C364503" w:rsidR="00D21C07" w:rsidRPr="00893B68" w:rsidRDefault="00D21C07" w:rsidP="00EB0856">
            <w:pPr>
              <w:pStyle w:val="TableTextLeft-Bullet"/>
            </w:pPr>
            <w:r w:rsidRPr="00893B68">
              <w:t xml:space="preserve">a corporation in which two or more persons, each of whom is an individual not ordinarily resident in Australia, a foreign corporation or a foreign government, hold an </w:t>
            </w:r>
            <w:r w:rsidR="0045671F" w:rsidRPr="00893B68">
              <w:t>aggregate substantial interest;</w:t>
            </w:r>
          </w:p>
          <w:p w14:paraId="5898E8AE" w14:textId="5CC6909A" w:rsidR="00D21C07" w:rsidRPr="00893B68" w:rsidRDefault="00D21C07" w:rsidP="00EB0856">
            <w:pPr>
              <w:pStyle w:val="TableTextLeft-Bullet"/>
            </w:pPr>
            <w:r w:rsidRPr="00893B68">
              <w:t>the trustee of a trust in which an individual not ordinarily resident in Australia, a foreign corporation or a foreign governmen</w:t>
            </w:r>
            <w:r w:rsidR="0045671F" w:rsidRPr="00893B68">
              <w:t>t holds a substantial interest;</w:t>
            </w:r>
          </w:p>
          <w:p w14:paraId="7D23532B" w14:textId="32429350" w:rsidR="00D21C07" w:rsidRPr="00893B68" w:rsidRDefault="00D21C07" w:rsidP="00EB0856">
            <w:pPr>
              <w:pStyle w:val="TableTextLeft-Bullet"/>
            </w:pPr>
            <w:r w:rsidRPr="00893B68">
              <w:t xml:space="preserve">the trustee of a trust in which two or more persons, each of whom is an individual not ordinarily resident in Australia, a foreign corporation or a foreign government, hold an </w:t>
            </w:r>
            <w:r w:rsidR="0045671F" w:rsidRPr="00893B68">
              <w:t>aggregate substantial interest;</w:t>
            </w:r>
          </w:p>
          <w:p w14:paraId="4F3A9168" w14:textId="77777777" w:rsidR="00D21C07" w:rsidRPr="00893B68" w:rsidRDefault="00D21C07" w:rsidP="00EB0856">
            <w:pPr>
              <w:pStyle w:val="TableTextLeft-Bullet"/>
            </w:pPr>
            <w:r w:rsidRPr="00893B68">
              <w:t>a foreign government; or</w:t>
            </w:r>
          </w:p>
          <w:p w14:paraId="14E91521" w14:textId="77777777" w:rsidR="00D21C07" w:rsidRPr="00893B68" w:rsidRDefault="00D21C07" w:rsidP="00EB0856">
            <w:pPr>
              <w:pStyle w:val="TableTextLeft-Bullet"/>
            </w:pPr>
            <w:r w:rsidRPr="00893B68">
              <w:t>any other person, or any other person that meets the conditions, prescribed by the regulations.</w:t>
            </w:r>
          </w:p>
        </w:tc>
      </w:tr>
      <w:tr w:rsidR="00D21C07" w:rsidRPr="007B1A52" w14:paraId="1C57F454" w14:textId="77777777" w:rsidTr="00786181">
        <w:tc>
          <w:tcPr>
            <w:tcW w:w="1668" w:type="dxa"/>
            <w:shd w:val="clear" w:color="auto" w:fill="auto"/>
          </w:tcPr>
          <w:p w14:paraId="3D1D0BA6" w14:textId="561D8268" w:rsidR="00D21C07" w:rsidRPr="00EB0856" w:rsidRDefault="00D21C07" w:rsidP="00EB0856">
            <w:pPr>
              <w:pStyle w:val="TableTextColumnHeadingLeft"/>
            </w:pPr>
            <w:r w:rsidRPr="00EB0856">
              <w:t>New dwelling</w:t>
            </w:r>
          </w:p>
        </w:tc>
        <w:tc>
          <w:tcPr>
            <w:tcW w:w="6151" w:type="dxa"/>
            <w:shd w:val="clear" w:color="auto" w:fill="auto"/>
          </w:tcPr>
          <w:p w14:paraId="1E54AE6E" w14:textId="77777777" w:rsidR="00D21C07" w:rsidRPr="00EB0856" w:rsidRDefault="00D21C07" w:rsidP="00EB0856">
            <w:pPr>
              <w:pStyle w:val="TableTextLeft"/>
            </w:pPr>
            <w:r w:rsidRPr="00EB0856">
              <w:t>A dwelling (except commercial residential premises) that will be, is being or has been built on residential land and that:</w:t>
            </w:r>
          </w:p>
          <w:p w14:paraId="31B4849C" w14:textId="77777777" w:rsidR="00D21C07" w:rsidRPr="00893B68" w:rsidRDefault="00D21C07" w:rsidP="00EB0856">
            <w:pPr>
              <w:pStyle w:val="TableTextLeft-Bullet"/>
            </w:pPr>
            <w:r w:rsidRPr="00893B68">
              <w:t>has not been previously sold as a dwelling; and</w:t>
            </w:r>
          </w:p>
          <w:p w14:paraId="7550158F" w14:textId="77777777" w:rsidR="00D21C07" w:rsidRPr="00893B68" w:rsidRDefault="00D21C07" w:rsidP="00EB0856">
            <w:pPr>
              <w:pStyle w:val="TableTextLeft-Bullet"/>
            </w:pPr>
            <w:r w:rsidRPr="00893B68">
              <w:t>either has not been previously occupied; or if the dwelling is contained in a development and the dwelling was sold by the developer of the development — has not been previously occupied for more than 12 months total.</w:t>
            </w:r>
          </w:p>
        </w:tc>
      </w:tr>
    </w:tbl>
    <w:p w14:paraId="59343212" w14:textId="77777777" w:rsidR="00893B68" w:rsidRDefault="00893B68">
      <w:r>
        <w:br w:type="page"/>
      </w:r>
    </w:p>
    <w:tbl>
      <w:tblPr>
        <w:tblStyle w:val="TableGrid1"/>
        <w:tblW w:w="0" w:type="auto"/>
        <w:tblBorders>
          <w:top w:val="single" w:sz="2" w:space="0" w:color="A32035"/>
          <w:left w:val="none" w:sz="0" w:space="0" w:color="auto"/>
          <w:bottom w:val="single" w:sz="2" w:space="0" w:color="A32035"/>
          <w:right w:val="none" w:sz="0" w:space="0" w:color="auto"/>
          <w:insideH w:val="single" w:sz="2" w:space="0" w:color="A32035"/>
          <w:insideV w:val="none" w:sz="0" w:space="0" w:color="auto"/>
        </w:tblBorders>
        <w:tblLook w:val="04A0" w:firstRow="1" w:lastRow="0" w:firstColumn="1" w:lastColumn="0" w:noHBand="0" w:noVBand="1"/>
      </w:tblPr>
      <w:tblGrid>
        <w:gridCol w:w="1668"/>
        <w:gridCol w:w="6151"/>
      </w:tblGrid>
      <w:tr w:rsidR="00D21C07" w:rsidRPr="007B1A52" w14:paraId="4B8B5C9F" w14:textId="77777777" w:rsidTr="00786181">
        <w:tc>
          <w:tcPr>
            <w:tcW w:w="1668" w:type="dxa"/>
            <w:shd w:val="clear" w:color="auto" w:fill="F2F2F2" w:themeFill="background1" w:themeFillShade="F2"/>
          </w:tcPr>
          <w:p w14:paraId="75450B36" w14:textId="58FC1165" w:rsidR="00D21C07" w:rsidRPr="00397941" w:rsidRDefault="00D21C07" w:rsidP="00397941">
            <w:pPr>
              <w:rPr>
                <w:rFonts w:ascii="Arial" w:hAnsi="Arial" w:cs="Arial"/>
                <w:sz w:val="16"/>
              </w:rPr>
            </w:pPr>
            <w:r w:rsidRPr="00397941">
              <w:rPr>
                <w:rFonts w:ascii="Arial" w:hAnsi="Arial" w:cs="Arial"/>
                <w:sz w:val="16"/>
              </w:rPr>
              <w:t>Ordinarily resident</w:t>
            </w:r>
          </w:p>
        </w:tc>
        <w:tc>
          <w:tcPr>
            <w:tcW w:w="6151" w:type="dxa"/>
            <w:shd w:val="clear" w:color="auto" w:fill="F2F2F2" w:themeFill="background1" w:themeFillShade="F2"/>
          </w:tcPr>
          <w:p w14:paraId="74CC0881" w14:textId="205C8050" w:rsidR="00D21C07" w:rsidRPr="00397941" w:rsidRDefault="00D21C07" w:rsidP="0081211B">
            <w:pPr>
              <w:pStyle w:val="ListParagraph"/>
              <w:numPr>
                <w:ilvl w:val="0"/>
                <w:numId w:val="39"/>
              </w:numPr>
              <w:spacing w:after="60"/>
              <w:ind w:hanging="357"/>
              <w:rPr>
                <w:rFonts w:ascii="Arial" w:hAnsi="Arial" w:cs="Arial"/>
                <w:sz w:val="16"/>
              </w:rPr>
            </w:pPr>
            <w:r w:rsidRPr="00397941">
              <w:rPr>
                <w:rFonts w:ascii="Arial" w:hAnsi="Arial" w:cs="Arial"/>
                <w:sz w:val="16"/>
              </w:rPr>
              <w:t>An individual who is not an Australian citizen is ordinarily resident in Australia at a particular time if and only if:</w:t>
            </w:r>
          </w:p>
          <w:p w14:paraId="526F40A9" w14:textId="5AD25F14" w:rsidR="00D21C07" w:rsidRPr="00397941" w:rsidRDefault="00D21C07" w:rsidP="0081211B">
            <w:pPr>
              <w:pStyle w:val="ListParagraph"/>
              <w:numPr>
                <w:ilvl w:val="0"/>
                <w:numId w:val="37"/>
              </w:numPr>
              <w:spacing w:after="60"/>
              <w:ind w:hanging="357"/>
              <w:rPr>
                <w:rFonts w:ascii="Arial" w:hAnsi="Arial" w:cs="Arial"/>
                <w:sz w:val="16"/>
              </w:rPr>
            </w:pPr>
            <w:r w:rsidRPr="00397941">
              <w:rPr>
                <w:rFonts w:ascii="Arial" w:hAnsi="Arial" w:cs="Arial"/>
                <w:sz w:val="16"/>
              </w:rPr>
              <w:t>the individual has actually been in Australia during 200 or more days in the period of 12 months immediately preceding that time; and</w:t>
            </w:r>
          </w:p>
          <w:p w14:paraId="111080B8" w14:textId="3EB181BC" w:rsidR="00D21C07" w:rsidRPr="00397941" w:rsidRDefault="00D21C07" w:rsidP="0081211B">
            <w:pPr>
              <w:pStyle w:val="ListParagraph"/>
              <w:numPr>
                <w:ilvl w:val="0"/>
                <w:numId w:val="37"/>
              </w:numPr>
              <w:spacing w:after="60"/>
              <w:ind w:hanging="357"/>
              <w:rPr>
                <w:rFonts w:ascii="Arial" w:hAnsi="Arial" w:cs="Arial"/>
                <w:sz w:val="16"/>
              </w:rPr>
            </w:pPr>
            <w:r w:rsidRPr="00397941">
              <w:rPr>
                <w:rFonts w:ascii="Arial" w:hAnsi="Arial" w:cs="Arial"/>
                <w:sz w:val="16"/>
              </w:rPr>
              <w:t>at that time:</w:t>
            </w:r>
          </w:p>
          <w:p w14:paraId="4126C6D8" w14:textId="35832FEC" w:rsidR="00D21C07" w:rsidRPr="00397941" w:rsidRDefault="00D21C07" w:rsidP="0081211B">
            <w:pPr>
              <w:pStyle w:val="ListParagraph"/>
              <w:numPr>
                <w:ilvl w:val="0"/>
                <w:numId w:val="38"/>
              </w:numPr>
              <w:spacing w:after="60"/>
              <w:ind w:hanging="357"/>
              <w:rPr>
                <w:rFonts w:ascii="Arial" w:hAnsi="Arial" w:cs="Arial"/>
                <w:sz w:val="16"/>
              </w:rPr>
            </w:pPr>
            <w:r w:rsidRPr="00397941">
              <w:rPr>
                <w:rFonts w:ascii="Arial" w:hAnsi="Arial" w:cs="Arial"/>
                <w:sz w:val="16"/>
              </w:rPr>
              <w:t>the individual is in Australia and the individual’s continued presence in Australia is not subject to any limitation as to time imposed by law; or</w:t>
            </w:r>
          </w:p>
          <w:p w14:paraId="07A7288F" w14:textId="05A81F59" w:rsidR="00D21C07" w:rsidRPr="00397941" w:rsidRDefault="00D21C07" w:rsidP="0081211B">
            <w:pPr>
              <w:pStyle w:val="ListParagraph"/>
              <w:numPr>
                <w:ilvl w:val="0"/>
                <w:numId w:val="38"/>
              </w:numPr>
              <w:spacing w:after="60"/>
              <w:ind w:hanging="357"/>
              <w:rPr>
                <w:rFonts w:ascii="Arial" w:hAnsi="Arial" w:cs="Arial"/>
                <w:sz w:val="16"/>
              </w:rPr>
            </w:pPr>
            <w:r w:rsidRPr="00397941">
              <w:rPr>
                <w:rFonts w:ascii="Arial" w:hAnsi="Arial" w:cs="Arial"/>
                <w:sz w:val="16"/>
              </w:rPr>
              <w:t>the individual is not in Australia but, immediately before the individual’s most recent departure from Australia, the individual’s continued presence in Australia was not subject to any limitation as to time imposed by law.</w:t>
            </w:r>
          </w:p>
          <w:p w14:paraId="32CBB27E" w14:textId="1E68125C" w:rsidR="00D21C07" w:rsidRPr="00397941" w:rsidRDefault="00D21C07" w:rsidP="0081211B">
            <w:pPr>
              <w:pStyle w:val="ListParagraph"/>
              <w:numPr>
                <w:ilvl w:val="0"/>
                <w:numId w:val="39"/>
              </w:numPr>
              <w:spacing w:after="60"/>
              <w:ind w:hanging="357"/>
              <w:rPr>
                <w:rFonts w:ascii="Arial" w:hAnsi="Arial" w:cs="Arial"/>
                <w:sz w:val="16"/>
              </w:rPr>
            </w:pPr>
            <w:r w:rsidRPr="00397941">
              <w:rPr>
                <w:rFonts w:ascii="Arial" w:hAnsi="Arial" w:cs="Arial"/>
                <w:sz w:val="16"/>
              </w:rPr>
              <w:t>Without limiting paragraph (1)(b), an individual’s continued presence in Australia is subject to a limitation as to time imposed by law if the individual is an unlawful non</w:t>
            </w:r>
            <w:r w:rsidRPr="00397941">
              <w:rPr>
                <w:rFonts w:ascii="Arial" w:hAnsi="Arial" w:cs="Arial"/>
                <w:sz w:val="16"/>
              </w:rPr>
              <w:noBreakHyphen/>
              <w:t>citizen within the meaning of the Migration Act 1958.</w:t>
            </w:r>
          </w:p>
        </w:tc>
      </w:tr>
      <w:tr w:rsidR="00D21C07" w:rsidRPr="007B1A52" w14:paraId="7CEDE4B7" w14:textId="77777777" w:rsidTr="00786181">
        <w:tc>
          <w:tcPr>
            <w:tcW w:w="1668" w:type="dxa"/>
            <w:shd w:val="clear" w:color="auto" w:fill="auto"/>
          </w:tcPr>
          <w:p w14:paraId="3C6D193A" w14:textId="77777777" w:rsidR="00D21C07" w:rsidRPr="00EB0856" w:rsidRDefault="00D21C07" w:rsidP="00EB0856">
            <w:pPr>
              <w:pStyle w:val="TableTextColumnHeadingLeft"/>
            </w:pPr>
            <w:r w:rsidRPr="00EB0856">
              <w:t>Residential land</w:t>
            </w:r>
          </w:p>
        </w:tc>
        <w:tc>
          <w:tcPr>
            <w:tcW w:w="6151" w:type="dxa"/>
            <w:shd w:val="clear" w:color="auto" w:fill="auto"/>
          </w:tcPr>
          <w:p w14:paraId="406D9B44" w14:textId="77777777" w:rsidR="00D21C07" w:rsidRPr="00EB0856" w:rsidRDefault="00D21C07" w:rsidP="00EB0856">
            <w:pPr>
              <w:pStyle w:val="TableTextLeft"/>
            </w:pPr>
            <w:r w:rsidRPr="00EB0856">
              <w:t>Land in Australia if:</w:t>
            </w:r>
          </w:p>
          <w:p w14:paraId="47EA4756" w14:textId="77777777" w:rsidR="00D21C07" w:rsidRPr="00893B68" w:rsidRDefault="00D21C07" w:rsidP="00EB0856">
            <w:pPr>
              <w:pStyle w:val="TableTextLeft-Bullet"/>
            </w:pPr>
            <w:r w:rsidRPr="00893B68">
              <w:t>there is at least one dwelling on the land; or</w:t>
            </w:r>
          </w:p>
          <w:p w14:paraId="01BF7A99" w14:textId="77777777" w:rsidR="00D21C07" w:rsidRPr="00893B68" w:rsidRDefault="00D21C07" w:rsidP="00EB0856">
            <w:pPr>
              <w:pStyle w:val="TableTextLeft-Bullet"/>
            </w:pPr>
            <w:r w:rsidRPr="00893B68">
              <w:t>the number of dwellings that could reasonably be built on the land is less than the number prescribed by the regulations (10 in 2017–18); and</w:t>
            </w:r>
          </w:p>
          <w:p w14:paraId="29CEF695" w14:textId="100FCCAC" w:rsidR="00D21C07" w:rsidRPr="00893B68" w:rsidRDefault="0045671F" w:rsidP="00EB0856">
            <w:pPr>
              <w:pStyle w:val="TableTextLeft-Bullet"/>
            </w:pPr>
            <w:r w:rsidRPr="00893B68">
              <w:t>does not include land:</w:t>
            </w:r>
          </w:p>
          <w:p w14:paraId="03D6720D" w14:textId="77777777" w:rsidR="00D21C07" w:rsidRPr="00893B68" w:rsidRDefault="00D21C07" w:rsidP="00EB0856">
            <w:pPr>
              <w:pStyle w:val="TableTextLeft-Bullet"/>
            </w:pPr>
            <w:r w:rsidRPr="00893B68">
              <w:t>used wholly and exclusively for a primary production business; or</w:t>
            </w:r>
          </w:p>
          <w:p w14:paraId="54E1FE84" w14:textId="77777777" w:rsidR="00D21C07" w:rsidRPr="00893B68" w:rsidRDefault="00D21C07" w:rsidP="00EB0856">
            <w:pPr>
              <w:pStyle w:val="TableTextLeft-Bullet"/>
            </w:pPr>
            <w:r w:rsidRPr="00893B68">
              <w:t>on which the only dwellings are commercial residential premises.</w:t>
            </w:r>
          </w:p>
        </w:tc>
      </w:tr>
      <w:tr w:rsidR="00D21C07" w:rsidRPr="007B1A52" w14:paraId="3DBA38FA" w14:textId="77777777" w:rsidTr="00786181">
        <w:tc>
          <w:tcPr>
            <w:tcW w:w="1668" w:type="dxa"/>
            <w:shd w:val="clear" w:color="auto" w:fill="F2F2F2" w:themeFill="background1" w:themeFillShade="F2"/>
          </w:tcPr>
          <w:p w14:paraId="4D6C4DB8" w14:textId="77777777" w:rsidR="00D21C07" w:rsidRPr="00EB0856" w:rsidRDefault="00D21C07" w:rsidP="00EB0856">
            <w:pPr>
              <w:pStyle w:val="TableTextColumnHeadingLeft"/>
            </w:pPr>
            <w:r w:rsidRPr="00EB0856">
              <w:t>Substantial interest</w:t>
            </w:r>
          </w:p>
        </w:tc>
        <w:tc>
          <w:tcPr>
            <w:tcW w:w="6151" w:type="dxa"/>
            <w:shd w:val="clear" w:color="auto" w:fill="F2F2F2" w:themeFill="background1" w:themeFillShade="F2"/>
          </w:tcPr>
          <w:p w14:paraId="4EEE74D1" w14:textId="77777777" w:rsidR="00D21C07" w:rsidRPr="00EB0856" w:rsidRDefault="00D21C07" w:rsidP="00EB0856">
            <w:pPr>
              <w:pStyle w:val="TableTextLeft"/>
            </w:pPr>
            <w:r w:rsidRPr="00EB0856">
              <w:t>A person holds a substantial interest in an entity or trust if:</w:t>
            </w:r>
          </w:p>
          <w:p w14:paraId="2D046220" w14:textId="77777777" w:rsidR="00D21C07" w:rsidRPr="00893B68" w:rsidRDefault="00D21C07" w:rsidP="00EB0856">
            <w:pPr>
              <w:pStyle w:val="TableTextLeft-Bullet"/>
            </w:pPr>
            <w:r w:rsidRPr="00893B68">
              <w:t>for an entity — the person holds an interest of at least 20 per cent in the entity; or</w:t>
            </w:r>
          </w:p>
          <w:p w14:paraId="1C352431" w14:textId="77777777" w:rsidR="00D21C07" w:rsidRPr="00893B68" w:rsidRDefault="00D21C07" w:rsidP="00EB0856">
            <w:pPr>
              <w:pStyle w:val="TableTextLeft-Bullet"/>
            </w:pPr>
            <w:r w:rsidRPr="00893B68">
              <w:t>for a trust (including a unit trust) — the person, together with any one or more associates, holds a beneficial interest in at least 20 per cent of the income or property of the trust.</w:t>
            </w:r>
          </w:p>
        </w:tc>
      </w:tr>
      <w:tr w:rsidR="00D21C07" w:rsidRPr="007B1A52" w14:paraId="6DF07380" w14:textId="77777777" w:rsidTr="00786181">
        <w:tc>
          <w:tcPr>
            <w:tcW w:w="1668" w:type="dxa"/>
            <w:shd w:val="clear" w:color="auto" w:fill="auto"/>
          </w:tcPr>
          <w:p w14:paraId="2C28AC1C" w14:textId="7A95AF98" w:rsidR="00D21C07" w:rsidRPr="00EB0856" w:rsidRDefault="00D21C07" w:rsidP="00EB0856">
            <w:pPr>
              <w:pStyle w:val="TableTextColumnHeadingLeft"/>
            </w:pPr>
            <w:r w:rsidRPr="00EB0856">
              <w:t>Temporary resident</w:t>
            </w:r>
          </w:p>
        </w:tc>
        <w:tc>
          <w:tcPr>
            <w:tcW w:w="6151" w:type="dxa"/>
            <w:shd w:val="clear" w:color="auto" w:fill="auto"/>
          </w:tcPr>
          <w:p w14:paraId="2F5F671E" w14:textId="77777777" w:rsidR="00D21C07" w:rsidRPr="00EB0856" w:rsidRDefault="00D21C07" w:rsidP="00EB0856">
            <w:pPr>
              <w:pStyle w:val="TableTextLeft"/>
            </w:pPr>
            <w:r w:rsidRPr="00EB0856">
              <w:t>An individual who:</w:t>
            </w:r>
          </w:p>
          <w:p w14:paraId="7A03C588" w14:textId="02202E01" w:rsidR="00D21C07" w:rsidRPr="00EB0856" w:rsidRDefault="00D21C07" w:rsidP="00397941">
            <w:pPr>
              <w:pStyle w:val="TableTextLeft-Numbered"/>
              <w:numPr>
                <w:ilvl w:val="0"/>
                <w:numId w:val="18"/>
              </w:numPr>
            </w:pPr>
            <w:r w:rsidRPr="00EB0856">
              <w:t>holds a temporary visa under the Migration Act 1958 that allows the individual to remain in Australia for a continuous period of more than 12 months (disregarding the amount of that period remaining); or</w:t>
            </w:r>
          </w:p>
          <w:p w14:paraId="7DBDF83A" w14:textId="3EF5AF04" w:rsidR="00D21C07" w:rsidRPr="00EB0856" w:rsidRDefault="00D21C07" w:rsidP="007D3940">
            <w:pPr>
              <w:pStyle w:val="TableTextLeft-Numbered"/>
            </w:pPr>
            <w:r w:rsidRPr="00EB0856">
              <w:t>meets the following conditions:</w:t>
            </w:r>
          </w:p>
          <w:p w14:paraId="7BE8B2A4" w14:textId="63C79D3C" w:rsidR="00D21C07" w:rsidRPr="00904AA8" w:rsidRDefault="00D21C07" w:rsidP="00397941">
            <w:pPr>
              <w:pStyle w:val="TableTextLeft-Alpha"/>
              <w:numPr>
                <w:ilvl w:val="0"/>
                <w:numId w:val="19"/>
              </w:numPr>
            </w:pPr>
            <w:r w:rsidRPr="00904AA8">
              <w:t>the individual is residing in Australia;</w:t>
            </w:r>
          </w:p>
          <w:p w14:paraId="291A3B3C" w14:textId="472E3A33" w:rsidR="00D21C07" w:rsidRPr="00904AA8" w:rsidRDefault="00D21C07" w:rsidP="007D3940">
            <w:pPr>
              <w:pStyle w:val="TableTextLeft-Alpha"/>
            </w:pPr>
            <w:r w:rsidRPr="00904AA8">
              <w:t>the individual has applied for a permanent visa under the Migration Act</w:t>
            </w:r>
            <w:r w:rsidR="0091527C" w:rsidRPr="00904AA8">
              <w:t> </w:t>
            </w:r>
            <w:r w:rsidRPr="00904AA8">
              <w:t>1958;</w:t>
            </w:r>
          </w:p>
          <w:p w14:paraId="6E5F37CC" w14:textId="2977AEE9" w:rsidR="00D21C07" w:rsidRPr="00904AA8" w:rsidRDefault="00D21C07" w:rsidP="007D3940">
            <w:pPr>
              <w:pStyle w:val="TableTextLeft-Alpha"/>
            </w:pPr>
            <w:r w:rsidRPr="00904AA8">
              <w:t>the individual holds a bridging visa under that Act that allows the individual to remain in Australia until the application has been finally determined; or</w:t>
            </w:r>
          </w:p>
          <w:p w14:paraId="55EC867E" w14:textId="67F5A485" w:rsidR="00D21C07" w:rsidRPr="00EB0856" w:rsidRDefault="00D21C07" w:rsidP="007D3940">
            <w:pPr>
              <w:pStyle w:val="TableTextLeft-Numbered"/>
            </w:pPr>
            <w:r w:rsidRPr="00EB0856">
              <w:t>meets the conditions prescribed by the regulations.</w:t>
            </w:r>
          </w:p>
        </w:tc>
      </w:tr>
      <w:tr w:rsidR="00D21C07" w:rsidRPr="007B1A52" w14:paraId="6A224E6E" w14:textId="77777777" w:rsidTr="00786181">
        <w:tc>
          <w:tcPr>
            <w:tcW w:w="1668" w:type="dxa"/>
            <w:shd w:val="clear" w:color="auto" w:fill="F2F2F2" w:themeFill="background1" w:themeFillShade="F2"/>
          </w:tcPr>
          <w:p w14:paraId="3C8BECA3" w14:textId="77777777" w:rsidR="00D21C07" w:rsidRPr="00EB0856" w:rsidRDefault="00D21C07" w:rsidP="00EB0856">
            <w:pPr>
              <w:pStyle w:val="TableTextColumnHeadingLeft"/>
            </w:pPr>
            <w:r w:rsidRPr="00EB0856">
              <w:t>Vacant land</w:t>
            </w:r>
          </w:p>
        </w:tc>
        <w:tc>
          <w:tcPr>
            <w:tcW w:w="6151" w:type="dxa"/>
            <w:shd w:val="clear" w:color="auto" w:fill="F2F2F2" w:themeFill="background1" w:themeFillShade="F2"/>
          </w:tcPr>
          <w:p w14:paraId="5F01FBB6" w14:textId="77777777" w:rsidR="00D21C07" w:rsidRPr="00EB0856" w:rsidRDefault="00D21C07" w:rsidP="00EB0856">
            <w:pPr>
              <w:pStyle w:val="TableTextLeft"/>
            </w:pPr>
            <w:r w:rsidRPr="00EB0856">
              <w:t>Land is vacant if there is no substantive permanent building on the land that can be lawfully occupied by persons, goods or livestock.</w:t>
            </w:r>
          </w:p>
        </w:tc>
      </w:tr>
    </w:tbl>
    <w:p w14:paraId="4F1F4730" w14:textId="77777777" w:rsidR="000C6516" w:rsidRPr="00654BAA" w:rsidRDefault="000C6516" w:rsidP="00D21C07">
      <w:pPr>
        <w:tabs>
          <w:tab w:val="left" w:pos="567"/>
        </w:tabs>
        <w:spacing w:after="0" w:line="240" w:lineRule="auto"/>
        <w:rPr>
          <w:rFonts w:ascii="Arial" w:hAnsi="Arial"/>
          <w:sz w:val="16"/>
        </w:rPr>
      </w:pPr>
    </w:p>
    <w:sectPr w:rsidR="000C6516" w:rsidRPr="00654BAA" w:rsidSect="002229ED">
      <w:headerReference w:type="default" r:id="rId130"/>
      <w:type w:val="oddPage"/>
      <w:pgSz w:w="11906" w:h="16838"/>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A0A4B" w14:textId="77777777" w:rsidR="00E56859" w:rsidRDefault="00E56859" w:rsidP="00E83190">
      <w:pPr>
        <w:spacing w:after="0" w:line="240" w:lineRule="auto"/>
      </w:pPr>
      <w:r>
        <w:separator/>
      </w:r>
    </w:p>
  </w:endnote>
  <w:endnote w:type="continuationSeparator" w:id="0">
    <w:p w14:paraId="5FFF5192" w14:textId="77777777" w:rsidR="00E56859" w:rsidRDefault="00E56859" w:rsidP="00E83190">
      <w:pPr>
        <w:spacing w:after="0" w:line="240" w:lineRule="auto"/>
      </w:pPr>
      <w:r>
        <w:continuationSeparator/>
      </w:r>
    </w:p>
  </w:endnote>
  <w:endnote w:type="continuationNotice" w:id="1">
    <w:p w14:paraId="6F7A2891" w14:textId="77777777" w:rsidR="00E56859" w:rsidRDefault="00E568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old">
    <w:altName w:val="Times New Roman"/>
    <w:panose1 w:val="020B07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ss 721 BT">
    <w:altName w:val="Swiss 721 BT"/>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E901B" w14:textId="77777777" w:rsidR="00E56859" w:rsidRDefault="00E56859">
    <w:pPr>
      <w:pStyle w:val="FooterEven"/>
    </w:pPr>
    <w:r>
      <w:fldChar w:fldCharType="begin"/>
    </w:r>
    <w:r>
      <w:instrText xml:space="preserve"> PAGE  \* MERGEFORMAT </w:instrText>
    </w:r>
    <w:r>
      <w:fldChar w:fldCharType="separate"/>
    </w:r>
    <w:r>
      <w:rPr>
        <w:noProof/>
      </w:rPr>
      <w:t>ix</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74F66" w14:textId="3BE7129F" w:rsidR="00E56859" w:rsidRDefault="004F2B6E" w:rsidP="00573419">
    <w:pPr>
      <w:pStyle w:val="FooterOdd"/>
    </w:pPr>
    <w:sdt>
      <w:sdtPr>
        <w:id w:val="-1485005587"/>
        <w:docPartObj>
          <w:docPartGallery w:val="Page Numbers (Bottom of Page)"/>
          <w:docPartUnique/>
        </w:docPartObj>
      </w:sdtPr>
      <w:sdtEndPr>
        <w:rPr>
          <w:color w:val="auto"/>
        </w:rPr>
      </w:sdtEndPr>
      <w:sdtContent>
        <w:r w:rsidR="00E56859">
          <w:fldChar w:fldCharType="begin"/>
        </w:r>
        <w:r w:rsidR="00E56859">
          <w:instrText xml:space="preserve"> PAGE   \* MERGEFORMAT </w:instrText>
        </w:r>
        <w:r w:rsidR="00E56859">
          <w:rPr>
            <w:noProof/>
          </w:rPr>
          <w:instrText>47</w:instrText>
        </w:r>
        <w:r w:rsidR="00E56859">
          <w:fldChar w:fldCharType="separate"/>
        </w:r>
        <w:r>
          <w:rPr>
            <w:noProof/>
          </w:rPr>
          <w:t>23</w:t>
        </w:r>
        <w:r w:rsidR="00E56859">
          <w:rPr>
            <w:noProof/>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05DD2" w14:textId="56233E02" w:rsidR="00E56859" w:rsidRDefault="00E56859" w:rsidP="00CB54C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41DC9" w14:textId="7D7E1A9E" w:rsidR="00E56859" w:rsidRDefault="00E56859" w:rsidP="00B37AAC">
    <w:pPr>
      <w:pStyle w:val="Footer"/>
      <w:rPr>
        <w:rStyle w:val="FramedFooter"/>
      </w:rPr>
    </w:pPr>
    <w:r>
      <w:rPr>
        <w:rStyle w:val="FramedFooter"/>
      </w:rPr>
      <w:fldChar w:fldCharType="begin"/>
    </w:r>
    <w:r>
      <w:rPr>
        <w:rStyle w:val="FramedFooter"/>
      </w:rPr>
      <w:instrText xml:space="preserve"> PAGE  \* MERGEFORMAT </w:instrText>
    </w:r>
    <w:r>
      <w:rPr>
        <w:rStyle w:val="FramedFooter"/>
      </w:rPr>
      <w:fldChar w:fldCharType="separate"/>
    </w:r>
    <w:r w:rsidR="004F2B6E">
      <w:rPr>
        <w:rStyle w:val="FramedFooter"/>
        <w:noProof/>
      </w:rPr>
      <w:t>48</w:t>
    </w:r>
    <w:r>
      <w:rPr>
        <w:rStyle w:val="FramedFoot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6D05F" w14:textId="6F570387" w:rsidR="00E56859" w:rsidRDefault="00E56859">
    <w:pPr>
      <w:pStyle w:val="FooterEven"/>
    </w:pPr>
  </w:p>
  <w:p w14:paraId="405454CC" w14:textId="684714EC" w:rsidR="00E56859" w:rsidRPr="003E1D3A" w:rsidRDefault="00E56859" w:rsidP="003E1D3A">
    <w:pPr>
      <w:pStyle w:val="HeaderEven"/>
    </w:pPr>
    <w:r>
      <w:t xml:space="preserve"> Report 2017-18</w:t>
    </w:r>
  </w:p>
  <w:p w14:paraId="2284BA1B" w14:textId="77777777" w:rsidR="00E56859" w:rsidRDefault="00E56859"/>
  <w:p w14:paraId="58E45DCC" w14:textId="77777777" w:rsidR="00E56859" w:rsidRDefault="00E56859">
    <w:pPr>
      <w:pStyle w:val="FooterEven"/>
    </w:pPr>
    <w:r>
      <w:t xml:space="preserve"> PAGE 52\*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6638A" w14:textId="4A6C1839" w:rsidR="00E56859" w:rsidRPr="00A52CA5" w:rsidRDefault="00E56859" w:rsidP="001A2213">
    <w:pPr>
      <w:pStyle w:val="Footer"/>
      <w:framePr w:h="238" w:hRule="exact" w:wrap="around" w:hAnchor="page" w:x="1889" w:yAlign="bottom" w:anchorLock="1"/>
      <w:jc w:val="right"/>
      <w:textDirection w:val="tbRl"/>
      <w:rPr>
        <w:rStyle w:val="FramedFooter"/>
      </w:rPr>
    </w:pPr>
  </w:p>
  <w:p w14:paraId="667A2D8D" w14:textId="6BF21BA7" w:rsidR="00E56859" w:rsidRPr="003E1D3A" w:rsidRDefault="00E56859" w:rsidP="0046411A">
    <w:pPr>
      <w:pStyle w:val="HeaderEven"/>
    </w:pPr>
    <w:r>
      <w:rPr>
        <w:noProof/>
      </w:rPr>
      <mc:AlternateContent>
        <mc:Choice Requires="wps">
          <w:drawing>
            <wp:anchor distT="0" distB="0" distL="114300" distR="114300" simplePos="0" relativeHeight="251658243" behindDoc="0" locked="0" layoutInCell="1" allowOverlap="1" wp14:anchorId="1C3EA8E2" wp14:editId="766F3E6E">
              <wp:simplePos x="0" y="0"/>
              <wp:positionH relativeFrom="column">
                <wp:posOffset>-2160270</wp:posOffset>
              </wp:positionH>
              <wp:positionV relativeFrom="page">
                <wp:posOffset>3082290</wp:posOffset>
              </wp:positionV>
              <wp:extent cx="511200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112000" cy="1403985"/>
                      </a:xfrm>
                      <a:prstGeom prst="rect">
                        <a:avLst/>
                      </a:prstGeom>
                      <a:noFill/>
                      <a:ln w="9525">
                        <a:noFill/>
                        <a:miter lim="800000"/>
                        <a:headEnd/>
                        <a:tailEnd/>
                      </a:ln>
                    </wps:spPr>
                    <wps:txbx>
                      <w:txbxContent>
                        <w:p w14:paraId="6B99F37D" w14:textId="791E683B" w:rsidR="00E56859" w:rsidRDefault="00E56859" w:rsidP="00786181">
                          <w:pPr>
                            <w:pStyle w:val="FooterEven"/>
                          </w:pPr>
                          <w:r>
                            <w:fldChar w:fldCharType="begin"/>
                          </w:r>
                          <w:r>
                            <w:instrText xml:space="preserve"> PAGE   \* MERGEFORMAT </w:instrText>
                          </w:r>
                          <w:r>
                            <w:fldChar w:fldCharType="separate"/>
                          </w:r>
                          <w:r w:rsidR="004F2B6E">
                            <w:rPr>
                              <w:noProof/>
                            </w:rPr>
                            <w:t>50</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170.1pt;margin-top:242.7pt;width:402.5pt;height:110.55pt;rotation:90;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" filled="f" stroked="f">
              <v:textbox style="mso-fit-shape-to-text:t">
                <w:txbxContent>
                  <w:p w14:paraId="6B99F37D" w14:textId="791E683B" w:rsidR="00E56859" w:rsidRDefault="00E56859" w:rsidP="00786181">
                    <w:pPr>
                      <w:pStyle w:val="FooterEven"/>
                    </w:pPr>
                    <w:r>
                      <w:fldChar w:fldCharType="begin"/>
                    </w:r>
                    <w:r>
                      <w:instrText xml:space="preserve"> PAGE   \* MERGEFORMAT </w:instrText>
                    </w:r>
                    <w:r>
                      <w:fldChar w:fldCharType="separate"/>
                    </w:r>
                    <w:r w:rsidR="004F2B6E">
                      <w:rPr>
                        <w:noProof/>
                      </w:rPr>
                      <w:t>50</w:t>
                    </w:r>
                    <w:r>
                      <w:fldChar w:fldCharType="end"/>
                    </w:r>
                  </w:p>
                </w:txbxContent>
              </v:textbox>
              <w10:wrap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27526" w14:textId="1EBD88A3" w:rsidR="00E56859" w:rsidRDefault="00E56859" w:rsidP="0046411A">
    <w:pPr>
      <w:pStyle w:val="FooterEven"/>
    </w:pPr>
    <w:r>
      <w:rPr>
        <w:noProof/>
      </w:rPr>
      <w:fldChar w:fldCharType="begin"/>
    </w:r>
    <w:r>
      <w:rPr>
        <w:noProof/>
      </w:rPr>
      <w:instrText xml:space="preserve"> PAGE   \* MERGEFORMAT </w:instrText>
    </w:r>
    <w:r>
      <w:rPr>
        <w:noProof/>
      </w:rPr>
      <w:fldChar w:fldCharType="separate"/>
    </w:r>
    <w:r w:rsidR="004F2B6E">
      <w:rPr>
        <w:noProof/>
      </w:rPr>
      <w:t>74</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7E9B1" w14:textId="5A473028" w:rsidR="00E56859" w:rsidRPr="00FD2033" w:rsidRDefault="00E56859" w:rsidP="00786181">
    <w:pPr>
      <w:pStyle w:val="FooterOdd"/>
    </w:pPr>
    <w:r>
      <w:fldChar w:fldCharType="begin"/>
    </w:r>
    <w:r>
      <w:instrText xml:space="preserve"> PAGE   \* MERGEFORMAT </w:instrText>
    </w:r>
    <w:r>
      <w:fldChar w:fldCharType="separate"/>
    </w:r>
    <w:r w:rsidR="004F2B6E">
      <w:rPr>
        <w:noProof/>
      </w:rPr>
      <w:t>51</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74B18" w14:textId="77777777" w:rsidR="00E56859" w:rsidRDefault="00E56859" w:rsidP="00A52CA5">
    <w:pPr>
      <w:pStyle w:val="Header"/>
      <w:framePr w:w="477" w:h="7711" w:hRule="exact" w:wrap="around" w:hAnchor="page" w:x="14460" w:yAlign="top" w:anchorLock="1"/>
      <w:textDirection w:val="tbRl"/>
      <w:rPr>
        <w:rStyle w:val="FramedHeader"/>
      </w:rPr>
    </w:pPr>
  </w:p>
  <w:p w14:paraId="1AD885E1" w14:textId="3143A4E3" w:rsidR="00E56859" w:rsidRPr="00A52CA5" w:rsidRDefault="00E56859" w:rsidP="00A52CA5">
    <w:pPr>
      <w:pStyle w:val="Header"/>
      <w:framePr w:w="477" w:h="7711" w:hRule="exact" w:wrap="around" w:hAnchor="page" w:x="14460" w:yAlign="top" w:anchorLock="1"/>
      <w:textDirection w:val="tbRl"/>
      <w:rPr>
        <w:rStyle w:val="FramedHeader"/>
      </w:rPr>
    </w:pPr>
    <w:r w:rsidRPr="00A52CA5">
      <w:rPr>
        <w:rStyle w:val="FramedHeader"/>
      </w:rPr>
      <w:t xml:space="preserve"> Proposals Data</w:t>
    </w:r>
  </w:p>
  <w:p w14:paraId="6F85EFA8" w14:textId="2D43E63A" w:rsidR="00E56859" w:rsidRPr="00F84EAC" w:rsidDel="0046411A" w:rsidRDefault="00E56859" w:rsidP="0046411A">
    <w:pPr>
      <w:pStyle w:val="HeaderOdd"/>
    </w:pPr>
    <w:r>
      <w:rPr>
        <w:noProof/>
      </w:rPr>
      <w:fldChar w:fldCharType="begin"/>
    </w:r>
    <w:r>
      <w:rPr>
        <w:noProof/>
      </w:rPr>
      <w:instrText xml:space="preserve"> PAGE   \* MERGEFORMAT </w:instrText>
    </w:r>
    <w:r>
      <w:rPr>
        <w:noProof/>
      </w:rPr>
      <w:fldChar w:fldCharType="separate"/>
    </w:r>
    <w:r w:rsidR="004F2B6E">
      <w:rPr>
        <w:noProof/>
      </w:rPr>
      <w:t>73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E8830" w14:textId="77777777" w:rsidR="00E56859" w:rsidRDefault="00E56859">
    <w:pPr>
      <w:pStyle w:val="Footer"/>
      <w:jc w:val="right"/>
    </w:pPr>
  </w:p>
  <w:p w14:paraId="7AAB6423" w14:textId="77777777" w:rsidR="00E56859" w:rsidRDefault="00E56859">
    <w:pPr>
      <w:pStyle w:val="FooterOd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9878A" w14:textId="3EBC755A" w:rsidR="00E56859" w:rsidRDefault="00E56859">
    <w:pPr>
      <w:pStyle w:val="FooterEven"/>
    </w:pPr>
    <w:r>
      <w:fldChar w:fldCharType="begin"/>
    </w:r>
    <w:r>
      <w:instrText xml:space="preserve"> PAGE   \* MERGEFORMAT </w:instrText>
    </w:r>
    <w:r>
      <w:fldChar w:fldCharType="separate"/>
    </w:r>
    <w:r w:rsidR="004F2B6E">
      <w:rPr>
        <w:noProof/>
      </w:rPr>
      <w:t>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408138"/>
      <w:docPartObj>
        <w:docPartGallery w:val="Page Numbers (Bottom of Page)"/>
        <w:docPartUnique/>
      </w:docPartObj>
    </w:sdtPr>
    <w:sdtEndPr>
      <w:rPr>
        <w:noProof/>
      </w:rPr>
    </w:sdtEndPr>
    <w:sdtContent>
      <w:p w14:paraId="1C3D0612" w14:textId="774179AE" w:rsidR="00E56859" w:rsidRDefault="00E56859">
        <w:pPr>
          <w:pStyle w:val="FooterOdd"/>
        </w:pPr>
        <w:r>
          <w:fldChar w:fldCharType="begin"/>
        </w:r>
        <w:r>
          <w:instrText xml:space="preserve"> PAGE   \* MERGEFORMAT </w:instrText>
        </w:r>
        <w:r>
          <w:rPr>
            <w:noProof/>
          </w:rPr>
          <w:instrText>47</w:instrText>
        </w:r>
        <w:r>
          <w:fldChar w:fldCharType="separate"/>
        </w:r>
        <w:r w:rsidR="004F2B6E">
          <w:rPr>
            <w:noProof/>
          </w:rPr>
          <w:t>75</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84DDB" w14:textId="77777777" w:rsidR="00E56859" w:rsidRPr="003711D9" w:rsidRDefault="00E56859" w:rsidP="00F37429">
    <w:pPr>
      <w:pStyle w:val="FooterEven"/>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E06F3" w14:textId="39CB7F8C" w:rsidR="00E56859" w:rsidRPr="003711D9" w:rsidRDefault="00E56859" w:rsidP="001938CE">
    <w:pPr>
      <w:pStyle w:val="FooterOdd"/>
    </w:pPr>
    <w:r>
      <w:fldChar w:fldCharType="begin"/>
    </w:r>
    <w:r>
      <w:instrText xml:space="preserve"> PAGE   \* MERGEFORMAT </w:instrText>
    </w:r>
    <w:r>
      <w:fldChar w:fldCharType="separate"/>
    </w:r>
    <w:r w:rsidR="004F2B6E">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9F56D" w14:textId="5F6D733D" w:rsidR="00E56859" w:rsidRDefault="00E56859" w:rsidP="00786181">
    <w:pPr>
      <w:pStyle w:val="FooterOdd"/>
    </w:pPr>
    <w:r>
      <w:fldChar w:fldCharType="begin"/>
    </w:r>
    <w:r>
      <w:instrText xml:space="preserve"> PAGE   \* MERGEFORMAT </w:instrText>
    </w:r>
    <w:r>
      <w:fldChar w:fldCharType="separate"/>
    </w:r>
    <w:r w:rsidR="004F2B6E">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6FAD0" w14:textId="3EE671D6" w:rsidR="00E56859" w:rsidDel="006211A6" w:rsidRDefault="00E56859" w:rsidP="008D6C4C">
    <w:pPr>
      <w:pStyle w:val="FooterEven"/>
    </w:pPr>
    <w:r>
      <w:fldChar w:fldCharType="begin"/>
    </w:r>
    <w:r>
      <w:instrText xml:space="preserve"> PAGE   \* MERGEFORMAT </w:instrText>
    </w:r>
    <w:r>
      <w:fldChar w:fldCharType="separate"/>
    </w:r>
    <w:r w:rsidR="004F2B6E">
      <w:rPr>
        <w:noProof/>
      </w:rPr>
      <w:t>46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319C2" w14:textId="18ED674F" w:rsidR="00E56859" w:rsidDel="006211A6" w:rsidRDefault="004F2B6E" w:rsidP="00786181">
    <w:pPr>
      <w:pStyle w:val="FooterOdd"/>
    </w:pPr>
    <w:sdt>
      <w:sdtPr>
        <w:id w:val="1439025416"/>
        <w:docPartObj>
          <w:docPartGallery w:val="Page Numbers (Bottom of Page)"/>
          <w:docPartUnique/>
        </w:docPartObj>
      </w:sdtPr>
      <w:sdtEndPr>
        <w:rPr>
          <w:color w:val="auto"/>
        </w:rPr>
      </w:sdtEndPr>
      <w:sdtContent>
        <w:r w:rsidR="00E56859">
          <w:fldChar w:fldCharType="begin"/>
        </w:r>
        <w:r w:rsidR="00E56859">
          <w:instrText xml:space="preserve"> PAGE   \* MERGEFORMAT </w:instrText>
        </w:r>
        <w:r w:rsidR="00E56859">
          <w:rPr>
            <w:noProof/>
          </w:rPr>
          <w:instrText>47</w:instrText>
        </w:r>
        <w:r w:rsidR="00E56859">
          <w:fldChar w:fldCharType="separate"/>
        </w:r>
        <w:r>
          <w:rPr>
            <w:noProof/>
          </w:rPr>
          <w:t>12</w:t>
        </w:r>
        <w:r w:rsidR="00E56859">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0E5EF" w14:textId="77777777" w:rsidR="00E56859" w:rsidRDefault="00E56859" w:rsidP="00E83190">
      <w:pPr>
        <w:spacing w:after="0" w:line="240" w:lineRule="auto"/>
      </w:pPr>
      <w:r>
        <w:separator/>
      </w:r>
    </w:p>
  </w:footnote>
  <w:footnote w:type="continuationSeparator" w:id="0">
    <w:p w14:paraId="3E80A688" w14:textId="77777777" w:rsidR="00E56859" w:rsidRDefault="00E56859" w:rsidP="00E83190">
      <w:pPr>
        <w:spacing w:after="0" w:line="240" w:lineRule="auto"/>
      </w:pPr>
      <w:r>
        <w:continuationSeparator/>
      </w:r>
    </w:p>
  </w:footnote>
  <w:footnote w:type="continuationNotice" w:id="1">
    <w:p w14:paraId="4A4A80C7" w14:textId="77777777" w:rsidR="00E56859" w:rsidRDefault="00E56859">
      <w:pPr>
        <w:spacing w:after="0" w:line="240" w:lineRule="auto"/>
      </w:pPr>
    </w:p>
  </w:footnote>
  <w:footnote w:id="2">
    <w:p w14:paraId="5A314EC6" w14:textId="3B1053A3" w:rsidR="00E56859" w:rsidRPr="00666C38" w:rsidRDefault="00E56859" w:rsidP="00670DD5">
      <w:pPr>
        <w:pStyle w:val="FootnoteText"/>
        <w:rPr>
          <w:rFonts w:ascii="Calibri" w:hAnsi="Calibri"/>
        </w:rPr>
      </w:pPr>
      <w:r w:rsidRPr="00666C38">
        <w:rPr>
          <w:rStyle w:val="FootnoteReference"/>
          <w:rFonts w:ascii="Calibri" w:hAnsi="Calibri"/>
          <w:vertAlign w:val="baseline"/>
        </w:rPr>
        <w:footnoteRef/>
      </w:r>
      <w:r w:rsidRPr="00666C38">
        <w:rPr>
          <w:rFonts w:ascii="Calibri" w:hAnsi="Calibri"/>
        </w:rPr>
        <w:t xml:space="preserve"> </w:t>
      </w:r>
      <w:r w:rsidRPr="00666C38">
        <w:rPr>
          <w:rFonts w:ascii="Calibri" w:hAnsi="Calibri"/>
        </w:rPr>
        <w:tab/>
        <w:t xml:space="preserve">The </w:t>
      </w:r>
      <w:r>
        <w:rPr>
          <w:rFonts w:ascii="Calibri" w:hAnsi="Calibri"/>
        </w:rPr>
        <w:t>Board</w:t>
      </w:r>
      <w:r w:rsidRPr="00666C38">
        <w:rPr>
          <w:rFonts w:ascii="Calibri" w:hAnsi="Calibri"/>
        </w:rPr>
        <w:t xml:space="preserve"> is supported in its responsibilities by Treasury’s Foreign Investment Division and Public Groups and International </w:t>
      </w:r>
      <w:r>
        <w:rPr>
          <w:rFonts w:ascii="Calibri" w:hAnsi="Calibri"/>
        </w:rPr>
        <w:t xml:space="preserve">in </w:t>
      </w:r>
      <w:r w:rsidRPr="00666C38">
        <w:rPr>
          <w:rFonts w:ascii="Calibri" w:hAnsi="Calibri"/>
        </w:rPr>
        <w:t>the Australian Taxation Office</w:t>
      </w:r>
      <w:r>
        <w:rPr>
          <w:rFonts w:ascii="Calibri" w:hAnsi="Calibri"/>
        </w:rPr>
        <w:t xml:space="preserve"> (ATO)</w:t>
      </w:r>
      <w:r w:rsidRPr="00666C38">
        <w:rPr>
          <w:rFonts w:ascii="Calibri" w:hAnsi="Calibri"/>
        </w:rPr>
        <w:t>. Treasury and the ATO are collectively referred to in this report as ‘</w:t>
      </w:r>
      <w:r>
        <w:rPr>
          <w:rFonts w:ascii="Calibri" w:hAnsi="Calibri"/>
        </w:rPr>
        <w:t>FIRB</w:t>
      </w:r>
      <w:r w:rsidRPr="00666C38">
        <w:rPr>
          <w:rFonts w:ascii="Calibri" w:hAnsi="Calibri"/>
        </w:rPr>
        <w:t xml:space="preserve"> agencies’.</w:t>
      </w:r>
    </w:p>
  </w:footnote>
  <w:footnote w:id="3">
    <w:p w14:paraId="79B4EECF" w14:textId="1250880F" w:rsidR="00E56859" w:rsidRDefault="00E56859" w:rsidP="00654118">
      <w:pPr>
        <w:pStyle w:val="FootnoteText"/>
      </w:pPr>
      <w:r w:rsidRPr="00CC6D5D">
        <w:rPr>
          <w:rStyle w:val="FootnoteReference"/>
          <w:vertAlign w:val="baseline"/>
        </w:rPr>
        <w:footnoteRef/>
      </w:r>
      <w:r>
        <w:t xml:space="preserve"> </w:t>
      </w:r>
      <w:r>
        <w:tab/>
        <w:t xml:space="preserve">The Treasurer has provided delegations to senior officers in </w:t>
      </w:r>
      <w:r w:rsidRPr="00A74639">
        <w:t>FIRB</w:t>
      </w:r>
      <w:r w:rsidRPr="00DD51E5">
        <w:t xml:space="preserve"> agencies</w:t>
      </w:r>
      <w:r>
        <w:t xml:space="preserve"> to make decisions on applications that are consistent with the foreign investment framework. Certain applications are decided by other Treasury portfolio ministers rather than the Treasurer.</w:t>
      </w:r>
    </w:p>
  </w:footnote>
  <w:footnote w:id="4">
    <w:p w14:paraId="74C02513" w14:textId="02D29E1F" w:rsidR="00E56859" w:rsidRDefault="00E56859" w:rsidP="00001690">
      <w:pPr>
        <w:pStyle w:val="FootnoteText"/>
      </w:pPr>
      <w:r w:rsidRPr="00CC6D5D">
        <w:rPr>
          <w:rStyle w:val="FootnoteReference"/>
          <w:vertAlign w:val="baseline"/>
        </w:rPr>
        <w:footnoteRef/>
      </w:r>
      <w:r>
        <w:t xml:space="preserve"> </w:t>
      </w:r>
      <w:r>
        <w:tab/>
        <w:t xml:space="preserve">For information on the economic activity of foreign owned businesses in Australia see </w:t>
      </w:r>
      <w:r w:rsidRPr="00B579B9">
        <w:rPr>
          <w:color w:val="auto"/>
          <w:szCs w:val="24"/>
        </w:rPr>
        <w:t>Australian Bureau of Statistics (</w:t>
      </w:r>
      <w:r>
        <w:t xml:space="preserve">ABS) </w:t>
      </w:r>
      <w:r w:rsidRPr="00C75A6B">
        <w:t xml:space="preserve">Catalogue </w:t>
      </w:r>
      <w:r>
        <w:t>n</w:t>
      </w:r>
      <w:r w:rsidRPr="00C75A6B">
        <w:t>o</w:t>
      </w:r>
      <w:r>
        <w:t>. </w:t>
      </w:r>
      <w:r w:rsidRPr="00C75A6B">
        <w:t>5494.0</w:t>
      </w:r>
      <w:r w:rsidRPr="00577043">
        <w:t xml:space="preserve"> </w:t>
      </w:r>
      <w:r>
        <w:t>–</w:t>
      </w:r>
      <w:r w:rsidRPr="00577043">
        <w:t xml:space="preserve"> </w:t>
      </w:r>
      <w:r w:rsidRPr="00C75A6B">
        <w:rPr>
          <w:i/>
        </w:rPr>
        <w:t>Economic Activity of Foreign Owned Businesses in Australia, 2014</w:t>
      </w:r>
      <w:r>
        <w:rPr>
          <w:i/>
        </w:rPr>
        <w:noBreakHyphen/>
      </w:r>
      <w:r w:rsidRPr="00C75A6B">
        <w:rPr>
          <w:i/>
        </w:rPr>
        <w:t>15</w:t>
      </w:r>
      <w:r>
        <w:t>.</w:t>
      </w:r>
    </w:p>
    <w:p w14:paraId="35A89F2F" w14:textId="1F69D28A" w:rsidR="00E56859" w:rsidRDefault="00E56859" w:rsidP="00001690">
      <w:pPr>
        <w:pStyle w:val="FootnoteText"/>
      </w:pPr>
      <w:r>
        <w:tab/>
        <w:t>Breakdowns by s</w:t>
      </w:r>
      <w:r w:rsidRPr="00AD49CD">
        <w:t>ource country and Australian industry factsheets</w:t>
      </w:r>
      <w:r>
        <w:t xml:space="preserve"> are available from the Department of Foreign Affairs and Trade (DFAT) website.</w:t>
      </w:r>
    </w:p>
  </w:footnote>
  <w:footnote w:id="5">
    <w:p w14:paraId="2A35F355" w14:textId="6508CD7F" w:rsidR="00E56859" w:rsidRDefault="00E56859" w:rsidP="00F34769">
      <w:pPr>
        <w:pStyle w:val="FootnoteText"/>
      </w:pPr>
      <w:r w:rsidRPr="00670DD5">
        <w:rPr>
          <w:rStyle w:val="FootnoteReference"/>
          <w:vertAlign w:val="baseline"/>
        </w:rPr>
        <w:footnoteRef/>
      </w:r>
      <w:r w:rsidRPr="00670DD5">
        <w:t xml:space="preserve"> </w:t>
      </w:r>
      <w:r w:rsidRPr="00670DD5">
        <w:tab/>
      </w:r>
      <w:r>
        <w:t>ABS</w:t>
      </w:r>
      <w:r w:rsidRPr="00670DD5">
        <w:t>, Cat</w:t>
      </w:r>
      <w:r>
        <w:t>alogue</w:t>
      </w:r>
      <w:r w:rsidRPr="00670DD5">
        <w:t xml:space="preserve"> </w:t>
      </w:r>
      <w:r>
        <w:t>n</w:t>
      </w:r>
      <w:r w:rsidRPr="00670DD5">
        <w:t>o. 5352.0</w:t>
      </w:r>
      <w:r>
        <w:t xml:space="preserve"> – </w:t>
      </w:r>
      <w:r w:rsidRPr="00CF3DC8">
        <w:rPr>
          <w:i/>
        </w:rPr>
        <w:t>International Investment Position, Australia: Supplementary Statistics</w:t>
      </w:r>
      <w:r>
        <w:t>.</w:t>
      </w:r>
    </w:p>
    <w:p w14:paraId="72C4D1E0" w14:textId="645F4585" w:rsidR="00E56859" w:rsidRPr="00670DD5" w:rsidRDefault="00E56859" w:rsidP="00F34769">
      <w:pPr>
        <w:pStyle w:val="FootnoteText"/>
      </w:pPr>
      <w:r>
        <w:tab/>
        <w:t xml:space="preserve">Foreign Direct Investment (FDI) is related to when a foreign entity makes an investment that gives control or a significant degree of influence on the management of an enterprise. It tends to </w:t>
      </w:r>
      <w:r w:rsidRPr="00B25895">
        <w:t>be associat</w:t>
      </w:r>
      <w:r>
        <w:t>ed with a lasting relationship. For the statistical definition of direct investment, see Chapter 6 of t</w:t>
      </w:r>
      <w:r w:rsidRPr="0026643E">
        <w:t xml:space="preserve">he IMF's </w:t>
      </w:r>
      <w:r w:rsidRPr="00D857B5">
        <w:rPr>
          <w:i/>
        </w:rPr>
        <w:t>Balance of Payments and International Investment Position Manual</w:t>
      </w:r>
      <w:r w:rsidRPr="0026643E">
        <w:t xml:space="preserve"> </w:t>
      </w:r>
      <w:r w:rsidRPr="00D857B5">
        <w:rPr>
          <w:i/>
        </w:rPr>
        <w:t>(BPM6)</w:t>
      </w:r>
      <w:r>
        <w:t>.</w:t>
      </w:r>
    </w:p>
  </w:footnote>
  <w:footnote w:id="6">
    <w:p w14:paraId="00F629D2" w14:textId="68660FC0" w:rsidR="00E56859" w:rsidRDefault="00E56859">
      <w:pPr>
        <w:pStyle w:val="FootnoteText"/>
      </w:pPr>
      <w:r w:rsidRPr="00676B7B">
        <w:footnoteRef/>
      </w:r>
      <w:r>
        <w:t xml:space="preserve"> </w:t>
      </w:r>
      <w:r>
        <w:tab/>
        <w:t xml:space="preserve">For more detail please see the ‘Foreign Investment Outlook’ box </w:t>
      </w:r>
      <w:r w:rsidRPr="00E31EE1">
        <w:t xml:space="preserve">at </w:t>
      </w:r>
      <w:r>
        <w:t>page</w:t>
      </w:r>
      <w:r w:rsidRPr="00E31EE1">
        <w:t xml:space="preserve"> </w:t>
      </w:r>
      <w:r>
        <w:t>22.</w:t>
      </w:r>
    </w:p>
  </w:footnote>
  <w:footnote w:id="7">
    <w:p w14:paraId="31904457" w14:textId="371B3B51" w:rsidR="00E56859" w:rsidRDefault="00E56859">
      <w:pPr>
        <w:pStyle w:val="FootnoteText"/>
      </w:pPr>
      <w:r w:rsidRPr="001E4BD2">
        <w:rPr>
          <w:rStyle w:val="FootnoteReference"/>
          <w:vertAlign w:val="baseline"/>
        </w:rPr>
        <w:footnoteRef/>
      </w:r>
      <w:r>
        <w:t xml:space="preserve"> </w:t>
      </w:r>
      <w:r>
        <w:tab/>
        <w:t>More information is available on the Department of Home Affairs website under ‘</w:t>
      </w:r>
      <w:r w:rsidRPr="00073375">
        <w:t>Security of Critical Infrastructure Act 2018</w:t>
      </w:r>
      <w:r>
        <w:t>’.</w:t>
      </w:r>
    </w:p>
  </w:footnote>
  <w:footnote w:id="8">
    <w:p w14:paraId="26AA747B" w14:textId="0DB0F2E7" w:rsidR="00E56859" w:rsidRPr="0098121D" w:rsidRDefault="00E56859" w:rsidP="009C1D7A">
      <w:pPr>
        <w:pStyle w:val="FootnoteText"/>
        <w:rPr>
          <w:rFonts w:cs="Segoe UI"/>
          <w:iCs/>
          <w:color w:val="auto"/>
          <w:szCs w:val="18"/>
        </w:rPr>
      </w:pPr>
      <w:r w:rsidRPr="001E4BD2">
        <w:rPr>
          <w:rStyle w:val="FootnoteReference"/>
          <w:vertAlign w:val="baseline"/>
        </w:rPr>
        <w:footnoteRef/>
      </w:r>
      <w:r>
        <w:tab/>
        <w:t xml:space="preserve">The Hon Peter Dutton (Minister for Home Affairs), </w:t>
      </w:r>
      <w:r>
        <w:rPr>
          <w:i/>
        </w:rPr>
        <w:t xml:space="preserve">Telecommunications sector security reforms come into force, </w:t>
      </w:r>
      <w:r>
        <w:t xml:space="preserve">media release, Parliament House, Canberra, 18 September 2018. </w:t>
      </w:r>
    </w:p>
  </w:footnote>
  <w:footnote w:id="9">
    <w:p w14:paraId="0E8DA657" w14:textId="25470F72" w:rsidR="00E56859" w:rsidRPr="001256AB" w:rsidRDefault="00E56859" w:rsidP="00373A4C">
      <w:pPr>
        <w:pStyle w:val="FootnoteText"/>
      </w:pPr>
      <w:r w:rsidRPr="00FC1819">
        <w:rPr>
          <w:rStyle w:val="FootnoteReference"/>
          <w:vertAlign w:val="baseline"/>
        </w:rPr>
        <w:footnoteRef/>
      </w:r>
      <w:r w:rsidRPr="001256AB">
        <w:t xml:space="preserve"> </w:t>
      </w:r>
      <w:r>
        <w:tab/>
        <w:t xml:space="preserve">The CHIIA database is available online on </w:t>
      </w:r>
      <w:hyperlink r:id="rId1" w:history="1">
        <w:r>
          <w:rPr>
            <w:rStyle w:val="Hyperlink"/>
          </w:rPr>
          <w:t>the</w:t>
        </w:r>
      </w:hyperlink>
      <w:r>
        <w:rPr>
          <w:rStyle w:val="Hyperlink"/>
        </w:rPr>
        <w:t xml:space="preserve"> CHIIA website</w:t>
      </w:r>
      <w:r>
        <w:t>.</w:t>
      </w:r>
    </w:p>
  </w:footnote>
  <w:footnote w:id="10">
    <w:p w14:paraId="36A38259" w14:textId="07542A24" w:rsidR="00E56859" w:rsidRDefault="00E56859">
      <w:pPr>
        <w:pStyle w:val="FootnoteText"/>
      </w:pPr>
      <w:r w:rsidRPr="00310CB4">
        <w:rPr>
          <w:rStyle w:val="FootnoteReference"/>
          <w:vertAlign w:val="baseline"/>
        </w:rPr>
        <w:footnoteRef/>
      </w:r>
      <w:r>
        <w:t xml:space="preserve"> </w:t>
      </w:r>
      <w:r>
        <w:tab/>
        <w:t>See</w:t>
      </w:r>
      <w:r w:rsidRPr="00577043">
        <w:t xml:space="preserve"> </w:t>
      </w:r>
      <w:r>
        <w:t>ABS Catalogue no.:</w:t>
      </w:r>
    </w:p>
    <w:p w14:paraId="27ED911B" w14:textId="7C3C46D8" w:rsidR="00E56859" w:rsidRDefault="00E56859">
      <w:pPr>
        <w:pStyle w:val="FootnoteTextBullet"/>
      </w:pPr>
      <w:r w:rsidRPr="00577043">
        <w:t xml:space="preserve">5302.0 </w:t>
      </w:r>
      <w:r>
        <w:t>–</w:t>
      </w:r>
      <w:r w:rsidRPr="00577043">
        <w:t xml:space="preserve"> </w:t>
      </w:r>
      <w:r w:rsidRPr="003F7DC1">
        <w:rPr>
          <w:i/>
        </w:rPr>
        <w:t>Balance of Payments and International Investment Position</w:t>
      </w:r>
      <w:r w:rsidRPr="00C75A6B">
        <w:t>, Australia</w:t>
      </w:r>
      <w:r w:rsidRPr="00CF3DC8">
        <w:t xml:space="preserve">, which </w:t>
      </w:r>
      <w:r>
        <w:t>provides the overall investment trends; and</w:t>
      </w:r>
    </w:p>
    <w:p w14:paraId="73AA445A" w14:textId="5F261142" w:rsidR="00E56859" w:rsidRDefault="00E56859">
      <w:pPr>
        <w:pStyle w:val="FootnoteTextBullet"/>
      </w:pPr>
      <w:r>
        <w:t xml:space="preserve">5352.0 – </w:t>
      </w:r>
      <w:r w:rsidRPr="003F7DC1">
        <w:rPr>
          <w:i/>
        </w:rPr>
        <w:t>International Investment Position, Australia: Supplementary Statistics</w:t>
      </w:r>
      <w:r w:rsidRPr="00CF3DC8">
        <w:t xml:space="preserve">, which </w:t>
      </w:r>
      <w:r>
        <w:t>includes</w:t>
      </w:r>
      <w:r w:rsidRPr="00CF3DC8">
        <w:t xml:space="preserve"> </w:t>
      </w:r>
      <w:r>
        <w:t xml:space="preserve">actual foreign investment statistics </w:t>
      </w:r>
      <w:r w:rsidRPr="00CF3DC8">
        <w:t xml:space="preserve">by </w:t>
      </w:r>
      <w:r>
        <w:t xml:space="preserve">investor </w:t>
      </w:r>
      <w:r w:rsidRPr="00CF3DC8">
        <w:t xml:space="preserve">country </w:t>
      </w:r>
      <w:r>
        <w:t xml:space="preserve">or by industry division </w:t>
      </w:r>
      <w:r w:rsidRPr="00CF3DC8">
        <w:t>for inward foreign investment</w:t>
      </w:r>
      <w:r>
        <w:t>.</w:t>
      </w:r>
    </w:p>
    <w:p w14:paraId="13353454" w14:textId="43EBC6E1" w:rsidR="00E56859" w:rsidRDefault="00E56859" w:rsidP="005B44BF">
      <w:pPr>
        <w:pStyle w:val="FootnoteTextBullet"/>
        <w:numPr>
          <w:ilvl w:val="0"/>
          <w:numId w:val="0"/>
        </w:numPr>
        <w:ind w:left="568" w:hanging="284"/>
      </w:pPr>
      <w:r>
        <w:tab/>
      </w:r>
      <w:r w:rsidRPr="00C75A6B">
        <w:t>5494.0</w:t>
      </w:r>
      <w:r>
        <w:t xml:space="preserve"> –</w:t>
      </w:r>
      <w:r w:rsidRPr="00577043">
        <w:t xml:space="preserve"> </w:t>
      </w:r>
      <w:r w:rsidRPr="00C75A6B">
        <w:rPr>
          <w:i/>
        </w:rPr>
        <w:t>Economic Activity of Foreign Owned Businesses in Australia, 2014</w:t>
      </w:r>
      <w:r>
        <w:rPr>
          <w:i/>
        </w:rPr>
        <w:noBreakHyphen/>
      </w:r>
      <w:r w:rsidRPr="00C75A6B">
        <w:rPr>
          <w:i/>
        </w:rPr>
        <w:t>15</w:t>
      </w:r>
      <w:r>
        <w:rPr>
          <w:i/>
        </w:rPr>
        <w:t xml:space="preserve"> </w:t>
      </w:r>
      <w:r w:rsidRPr="00FD1D78">
        <w:t>for</w:t>
      </w:r>
      <w:r>
        <w:t xml:space="preserve"> information on the economic activity of foreign owned businesses in Australia</w:t>
      </w:r>
      <w:r>
        <w:rPr>
          <w:i/>
        </w:rPr>
        <w:t>.</w:t>
      </w:r>
    </w:p>
  </w:footnote>
  <w:footnote w:id="11">
    <w:p w14:paraId="5D1C43E5" w14:textId="2AF9F089" w:rsidR="00E56859" w:rsidRDefault="00E56859" w:rsidP="00177F07">
      <w:pPr>
        <w:pStyle w:val="FootnoteText"/>
      </w:pPr>
      <w:r w:rsidRPr="008765BE">
        <w:footnoteRef/>
      </w:r>
      <w:r>
        <w:t xml:space="preserve"> </w:t>
      </w:r>
      <w:r>
        <w:tab/>
        <w:t xml:space="preserve">For information on the New South Wales Government’s recent privatisations see NSW Parliamentary Research Service, Issues Backgrounder No. 2, </w:t>
      </w:r>
      <w:r w:rsidRPr="00F669F3">
        <w:t>Privatisation in NSW: a timeline and key sources</w:t>
      </w:r>
      <w:r>
        <w:t>, June 2017.</w:t>
      </w:r>
    </w:p>
  </w:footnote>
  <w:footnote w:id="12">
    <w:p w14:paraId="675040CC" w14:textId="2B8572BC" w:rsidR="00E56859" w:rsidRPr="00901D26" w:rsidRDefault="00E56859">
      <w:pPr>
        <w:pStyle w:val="FootnoteText"/>
        <w:rPr>
          <w:sz w:val="16"/>
        </w:rPr>
      </w:pPr>
      <w:r w:rsidRPr="00CD5F8F">
        <w:rPr>
          <w:rStyle w:val="FootnoteReference"/>
          <w:vertAlign w:val="baseline"/>
        </w:rPr>
        <w:footnoteRef/>
      </w:r>
      <w:r w:rsidRPr="00CD5F8F">
        <w:tab/>
      </w:r>
      <w:r w:rsidRPr="00901D26">
        <w:t>Comparisons of longer term trends in residential approvals data should be avoided due to the significant behavioural impacts of the introduction of fees from December 2015.</w:t>
      </w:r>
    </w:p>
  </w:footnote>
  <w:footnote w:id="13">
    <w:p w14:paraId="6E9FAE01" w14:textId="4BA8FB9A" w:rsidR="00E56859" w:rsidRPr="00051726" w:rsidRDefault="00E56859" w:rsidP="00DF45DB">
      <w:pPr>
        <w:pStyle w:val="FootnoteText"/>
        <w:jc w:val="left"/>
      </w:pPr>
      <w:r w:rsidRPr="00051726">
        <w:rPr>
          <w:rStyle w:val="FootnoteReference"/>
          <w:szCs w:val="18"/>
          <w:vertAlign w:val="baseline"/>
        </w:rPr>
        <w:footnoteRef/>
      </w:r>
      <w:r w:rsidRPr="00CD5F8F">
        <w:rPr>
          <w:sz w:val="20"/>
        </w:rPr>
        <w:tab/>
      </w:r>
      <w:r w:rsidRPr="00901D26">
        <w:t>From 1 January 2017, the Foreign Purchase Additional Duty increased from three to seven per cent in Victoria. From 1 July 2017, the Surcharge Purchaser Duty increased from four to eight per cent in New South Wales.</w:t>
      </w:r>
    </w:p>
  </w:footnote>
  <w:footnote w:id="14">
    <w:p w14:paraId="59AE85DF" w14:textId="11ACB473" w:rsidR="00E56859" w:rsidRDefault="00E56859">
      <w:pPr>
        <w:pStyle w:val="FootnoteText"/>
      </w:pPr>
      <w:r w:rsidRPr="00533F71">
        <w:rPr>
          <w:rStyle w:val="FootnoteReference"/>
          <w:vertAlign w:val="baseline"/>
        </w:rPr>
        <w:footnoteRef/>
      </w:r>
      <w:r>
        <w:t xml:space="preserve"> </w:t>
      </w:r>
      <w:r>
        <w:tab/>
        <w:t xml:space="preserve">In making an application, foreign persons that operate a substantial Australian business will be required to demonstrate a genuine need to purchase one or more established dwellings to </w:t>
      </w:r>
      <w:r w:rsidRPr="004B4EB4">
        <w:t>house</w:t>
      </w:r>
      <w:r>
        <w:br/>
        <w:t>Australian-based employees. Consideration is given to a number of factors, and approvals will normally be subject to conditions.</w:t>
      </w:r>
    </w:p>
  </w:footnote>
  <w:footnote w:id="15">
    <w:p w14:paraId="4B47F12F" w14:textId="02B25D6B" w:rsidR="00E56859" w:rsidRDefault="00E56859" w:rsidP="005E1397">
      <w:pPr>
        <w:pStyle w:val="FootnoteText"/>
      </w:pPr>
      <w:r w:rsidRPr="00470E96">
        <w:footnoteRef/>
      </w:r>
      <w:r>
        <w:t xml:space="preserve"> </w:t>
      </w:r>
      <w:r>
        <w:tab/>
        <w:t>This requirement was codified in the Act from 1 December 2015.</w:t>
      </w:r>
    </w:p>
    <w:p w14:paraId="21FC85EC" w14:textId="12398B9C" w:rsidR="00E56859" w:rsidRDefault="00E56859" w:rsidP="005E1397">
      <w:pPr>
        <w:pStyle w:val="FootnoteText"/>
      </w:pPr>
      <w:r>
        <w:tab/>
        <w:t>Starting an Australian business refers to when a foreign government investor starts to carry on an Australian business, or if a foreign government investor already carries on an Australian business, the business starts a new activity under the Australian and New Zealand Standard Industrial Classification (ANZSIC, 2006) Codes and the activity is not incidental to an existing activity of the Australian business and the activity is within a different Division under the Codes. For a foreign government investor that already carries on an Australian business, starting a new business excludes when they establish a new entity, alone or with others, to undertake the same Australian business or acquire interests in such an Australian business.</w:t>
      </w:r>
    </w:p>
  </w:footnote>
  <w:footnote w:id="16">
    <w:p w14:paraId="5B85CB48" w14:textId="2B2A3532" w:rsidR="00E56859" w:rsidRPr="00670DD5" w:rsidRDefault="00E56859" w:rsidP="00670DD5">
      <w:pPr>
        <w:pStyle w:val="FootnoteText"/>
      </w:pPr>
      <w:r w:rsidRPr="00670DD5">
        <w:rPr>
          <w:rStyle w:val="FootnoteReference"/>
          <w:vertAlign w:val="baseline"/>
        </w:rPr>
        <w:footnoteRef/>
      </w:r>
      <w:r w:rsidRPr="00670DD5">
        <w:t xml:space="preserve"> </w:t>
      </w:r>
      <w:r w:rsidRPr="00670DD5">
        <w:tab/>
        <w:t xml:space="preserve">The methodology for reporting on investor countries has changed from primarily being based on </w:t>
      </w:r>
      <w:r>
        <w:t xml:space="preserve">likely </w:t>
      </w:r>
      <w:r w:rsidRPr="00670DD5">
        <w:t>country of control of the foreign person to country of beneficial o</w:t>
      </w:r>
      <w:r>
        <w:t xml:space="preserve">wnership of the foreign person. </w:t>
      </w:r>
      <w:r w:rsidRPr="00670DD5">
        <w:t xml:space="preserve">This broadly aligns investor country reporting for </w:t>
      </w:r>
      <w:r>
        <w:t>FIRB</w:t>
      </w:r>
      <w:r w:rsidRPr="00670DD5">
        <w:t xml:space="preserve"> data with ownership reporting in the </w:t>
      </w:r>
      <w:r>
        <w:t>f</w:t>
      </w:r>
      <w:r w:rsidRPr="00670DD5">
        <w:t xml:space="preserve">oreign ownership registers </w:t>
      </w:r>
      <w:r>
        <w:t>for agricultural land, water entitlements and residential land</w:t>
      </w:r>
      <w:r w:rsidRPr="00670DD5">
        <w:t xml:space="preserve">. Where a portion of beneficial ownership is not known or not disclosed, this may be recorded against country of control or allocated based on other factors, such as likely </w:t>
      </w:r>
      <w:r>
        <w:t xml:space="preserve">underlying </w:t>
      </w:r>
      <w:r w:rsidRPr="00670DD5">
        <w:t>investor countries based on geographic location (see Appendix B for further detail). The practical effect of this approach is that proposed investment by some countries will be overstated and for others understated</w:t>
      </w:r>
      <w:r>
        <w:t>.</w:t>
      </w:r>
    </w:p>
  </w:footnote>
  <w:footnote w:id="17">
    <w:p w14:paraId="5DD8296E" w14:textId="2F5D2D0A" w:rsidR="00E56859" w:rsidRDefault="00E56859">
      <w:pPr>
        <w:pStyle w:val="FootnoteText"/>
      </w:pPr>
      <w:r w:rsidRPr="005610C8">
        <w:rPr>
          <w:rStyle w:val="FootnoteReference"/>
          <w:vertAlign w:val="baseline"/>
        </w:rPr>
        <w:footnoteRef/>
      </w:r>
      <w:r w:rsidRPr="005610C8">
        <w:t xml:space="preserve"> </w:t>
      </w:r>
      <w:r>
        <w:tab/>
        <w:t>Available on the FIRB website.</w:t>
      </w:r>
    </w:p>
  </w:footnote>
  <w:footnote w:id="18">
    <w:p w14:paraId="54078AEF" w14:textId="26264917" w:rsidR="00E56859" w:rsidRDefault="00E56859">
      <w:pPr>
        <w:pStyle w:val="FootnoteText"/>
      </w:pPr>
      <w:r w:rsidRPr="004400CD">
        <w:rPr>
          <w:rStyle w:val="FootnoteReference"/>
          <w:vertAlign w:val="baseline"/>
        </w:rPr>
        <w:footnoteRef/>
      </w:r>
      <w:r>
        <w:t xml:space="preserve"> </w:t>
      </w:r>
      <w:r>
        <w:tab/>
        <w:t>This refers to both the Act and other applicable legislation.</w:t>
      </w:r>
    </w:p>
  </w:footnote>
  <w:footnote w:id="19">
    <w:p w14:paraId="42EB1028" w14:textId="77777777" w:rsidR="00E56859" w:rsidRPr="00670DD5" w:rsidRDefault="00E56859" w:rsidP="00F81765">
      <w:pPr>
        <w:pStyle w:val="FootnoteText"/>
      </w:pPr>
      <w:r w:rsidRPr="00670DD5">
        <w:rPr>
          <w:rStyle w:val="FootnoteReference"/>
          <w:vertAlign w:val="baseline"/>
        </w:rPr>
        <w:footnoteRef/>
      </w:r>
      <w:r w:rsidRPr="00670DD5">
        <w:t xml:space="preserve"> </w:t>
      </w:r>
      <w:r>
        <w:tab/>
      </w:r>
      <w:r w:rsidRPr="00670DD5">
        <w:t>This figure includes 260 new cases that were identified in 2016–17 but carried forward into 2017–18 to be actioned.</w:t>
      </w:r>
    </w:p>
  </w:footnote>
  <w:footnote w:id="20">
    <w:p w14:paraId="1E7802B0" w14:textId="52B661AE" w:rsidR="00E56859" w:rsidRPr="00DA3104" w:rsidRDefault="00E56859" w:rsidP="00670DD5">
      <w:pPr>
        <w:pStyle w:val="FootnoteText"/>
      </w:pPr>
      <w:r w:rsidRPr="00670DD5">
        <w:rPr>
          <w:rStyle w:val="FootnoteReference"/>
          <w:vertAlign w:val="baseline"/>
        </w:rPr>
        <w:footnoteRef/>
      </w:r>
      <w:r w:rsidRPr="00670DD5">
        <w:t xml:space="preserve"> </w:t>
      </w:r>
      <w:r w:rsidRPr="00670DD5">
        <w:tab/>
        <w:t>Data from 2014–15 is compiled by reference to the Australian and New Zealand Standard Industrial Classification (ANZSIC</w:t>
      </w:r>
      <w:r>
        <w:t>,</w:t>
      </w:r>
      <w:r w:rsidRPr="00670DD5">
        <w:t xml:space="preserve"> 2006) and the </w:t>
      </w:r>
      <w:r>
        <w:t>FIRB</w:t>
      </w:r>
      <w:r w:rsidRPr="00670DD5">
        <w:t xml:space="preserve"> is no longer reporting on resource processing.</w:t>
      </w:r>
    </w:p>
  </w:footnote>
  <w:footnote w:id="21">
    <w:p w14:paraId="3A8EE3BB" w14:textId="1E7804A4" w:rsidR="00E56859" w:rsidRPr="00431A60" w:rsidRDefault="00E56859">
      <w:pPr>
        <w:pStyle w:val="FootnoteText"/>
      </w:pPr>
      <w:r w:rsidRPr="00431A60">
        <w:rPr>
          <w:rStyle w:val="FootnoteReference"/>
          <w:vertAlign w:val="baseline"/>
        </w:rPr>
        <w:footnoteRef/>
      </w:r>
      <w:r w:rsidRPr="00431A60">
        <w:t xml:space="preserve"> </w:t>
      </w:r>
      <w:r w:rsidRPr="00431A60">
        <w:tab/>
      </w:r>
      <w:r>
        <w:t>The following classifications only apply where notification is required because a threshold for the acquisition of such an interest in land is met.</w:t>
      </w:r>
    </w:p>
  </w:footnote>
  <w:footnote w:id="22">
    <w:p w14:paraId="58C39B28" w14:textId="13E84D25" w:rsidR="00E56859" w:rsidRDefault="00E56859">
      <w:pPr>
        <w:pStyle w:val="FootnoteText"/>
      </w:pPr>
      <w:r w:rsidRPr="00955C66">
        <w:rPr>
          <w:rStyle w:val="FootnoteReference"/>
          <w:vertAlign w:val="baseline"/>
        </w:rPr>
        <w:footnoteRef/>
      </w:r>
      <w:r>
        <w:t xml:space="preserve"> </w:t>
      </w:r>
      <w:r>
        <w:tab/>
        <w:t>Interim Orders are not available for exemption certificate applications.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E8CF" w14:textId="77777777" w:rsidR="00E56859" w:rsidRDefault="00E56859">
    <w:pPr>
      <w:pStyle w:val="Header"/>
    </w:pP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D5DF6" w14:textId="3ABCF107" w:rsidR="00E56859" w:rsidRDefault="00E56859" w:rsidP="00CB54C2">
    <w:pPr>
      <w:pStyle w:val="FooterOd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A3569" w14:textId="6D8346C1" w:rsidR="00E56859" w:rsidRDefault="00E56859" w:rsidP="00CB54C2">
    <w:pPr>
      <w:pStyle w:val="FooterOdd"/>
    </w:pPr>
    <w:r>
      <w:rPr>
        <w:noProof/>
      </w:rPr>
      <mc:AlternateContent>
        <mc:Choice Requires="wps">
          <w:drawing>
            <wp:anchor distT="0" distB="0" distL="114300" distR="114300" simplePos="0" relativeHeight="251658240" behindDoc="0" locked="0" layoutInCell="1" allowOverlap="1" wp14:anchorId="38276C3E" wp14:editId="5B7060E3">
              <wp:simplePos x="0" y="0"/>
              <wp:positionH relativeFrom="column">
                <wp:posOffset>-2160270</wp:posOffset>
              </wp:positionH>
              <wp:positionV relativeFrom="page">
                <wp:posOffset>3083746</wp:posOffset>
              </wp:positionV>
              <wp:extent cx="511200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112000" cy="1403985"/>
                      </a:xfrm>
                      <a:prstGeom prst="rect">
                        <a:avLst/>
                      </a:prstGeom>
                      <a:noFill/>
                      <a:ln w="9525">
                        <a:noFill/>
                        <a:miter lim="800000"/>
                        <a:headEnd/>
                        <a:tailEnd/>
                      </a:ln>
                    </wps:spPr>
                    <wps:txbx>
                      <w:txbxContent>
                        <w:p w14:paraId="4FCDB641" w14:textId="78858F25" w:rsidR="00E56859" w:rsidRDefault="00E56859" w:rsidP="00786181">
                          <w:pPr>
                            <w:pStyle w:val="FooterEven"/>
                          </w:pPr>
                          <w:r>
                            <w:fldChar w:fldCharType="begin"/>
                          </w:r>
                          <w:r>
                            <w:instrText xml:space="preserve"> PAGE   \* MERGEFORMAT </w:instrText>
                          </w:r>
                          <w:r>
                            <w:fldChar w:fldCharType="separate"/>
                          </w:r>
                          <w:r w:rsidR="004F2B6E">
                            <w:rPr>
                              <w:noProof/>
                            </w:rPr>
                            <w:t>47</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left:0;text-align:left;margin-left:-170.1pt;margin-top:242.8pt;width:402.5pt;height:110.55pt;rotation:90;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" filled="f" stroked="f">
              <v:textbox style="mso-fit-shape-to-text:t">
                <w:txbxContent>
                  <w:p w14:paraId="4FCDB641" w14:textId="78858F25" w:rsidR="00E56859" w:rsidRDefault="00E56859" w:rsidP="00786181">
                    <w:pPr>
                      <w:pStyle w:val="FooterEven"/>
                    </w:pPr>
                    <w:r>
                      <w:fldChar w:fldCharType="begin"/>
                    </w:r>
                    <w:r>
                      <w:instrText xml:space="preserve"> PAGE   \* MERGEFORMAT </w:instrText>
                    </w:r>
                    <w:r>
                      <w:fldChar w:fldCharType="separate"/>
                    </w:r>
                    <w:r w:rsidR="004F2B6E">
                      <w:rPr>
                        <w:noProof/>
                      </w:rPr>
                      <w:t>47</w:t>
                    </w:r>
                    <w:r>
                      <w:fldChar w:fldCharType="end"/>
                    </w:r>
                  </w:p>
                </w:txbxContent>
              </v:textbox>
              <w10:wrap anchory="page"/>
            </v:shape>
          </w:pict>
        </mc:Fallback>
      </mc:AlternateContent>
    </w:r>
    <w:r>
      <w:rPr>
        <w:noProof/>
      </w:rPr>
      <mc:AlternateContent>
        <mc:Choice Requires="wps">
          <w:drawing>
            <wp:anchor distT="0" distB="0" distL="114300" distR="114300" simplePos="0" relativeHeight="251658241" behindDoc="0" locked="0" layoutInCell="1" allowOverlap="1" wp14:anchorId="0141C08E" wp14:editId="5284C421">
              <wp:simplePos x="0" y="0"/>
              <wp:positionH relativeFrom="column">
                <wp:posOffset>5904865</wp:posOffset>
              </wp:positionH>
              <wp:positionV relativeFrom="page">
                <wp:posOffset>2988310</wp:posOffset>
              </wp:positionV>
              <wp:extent cx="4925931"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925931" cy="1403985"/>
                      </a:xfrm>
                      <a:prstGeom prst="rect">
                        <a:avLst/>
                      </a:prstGeom>
                      <a:noFill/>
                      <a:ln w="9525">
                        <a:noFill/>
                        <a:miter lim="800000"/>
                        <a:headEnd/>
                        <a:tailEnd/>
                      </a:ln>
                    </wps:spPr>
                    <wps:txbx>
                      <w:txbxContent>
                        <w:p w14:paraId="203A0252" w14:textId="77777777" w:rsidR="00E56859" w:rsidRDefault="004F2B6E" w:rsidP="00786181">
                          <w:pPr>
                            <w:pStyle w:val="HeaderEven"/>
                          </w:pPr>
                          <w:r>
                            <w:fldChar w:fldCharType="begin"/>
                          </w:r>
                          <w:r>
                            <w:instrText xml:space="preserve"> TITLE   \* MERGEFORMAT </w:instrText>
                          </w:r>
                          <w:r>
                            <w:fldChar w:fldCharType="separate"/>
                          </w:r>
                          <w:r w:rsidR="00E56859">
                            <w:t>Foreign Investment Review Board Annual Report 2017-18</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464.95pt;margin-top:235.3pt;width:387.85pt;height:110.55pt;rotation:90;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" filled="f" stroked="f">
              <v:textbox style="mso-fit-shape-to-text:t">
                <w:txbxContent>
                  <w:p w14:paraId="203A0252" w14:textId="77777777" w:rsidR="00E56859" w:rsidRDefault="00E56859" w:rsidP="00786181">
                    <w:pPr>
                      <w:pStyle w:val="HeaderEven"/>
                    </w:pPr>
                    <w:fldSimple w:instr=" TITLE   \* MERGEFORMAT ">
                      <w:r>
                        <w:t>Foreign Investment Review Board Annual Report 2017-18</w:t>
                      </w:r>
                    </w:fldSimple>
                  </w:p>
                </w:txbxContent>
              </v:textbox>
              <w10:wrap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811E8" w14:textId="77777777" w:rsidR="00E56859" w:rsidRDefault="00E56859">
    <w:pPr>
      <w:framePr w:wrap="around" w:hAnchor="page" w:x="14460" w:yAlign="top" w:anchorLock="1"/>
      <w:textDirection w:val="tbRl"/>
      <w:rPr>
        <w:rStyle w:val="FramedHeader"/>
      </w:rPr>
    </w:pPr>
    <w:r>
      <w:rPr>
        <w:rStyle w:val="FramedHeader"/>
      </w:rPr>
      <w:t xml:space="preserve">Foreign Investment Review Board Annual Report 2017-18 </w:t>
    </w:r>
  </w:p>
  <w:p w14:paraId="68BA31D9" w14:textId="6BE0DDE0" w:rsidR="00E56859" w:rsidRDefault="00E56859" w:rsidP="00332751">
    <w:pPr>
      <w:pStyle w:val="FooterOdd"/>
    </w:pPr>
    <w:r>
      <w:rPr>
        <w:noProof/>
      </w:rPr>
      <w:fldChar w:fldCharType="begin"/>
    </w:r>
    <w:r>
      <w:rPr>
        <w:noProof/>
      </w:rPr>
      <w:instrText xml:space="preserve"> STYLEREF  "Heading 1"  \* MERGEFORMAT </w:instrText>
    </w:r>
    <w:r>
      <w:rPr>
        <w:noProof/>
      </w:rPr>
      <w:fldChar w:fldCharType="separate"/>
    </w:r>
    <w:r w:rsidR="004F2B6E">
      <w:rPr>
        <w:noProof/>
      </w:rPr>
      <w:t>Chapter Three: Applications Data</w:t>
    </w:r>
    <w:r>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9F98B" w14:textId="2FE1109D" w:rsidR="00E56859" w:rsidRDefault="00E56859" w:rsidP="003E1D3A">
    <w:pPr>
      <w:pStyle w:val="HeaderEven"/>
    </w:pPr>
  </w:p>
  <w:p w14:paraId="6455D925" w14:textId="20C809A6" w:rsidR="00E56859" w:rsidRPr="00FD2033" w:rsidRDefault="00E56859" w:rsidP="00F84EAC">
    <w:pPr>
      <w:pStyle w:val="FooterEven"/>
    </w:pPr>
    <w:r>
      <w:t xml:space="preserve">ERGEFORMAT </w:t>
    </w:r>
    <w:r>
      <w:rPr>
        <w:noProof/>
      </w:rPr>
      <w:t>47</w:t>
    </w:r>
  </w:p>
  <w:p w14:paraId="5EA1E674" w14:textId="77777777" w:rsidR="00E56859" w:rsidRDefault="00E56859"/>
  <w:p w14:paraId="0412C723" w14:textId="4F601162" w:rsidR="00E56859" w:rsidRDefault="00E56859">
    <w:pPr>
      <w:pStyle w:val="FooterEven"/>
    </w:pPr>
    <w:r>
      <w:t xml:space="preserve"> TITLE \* MERGEFORMAT Foreign Investment Review Board </w:t>
    </w:r>
    <w:proofErr w:type="spellStart"/>
    <w:r>
      <w:t>Annua</w:t>
    </w:r>
    <w:proofErr w:type="spellEnd"/>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72BE4" w14:textId="4F4D79AF" w:rsidR="00E56859" w:rsidRPr="00A52CA5" w:rsidRDefault="00E56859" w:rsidP="00786181">
    <w:pPr>
      <w:pStyle w:val="Footer"/>
      <w:jc w:val="right"/>
      <w:rPr>
        <w:rStyle w:val="FramedFooter"/>
      </w:rPr>
    </w:pPr>
    <w:r>
      <w:rPr>
        <w:noProof/>
      </w:rPr>
      <mc:AlternateContent>
        <mc:Choice Requires="wps">
          <w:drawing>
            <wp:anchor distT="0" distB="0" distL="114300" distR="114300" simplePos="0" relativeHeight="251658242" behindDoc="0" locked="0" layoutInCell="1" allowOverlap="1" wp14:anchorId="169E775C" wp14:editId="6A51D1AD">
              <wp:simplePos x="0" y="0"/>
              <wp:positionH relativeFrom="column">
                <wp:posOffset>5904865</wp:posOffset>
              </wp:positionH>
              <wp:positionV relativeFrom="page">
                <wp:posOffset>2988310</wp:posOffset>
              </wp:positionV>
              <wp:extent cx="4925931"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925931" cy="1403985"/>
                      </a:xfrm>
                      <a:prstGeom prst="rect">
                        <a:avLst/>
                      </a:prstGeom>
                      <a:noFill/>
                      <a:ln w="9525">
                        <a:noFill/>
                        <a:miter lim="800000"/>
                        <a:headEnd/>
                        <a:tailEnd/>
                      </a:ln>
                    </wps:spPr>
                    <wps:txbx>
                      <w:txbxContent>
                        <w:p w14:paraId="269067D7" w14:textId="03F34DD8" w:rsidR="00E56859" w:rsidRDefault="004F2B6E" w:rsidP="00786181">
                          <w:pPr>
                            <w:pStyle w:val="HeaderEven"/>
                          </w:pPr>
                          <w:r>
                            <w:fldChar w:fldCharType="begin"/>
                          </w:r>
                          <w:r>
                            <w:instrText xml:space="preserve"> TITLE   \* MERGEFORMAT </w:instrText>
                          </w:r>
                          <w:r>
                            <w:fldChar w:fldCharType="separate"/>
                          </w:r>
                          <w:r w:rsidR="00E56859">
                            <w:t>Foreign Investment Review Board Annual Report 2017-18</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464.95pt;margin-top:235.3pt;width:387.85pt;height:110.55pt;rotation:90;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" filled="f" stroked="f">
              <v:textbox style="mso-fit-shape-to-text:t">
                <w:txbxContent>
                  <w:p w14:paraId="269067D7" w14:textId="03F34DD8" w:rsidR="00E56859" w:rsidRDefault="00E56859" w:rsidP="00786181">
                    <w:pPr>
                      <w:pStyle w:val="HeaderEven"/>
                    </w:pPr>
                    <w:fldSimple w:instr=" TITLE   \* MERGEFORMAT ">
                      <w:r>
                        <w:t>Foreign Investment Review Board Annual Report 2017-18</w:t>
                      </w:r>
                    </w:fldSimple>
                  </w:p>
                </w:txbxContent>
              </v:textbox>
              <w10:wrap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D19C2" w14:textId="44B58EB6" w:rsidR="00E56859" w:rsidRDefault="004F2B6E">
    <w:pPr>
      <w:pStyle w:val="FooterEven"/>
    </w:pPr>
    <w:r>
      <w:fldChar w:fldCharType="begin"/>
    </w:r>
    <w:r>
      <w:instrText xml:space="preserve"> TITLE   \* MERGEFORMAT </w:instrText>
    </w:r>
    <w:r>
      <w:fldChar w:fldCharType="separate"/>
    </w:r>
    <w:r w:rsidR="00E56859">
      <w:t>Foreign Investment Review Board Annual Report 2017-18</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4E3D2" w14:textId="77777777" w:rsidR="00E56859" w:rsidRPr="00A52CA5" w:rsidRDefault="00E56859" w:rsidP="00786181">
    <w:pPr>
      <w:pStyle w:val="Header"/>
      <w:framePr w:w="477" w:h="7711" w:hRule="exact" w:wrap="around" w:hAnchor="page" w:x="14460" w:yAlign="top" w:anchorLock="1"/>
      <w:jc w:val="right"/>
      <w:textDirection w:val="tbRl"/>
      <w:rPr>
        <w:rStyle w:val="FramedHeader"/>
      </w:rPr>
    </w:pPr>
    <w:r w:rsidRPr="00A52CA5">
      <w:rPr>
        <w:rStyle w:val="FramedHeader"/>
      </w:rPr>
      <w:t>Chapter 4: Foreign Investment Proposals Data</w:t>
    </w:r>
  </w:p>
  <w:p w14:paraId="7E7D6BD8" w14:textId="7A7798FB" w:rsidR="00E56859" w:rsidRDefault="00E56859" w:rsidP="00786181">
    <w:pPr>
      <w:pStyle w:val="FooterOdd"/>
    </w:pPr>
    <w:r>
      <w:rPr>
        <w:noProof/>
      </w:rPr>
      <w:fldChar w:fldCharType="begin"/>
    </w:r>
    <w:r>
      <w:rPr>
        <w:noProof/>
      </w:rPr>
      <w:instrText xml:space="preserve"> STYLEREF  "Heading 1"  \* MERGEFORMAT </w:instrText>
    </w:r>
    <w:r>
      <w:rPr>
        <w:noProof/>
      </w:rPr>
      <w:fldChar w:fldCharType="separate"/>
    </w:r>
    <w:r w:rsidR="004F2B6E">
      <w:rPr>
        <w:noProof/>
      </w:rPr>
      <w:t>Chapter Three: Applications Data</w:t>
    </w:r>
    <w:r>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A94E3" w14:textId="77777777" w:rsidR="00E56859" w:rsidRDefault="00E56859" w:rsidP="00786181">
    <w:pPr>
      <w:pStyle w:val="FooterEven"/>
    </w:pPr>
  </w:p>
  <w:p w14:paraId="47DEAE4B" w14:textId="77777777" w:rsidR="00E56859" w:rsidRDefault="00E56859" w:rsidP="00A52CA5">
    <w:pPr>
      <w:pStyle w:val="Header"/>
      <w:framePr w:w="477" w:h="7711" w:hRule="exact" w:wrap="around" w:hAnchor="page" w:x="14460" w:yAlign="top" w:anchorLock="1"/>
      <w:textDirection w:val="tbRl"/>
      <w:rPr>
        <w:rStyle w:val="FramedHeader"/>
      </w:rPr>
    </w:pPr>
    <w:r w:rsidRPr="00A52CA5">
      <w:rPr>
        <w:rStyle w:val="FramedHeader"/>
      </w:rPr>
      <w:t xml:space="preserve">Chapter 4: Foreign </w:t>
    </w:r>
    <w:proofErr w:type="spellStart"/>
    <w:r w:rsidRPr="00A52CA5">
      <w:rPr>
        <w:rStyle w:val="FramedHeader"/>
      </w:rPr>
      <w:t>Investmen</w:t>
    </w:r>
    <w:proofErr w:type="spellEnd"/>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BBDCF" w14:textId="2ECD6CC0" w:rsidR="00E56859" w:rsidRPr="00204E29" w:rsidDel="00793936" w:rsidRDefault="00E56859" w:rsidP="00786181">
    <w:pPr>
      <w:pStyle w:val="FooterOdd"/>
    </w:pPr>
    <w:r>
      <w:rPr>
        <w:noProof/>
      </w:rPr>
      <w:fldChar w:fldCharType="begin"/>
    </w:r>
    <w:r>
      <w:rPr>
        <w:noProof/>
      </w:rPr>
      <w:instrText xml:space="preserve"> STYLEREF  "Heading 1"  \* MERGEFORMAT </w:instrText>
    </w:r>
    <w:r>
      <w:rPr>
        <w:noProof/>
      </w:rPr>
      <w:fldChar w:fldCharType="separate"/>
    </w:r>
    <w:r w:rsidR="004F2B6E">
      <w:rPr>
        <w:noProof/>
      </w:rPr>
      <w:t>Appendix C: Examination and Approval Process</w:t>
    </w:r>
    <w:r>
      <w:rPr>
        <w:noProof/>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A808A" w14:textId="66551A14" w:rsidR="00E56859" w:rsidRPr="00C263DE" w:rsidRDefault="00E56859" w:rsidP="00786181">
    <w:pPr>
      <w:pStyle w:val="FooterOdd"/>
    </w:pPr>
    <w:r>
      <w:rPr>
        <w:noProof/>
      </w:rPr>
      <w:fldChar w:fldCharType="begin"/>
    </w:r>
    <w:r>
      <w:rPr>
        <w:noProof/>
      </w:rPr>
      <w:instrText xml:space="preserve"> STYLEREF  "Heading 1"  \* MERGEFORMAT </w:instrText>
    </w:r>
    <w:r>
      <w:rPr>
        <w:noProof/>
      </w:rPr>
      <w:fldChar w:fldCharType="separate"/>
    </w:r>
    <w:r w:rsidR="004F2B6E">
      <w:rPr>
        <w:noProof/>
      </w:rPr>
      <w:t>Appendix D: Glossary</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78487" w14:textId="6ACD0603" w:rsidR="00E56859" w:rsidRPr="00204E29" w:rsidRDefault="00E56859" w:rsidP="00CB54C2">
    <w:pPr>
      <w:pStyle w:val="HeaderOdd"/>
    </w:pPr>
    <w:r>
      <w:t>Foreign Investment Review Board Annual Report 2016–17</w:t>
    </w:r>
  </w:p>
  <w:p w14:paraId="0A63F1BC" w14:textId="77777777" w:rsidR="00E56859" w:rsidRDefault="00E568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6ECB5" w14:textId="511B8EEF" w:rsidR="00E56859" w:rsidRPr="003E1D3A" w:rsidRDefault="004F2B6E" w:rsidP="003E1D3A">
    <w:pPr>
      <w:pStyle w:val="HeaderEven"/>
    </w:pPr>
    <w:r>
      <w:fldChar w:fldCharType="begin"/>
    </w:r>
    <w:r>
      <w:instrText xml:space="preserve"> TITLE   \* MERGEFORMAT </w:instrText>
    </w:r>
    <w:r>
      <w:fldChar w:fldCharType="separate"/>
    </w:r>
    <w:r w:rsidR="00E56859">
      <w:t>Foreign Investment Review Board Annual Report 2017-18</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50C20" w14:textId="29F2CB54" w:rsidR="00E56859" w:rsidRDefault="004F2B6E" w:rsidP="00786181">
    <w:pPr>
      <w:pStyle w:val="HeaderOdd"/>
    </w:pPr>
    <w:r>
      <w:fldChar w:fldCharType="begin"/>
    </w:r>
    <w:r>
      <w:instrText xml:space="preserve"> TITLE   \</w:instrText>
    </w:r>
    <w:r>
      <w:instrText xml:space="preserve">* MERGEFORMAT </w:instrText>
    </w:r>
    <w:r>
      <w:fldChar w:fldCharType="separate"/>
    </w:r>
    <w:r w:rsidR="00E56859">
      <w:t>Foreign Investment Review Board Annual Report 2017-18</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BFF9F" w14:textId="77777777" w:rsidR="00E56859" w:rsidRPr="00D74D35" w:rsidRDefault="00E56859" w:rsidP="00B605F9">
    <w:pPr>
      <w:pStyle w:val="HeaderEven"/>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F0221" w14:textId="77777777" w:rsidR="00E56859" w:rsidRPr="00204E29" w:rsidRDefault="00E56859" w:rsidP="00CB54C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00819" w14:textId="77777777" w:rsidR="00E56859" w:rsidRDefault="00E5685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0BB0B" w14:textId="76A71556" w:rsidR="00E56859" w:rsidRDefault="00E56859" w:rsidP="008D6C4C">
    <w:pPr>
      <w:pStyle w:val="HeaderOdd"/>
    </w:pPr>
    <w:r>
      <w:rPr>
        <w:noProof/>
      </w:rPr>
      <w:fldChar w:fldCharType="begin"/>
    </w:r>
    <w:r>
      <w:rPr>
        <w:noProof/>
      </w:rPr>
      <w:instrText xml:space="preserve"> STYLEREF  "Heading 1"  \* MERGEFORMAT </w:instrText>
    </w:r>
    <w:r>
      <w:rPr>
        <w:noProof/>
      </w:rPr>
      <w:fldChar w:fldCharType="separate"/>
    </w:r>
    <w:r w:rsidR="004F2B6E">
      <w:rPr>
        <w:noProof/>
      </w:rPr>
      <w:t>Appendix B: Methodological and Data Caveats</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8AC0F" w14:textId="6DA83CF1" w:rsidR="00E56859" w:rsidRDefault="00E56859" w:rsidP="00C55F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E59E8"/>
    <w:multiLevelType w:val="hybridMultilevel"/>
    <w:tmpl w:val="D0D87F56"/>
    <w:lvl w:ilvl="0" w:tplc="83F271F2">
      <w:start w:val="1"/>
      <w:numFmt w:val="bullet"/>
      <w:pStyle w:val="TableTextLeft-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CF3A7B"/>
    <w:multiLevelType w:val="hybridMultilevel"/>
    <w:tmpl w:val="A96E4CE8"/>
    <w:lvl w:ilvl="0" w:tplc="E036221E">
      <w:start w:val="1"/>
      <w:numFmt w:val="bullet"/>
      <w:pStyle w:val="Box-Pull-Bullet"/>
      <w:lvlText w:val="•"/>
      <w:lvlJc w:val="left"/>
      <w:pPr>
        <w:ind w:left="720" w:hanging="360"/>
      </w:pPr>
      <w:rPr>
        <w:rFonts w:ascii="Times New Roman" w:hAnsi="Times New Roman" w:cs="Times New Roman" w:hint="default"/>
        <w:color w:val="231E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BB6948"/>
    <w:multiLevelType w:val="hybridMultilevel"/>
    <w:tmpl w:val="2CE489CC"/>
    <w:lvl w:ilvl="0" w:tplc="DD525290">
      <w:start w:val="1"/>
      <w:numFmt w:val="lowerRoman"/>
      <w:pStyle w:val="TableTextLeft-Roman"/>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nsid w:val="19C960FD"/>
    <w:multiLevelType w:val="multilevel"/>
    <w:tmpl w:val="9E2A2866"/>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4">
    <w:nsid w:val="244237C5"/>
    <w:multiLevelType w:val="multilevel"/>
    <w:tmpl w:val="F0BE3518"/>
    <w:name w:val="StandardNumberedList"/>
    <w:lvl w:ilvl="0">
      <w:start w:val="1"/>
      <w:numFmt w:val="decimal"/>
      <w:lvlRestart w:val="0"/>
      <w:pStyle w:val="OutlineNumbered1"/>
      <w:lvlText w:val="%1."/>
      <w:lvlJc w:val="left"/>
      <w:pPr>
        <w:tabs>
          <w:tab w:val="num" w:pos="567"/>
        </w:tabs>
        <w:ind w:left="567" w:hanging="567"/>
      </w:pPr>
      <w:rPr>
        <w:b w:val="0"/>
        <w:i w:val="0"/>
      </w:rPr>
    </w:lvl>
    <w:lvl w:ilvl="1">
      <w:start w:val="1"/>
      <w:numFmt w:val="decimal"/>
      <w:pStyle w:val="OutlineNumbered2"/>
      <w:lvlText w:val="%1.%2."/>
      <w:lvlJc w:val="left"/>
      <w:pPr>
        <w:tabs>
          <w:tab w:val="num" w:pos="1134"/>
        </w:tabs>
        <w:ind w:left="1134" w:hanging="567"/>
      </w:pPr>
      <w:rPr>
        <w:b w:val="0"/>
        <w:i w:val="0"/>
      </w:rPr>
    </w:lvl>
    <w:lvl w:ilvl="2">
      <w:start w:val="1"/>
      <w:numFmt w:val="decimal"/>
      <w:pStyle w:val="OutlineNumbered3"/>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
    <w:nsid w:val="27440C8B"/>
    <w:multiLevelType w:val="multilevel"/>
    <w:tmpl w:val="9560F99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nsid w:val="2BEA786A"/>
    <w:multiLevelType w:val="multilevel"/>
    <w:tmpl w:val="C2664A28"/>
    <w:name w:val="AppendixAHeadingsNoItalics"/>
    <w:lvl w:ilvl="0">
      <w:start w:val="1"/>
      <w:numFmt w:val="decimal"/>
      <w:lvlRestart w:val="0"/>
      <w:pStyle w:val="AppendixAHeading3NotItalic"/>
      <w:lvlText w:val="%1."/>
      <w:lvlJc w:val="left"/>
      <w:pPr>
        <w:tabs>
          <w:tab w:val="num" w:pos="567"/>
        </w:tabs>
        <w:ind w:left="567" w:hanging="567"/>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AppendixAHeading4"/>
      <w:lvlText w:val="%2"/>
      <w:lvlJc w:val="left"/>
      <w:pPr>
        <w:tabs>
          <w:tab w:val="num" w:pos="567"/>
        </w:tabs>
        <w:ind w:left="0" w:firstLine="0"/>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7">
    <w:nsid w:val="2C723F30"/>
    <w:multiLevelType w:val="singleLevel"/>
    <w:tmpl w:val="1430D9F2"/>
    <w:name w:val="StandardNumberedParagraphList"/>
    <w:lvl w:ilvl="0">
      <w:start w:val="2"/>
      <w:numFmt w:val="decimal"/>
      <w:pStyle w:val="NumberedParagraph"/>
      <w:lvlText w:val="%1."/>
      <w:lvlJc w:val="left"/>
      <w:pPr>
        <w:tabs>
          <w:tab w:val="num" w:pos="567"/>
        </w:tabs>
        <w:ind w:left="0" w:firstLine="0"/>
      </w:pPr>
    </w:lvl>
  </w:abstractNum>
  <w:abstractNum w:abstractNumId="8">
    <w:nsid w:val="2D665DFA"/>
    <w:multiLevelType w:val="singleLevel"/>
    <w:tmpl w:val="106079EE"/>
    <w:lvl w:ilvl="0">
      <w:start w:val="1"/>
      <w:numFmt w:val="lowerLetter"/>
      <w:lvlRestart w:val="0"/>
      <w:pStyle w:val="AlphaParagraph"/>
      <w:lvlText w:val="(%1)"/>
      <w:lvlJc w:val="left"/>
      <w:pPr>
        <w:tabs>
          <w:tab w:val="num" w:pos="1134"/>
        </w:tabs>
        <w:ind w:left="1134" w:hanging="567"/>
      </w:pPr>
      <w:rPr>
        <w:rFonts w:ascii="Book Antiqua" w:hAnsi="Book Antiqua"/>
        <w:b w:val="0"/>
        <w:i w:val="0"/>
        <w:sz w:val="20"/>
      </w:rPr>
    </w:lvl>
  </w:abstractNum>
  <w:abstractNum w:abstractNumId="9">
    <w:nsid w:val="2EBB668F"/>
    <w:multiLevelType w:val="hybridMultilevel"/>
    <w:tmpl w:val="88464E74"/>
    <w:lvl w:ilvl="0" w:tplc="ED824DDC">
      <w:start w:val="1"/>
      <w:numFmt w:val="bullet"/>
      <w:pStyle w:val="FootnoteText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8C2710"/>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11">
    <w:nsid w:val="312C1B26"/>
    <w:multiLevelType w:val="multilevel"/>
    <w:tmpl w:val="C25AB2AE"/>
    <w:name w:val="AppendixAHeading3"/>
    <w:lvl w:ilvl="0">
      <w:start w:val="1"/>
      <w:numFmt w:val="decimal"/>
      <w:lvlRestart w:val="0"/>
      <w:pStyle w:val="AppendixAHeading3"/>
      <w:lvlText w:val="%1."/>
      <w:lvlJc w:val="left"/>
      <w:pPr>
        <w:tabs>
          <w:tab w:val="num" w:pos="567"/>
        </w:tabs>
        <w:ind w:left="567" w:hanging="567"/>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nsid w:val="356C4134"/>
    <w:multiLevelType w:val="hybridMultilevel"/>
    <w:tmpl w:val="6AC2EB94"/>
    <w:lvl w:ilvl="0" w:tplc="0C09001B">
      <w:start w:val="1"/>
      <w:numFmt w:val="lowerRoman"/>
      <w:lvlText w:val="%1."/>
      <w:lvlJc w:val="righ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3">
    <w:nsid w:val="374C27BE"/>
    <w:multiLevelType w:val="hybridMultilevel"/>
    <w:tmpl w:val="9B521C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C554A3D"/>
    <w:multiLevelType w:val="multilevel"/>
    <w:tmpl w:val="D3367A46"/>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C857931"/>
    <w:multiLevelType w:val="singleLevel"/>
    <w:tmpl w:val="64462D2E"/>
    <w:lvl w:ilvl="0">
      <w:start w:val="1"/>
      <w:numFmt w:val="upperRoman"/>
      <w:lvlRestart w:val="0"/>
      <w:pStyle w:val="AppendixGHeading3"/>
      <w:lvlText w:val="%1."/>
      <w:lvlJc w:val="left"/>
      <w:pPr>
        <w:tabs>
          <w:tab w:val="num" w:pos="567"/>
        </w:tabs>
        <w:ind w:left="567" w:hanging="567"/>
      </w:pPr>
      <w:rPr>
        <w:rFonts w:ascii="Arial" w:hAnsi="Arial" w:cs="Arial"/>
        <w:b/>
        <w:i w:val="0"/>
        <w:sz w:val="22"/>
      </w:rPr>
    </w:lvl>
  </w:abstractNum>
  <w:abstractNum w:abstractNumId="16">
    <w:nsid w:val="42865AEC"/>
    <w:multiLevelType w:val="hybridMultilevel"/>
    <w:tmpl w:val="3DA8A94C"/>
    <w:lvl w:ilvl="0" w:tplc="66CE667E">
      <w:start w:val="1"/>
      <w:numFmt w:val="lowerLetter"/>
      <w:pStyle w:val="TableTextLeft-Alpha"/>
      <w:lvlText w:val="%1."/>
      <w:lvlJc w:val="left"/>
      <w:pPr>
        <w:tabs>
          <w:tab w:val="num" w:pos="567"/>
        </w:tabs>
        <w:ind w:left="567" w:hanging="283"/>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CE06931"/>
    <w:multiLevelType w:val="singleLevel"/>
    <w:tmpl w:val="0C090019"/>
    <w:styleLink w:val="BulletedList"/>
    <w:lvl w:ilvl="0">
      <w:start w:val="1"/>
      <w:numFmt w:val="lowerLetter"/>
      <w:lvlText w:val="%1."/>
      <w:lvlJc w:val="left"/>
      <w:pPr>
        <w:ind w:left="360" w:hanging="360"/>
      </w:pPr>
      <w:rPr>
        <w:rFonts w:hint="default"/>
        <w:b w:val="0"/>
        <w:i w:val="0"/>
        <w:sz w:val="16"/>
      </w:rPr>
    </w:lvl>
  </w:abstractNum>
  <w:abstractNum w:abstractNumId="18">
    <w:nsid w:val="58101827"/>
    <w:multiLevelType w:val="multilevel"/>
    <w:tmpl w:val="B224893A"/>
    <w:name w:val="BoxBulletedList"/>
    <w:lvl w:ilvl="0">
      <w:start w:val="1"/>
      <w:numFmt w:val="bullet"/>
      <w:lvlRestart w:val="0"/>
      <w:pStyle w:val="BoxBullet"/>
      <w:lvlText w:val="•"/>
      <w:lvlJc w:val="left"/>
      <w:pPr>
        <w:tabs>
          <w:tab w:val="num" w:pos="854"/>
        </w:tabs>
        <w:ind w:left="854" w:hanging="283"/>
      </w:pPr>
      <w:rPr>
        <w:rFonts w:ascii="Times New Roman" w:hAnsi="Times New Roman" w:cs="Times New Roman"/>
        <w:b w:val="0"/>
        <w:i w:val="0"/>
        <w:sz w:val="20"/>
      </w:rPr>
    </w:lvl>
    <w:lvl w:ilvl="1">
      <w:start w:val="1"/>
      <w:numFmt w:val="bullet"/>
      <w:pStyle w:val="BoxDash"/>
      <w:lvlText w:val="–"/>
      <w:lvlJc w:val="left"/>
      <w:pPr>
        <w:tabs>
          <w:tab w:val="num" w:pos="1138"/>
        </w:tabs>
        <w:ind w:left="1138" w:hanging="284"/>
      </w:pPr>
      <w:rPr>
        <w:b w:val="0"/>
        <w:i w:val="0"/>
      </w:rPr>
    </w:lvl>
    <w:lvl w:ilvl="2">
      <w:start w:val="1"/>
      <w:numFmt w:val="bullet"/>
      <w:pStyle w:val="BoxDoubleDot"/>
      <w:lvlText w:val=":"/>
      <w:lvlJc w:val="left"/>
      <w:pPr>
        <w:tabs>
          <w:tab w:val="num" w:pos="1421"/>
        </w:tabs>
        <w:ind w:left="1421" w:hanging="283"/>
      </w:pPr>
      <w:rPr>
        <w:b w:val="0"/>
        <w:i w:val="0"/>
      </w:rPr>
    </w:lvl>
    <w:lvl w:ilvl="3">
      <w:start w:val="1"/>
      <w:numFmt w:val="decimal"/>
      <w:lvlText w:val="(%4)"/>
      <w:lvlJc w:val="left"/>
      <w:pPr>
        <w:tabs>
          <w:tab w:val="num" w:pos="2011"/>
        </w:tabs>
        <w:ind w:left="2011" w:hanging="360"/>
      </w:pPr>
      <w:rPr>
        <w:b w:val="0"/>
        <w:i w:val="0"/>
      </w:rPr>
    </w:lvl>
    <w:lvl w:ilvl="4">
      <w:start w:val="1"/>
      <w:numFmt w:val="lowerLetter"/>
      <w:lvlText w:val="(%5)"/>
      <w:lvlJc w:val="left"/>
      <w:pPr>
        <w:tabs>
          <w:tab w:val="num" w:pos="2371"/>
        </w:tabs>
        <w:ind w:left="2371" w:hanging="360"/>
      </w:pPr>
      <w:rPr>
        <w:b w:val="0"/>
        <w:i w:val="0"/>
      </w:rPr>
    </w:lvl>
    <w:lvl w:ilvl="5">
      <w:start w:val="1"/>
      <w:numFmt w:val="lowerRoman"/>
      <w:lvlText w:val="(%6)"/>
      <w:lvlJc w:val="left"/>
      <w:pPr>
        <w:tabs>
          <w:tab w:val="num" w:pos="2731"/>
        </w:tabs>
        <w:ind w:left="2731" w:hanging="360"/>
      </w:pPr>
      <w:rPr>
        <w:b w:val="0"/>
        <w:i w:val="0"/>
      </w:rPr>
    </w:lvl>
    <w:lvl w:ilvl="6">
      <w:start w:val="1"/>
      <w:numFmt w:val="decimal"/>
      <w:lvlText w:val="%7."/>
      <w:lvlJc w:val="left"/>
      <w:pPr>
        <w:tabs>
          <w:tab w:val="num" w:pos="3091"/>
        </w:tabs>
        <w:ind w:left="3091" w:hanging="360"/>
      </w:pPr>
      <w:rPr>
        <w:b w:val="0"/>
        <w:i w:val="0"/>
      </w:rPr>
    </w:lvl>
    <w:lvl w:ilvl="7">
      <w:start w:val="1"/>
      <w:numFmt w:val="lowerLetter"/>
      <w:lvlText w:val="%8."/>
      <w:lvlJc w:val="left"/>
      <w:pPr>
        <w:tabs>
          <w:tab w:val="num" w:pos="3451"/>
        </w:tabs>
        <w:ind w:left="3451" w:hanging="360"/>
      </w:pPr>
      <w:rPr>
        <w:b w:val="0"/>
        <w:i w:val="0"/>
      </w:rPr>
    </w:lvl>
    <w:lvl w:ilvl="8">
      <w:start w:val="1"/>
      <w:numFmt w:val="lowerRoman"/>
      <w:lvlText w:val="%9."/>
      <w:lvlJc w:val="left"/>
      <w:pPr>
        <w:tabs>
          <w:tab w:val="num" w:pos="3811"/>
        </w:tabs>
        <w:ind w:left="3811" w:hanging="360"/>
      </w:pPr>
      <w:rPr>
        <w:b w:val="0"/>
        <w:i w:val="0"/>
      </w:rPr>
    </w:lvl>
  </w:abstractNum>
  <w:abstractNum w:abstractNumId="19">
    <w:nsid w:val="58E21A3E"/>
    <w:multiLevelType w:val="hybridMultilevel"/>
    <w:tmpl w:val="C55C0C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5DB70EF2"/>
    <w:multiLevelType w:val="hybridMultilevel"/>
    <w:tmpl w:val="060C5B30"/>
    <w:lvl w:ilvl="0" w:tplc="9526523C">
      <w:start w:val="1"/>
      <w:numFmt w:val="bullet"/>
      <w:pStyle w:val="TableTextLeft-Dash"/>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2">
    <w:nsid w:val="5F580327"/>
    <w:multiLevelType w:val="hybridMultilevel"/>
    <w:tmpl w:val="22C2E876"/>
    <w:lvl w:ilvl="0" w:tplc="ACA4991E">
      <w:start w:val="1"/>
      <w:numFmt w:val="decimal"/>
      <w:pStyle w:val="TableTextLeft-Numbered"/>
      <w:lvlText w:val="%1."/>
      <w:lvlJc w:val="left"/>
      <w:pPr>
        <w:tabs>
          <w:tab w:val="num" w:pos="284"/>
        </w:tabs>
        <w:ind w:left="284" w:hanging="284"/>
      </w:pPr>
      <w:rPr>
        <w:rFonts w:ascii="Arial" w:hAnsi="Arial" w:cs="Arial" w:hint="default"/>
        <w:b w:val="0"/>
        <w:i w:val="0"/>
        <w:caps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8"/>
  </w:num>
  <w:num w:numId="5">
    <w:abstractNumId w:val="18"/>
  </w:num>
  <w:num w:numId="6">
    <w:abstractNumId w:val="3"/>
  </w:num>
  <w:num w:numId="7">
    <w:abstractNumId w:val="21"/>
  </w:num>
  <w:num w:numId="8">
    <w:abstractNumId w:val="7"/>
  </w:num>
  <w:num w:numId="9">
    <w:abstractNumId w:val="15"/>
  </w:num>
  <w:num w:numId="10">
    <w:abstractNumId w:val="11"/>
  </w:num>
  <w:num w:numId="11">
    <w:abstractNumId w:val="6"/>
  </w:num>
  <w:num w:numId="12">
    <w:abstractNumId w:val="9"/>
  </w:num>
  <w:num w:numId="13">
    <w:abstractNumId w:val="0"/>
  </w:num>
  <w:num w:numId="14">
    <w:abstractNumId w:val="20"/>
  </w:num>
  <w:num w:numId="15">
    <w:abstractNumId w:val="22"/>
  </w:num>
  <w:num w:numId="16">
    <w:abstractNumId w:val="16"/>
  </w:num>
  <w:num w:numId="17">
    <w:abstractNumId w:val="2"/>
  </w:num>
  <w:num w:numId="18">
    <w:abstractNumId w:val="22"/>
    <w:lvlOverride w:ilvl="0">
      <w:startOverride w:val="1"/>
    </w:lvlOverride>
  </w:num>
  <w:num w:numId="19">
    <w:abstractNumId w:val="16"/>
    <w:lvlOverride w:ilvl="0">
      <w:startOverride w:val="1"/>
    </w:lvlOverride>
  </w:num>
  <w:num w:numId="20">
    <w:abstractNumId w:val="17"/>
  </w:num>
  <w:num w:numId="21">
    <w:abstractNumId w:val="10"/>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3"/>
  </w:num>
  <w:num w:numId="38">
    <w:abstractNumId w:val="12"/>
  </w:num>
  <w:num w:numId="39">
    <w:abstractNumId w:val="19"/>
  </w:num>
  <w:num w:numId="40">
    <w:abstractNumId w:val="10"/>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evenAndOddHeaders/>
  <w:characterSpacingControl w:val="doNotCompress"/>
  <w:hdrShapeDefaults>
    <o:shapedefaults v:ext="edit" spidmax="2211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90"/>
    <w:rsid w:val="0000032F"/>
    <w:rsid w:val="000006B7"/>
    <w:rsid w:val="00001690"/>
    <w:rsid w:val="00001E5B"/>
    <w:rsid w:val="0000213F"/>
    <w:rsid w:val="000023DF"/>
    <w:rsid w:val="00002CFB"/>
    <w:rsid w:val="00002D0B"/>
    <w:rsid w:val="000030F3"/>
    <w:rsid w:val="000032BA"/>
    <w:rsid w:val="00003637"/>
    <w:rsid w:val="00003AB2"/>
    <w:rsid w:val="00003C3C"/>
    <w:rsid w:val="00003DA5"/>
    <w:rsid w:val="00005254"/>
    <w:rsid w:val="00005BF2"/>
    <w:rsid w:val="00005C80"/>
    <w:rsid w:val="0000630F"/>
    <w:rsid w:val="000074FD"/>
    <w:rsid w:val="00007F74"/>
    <w:rsid w:val="0001094E"/>
    <w:rsid w:val="00011A7A"/>
    <w:rsid w:val="00012994"/>
    <w:rsid w:val="00012D7A"/>
    <w:rsid w:val="00013758"/>
    <w:rsid w:val="0001397E"/>
    <w:rsid w:val="0001567F"/>
    <w:rsid w:val="000157DA"/>
    <w:rsid w:val="00015E33"/>
    <w:rsid w:val="00016281"/>
    <w:rsid w:val="000163B4"/>
    <w:rsid w:val="00016B01"/>
    <w:rsid w:val="000174E1"/>
    <w:rsid w:val="00017A40"/>
    <w:rsid w:val="00017AF5"/>
    <w:rsid w:val="00017DAB"/>
    <w:rsid w:val="0002007E"/>
    <w:rsid w:val="00020747"/>
    <w:rsid w:val="00020BD1"/>
    <w:rsid w:val="00021B65"/>
    <w:rsid w:val="00022091"/>
    <w:rsid w:val="00022564"/>
    <w:rsid w:val="00022939"/>
    <w:rsid w:val="00022E3C"/>
    <w:rsid w:val="00022FCE"/>
    <w:rsid w:val="000232BE"/>
    <w:rsid w:val="00023921"/>
    <w:rsid w:val="00023A60"/>
    <w:rsid w:val="00023FE4"/>
    <w:rsid w:val="00024A1C"/>
    <w:rsid w:val="00024D66"/>
    <w:rsid w:val="00025F97"/>
    <w:rsid w:val="000260C5"/>
    <w:rsid w:val="000260C7"/>
    <w:rsid w:val="00026747"/>
    <w:rsid w:val="000301AA"/>
    <w:rsid w:val="0003032A"/>
    <w:rsid w:val="00030541"/>
    <w:rsid w:val="000309C9"/>
    <w:rsid w:val="00031150"/>
    <w:rsid w:val="0003127F"/>
    <w:rsid w:val="00031C40"/>
    <w:rsid w:val="00031FDF"/>
    <w:rsid w:val="00032807"/>
    <w:rsid w:val="000338FA"/>
    <w:rsid w:val="00035374"/>
    <w:rsid w:val="00035390"/>
    <w:rsid w:val="00036378"/>
    <w:rsid w:val="000372A5"/>
    <w:rsid w:val="00040110"/>
    <w:rsid w:val="0004068E"/>
    <w:rsid w:val="000406E8"/>
    <w:rsid w:val="0004134E"/>
    <w:rsid w:val="00041B24"/>
    <w:rsid w:val="0004232B"/>
    <w:rsid w:val="00042860"/>
    <w:rsid w:val="00043245"/>
    <w:rsid w:val="00043277"/>
    <w:rsid w:val="00043471"/>
    <w:rsid w:val="00043DCF"/>
    <w:rsid w:val="00043E0B"/>
    <w:rsid w:val="000444B2"/>
    <w:rsid w:val="0004466A"/>
    <w:rsid w:val="0004504D"/>
    <w:rsid w:val="000464B9"/>
    <w:rsid w:val="00047155"/>
    <w:rsid w:val="00047203"/>
    <w:rsid w:val="0004782A"/>
    <w:rsid w:val="00047B4C"/>
    <w:rsid w:val="00050B9B"/>
    <w:rsid w:val="00050BB3"/>
    <w:rsid w:val="00050DF4"/>
    <w:rsid w:val="00051726"/>
    <w:rsid w:val="000519EE"/>
    <w:rsid w:val="00051C9F"/>
    <w:rsid w:val="00052DCF"/>
    <w:rsid w:val="00053159"/>
    <w:rsid w:val="00053214"/>
    <w:rsid w:val="0005336A"/>
    <w:rsid w:val="00053610"/>
    <w:rsid w:val="00054CB5"/>
    <w:rsid w:val="00054D36"/>
    <w:rsid w:val="00055686"/>
    <w:rsid w:val="00056107"/>
    <w:rsid w:val="000561B1"/>
    <w:rsid w:val="000561F7"/>
    <w:rsid w:val="00056F17"/>
    <w:rsid w:val="00057065"/>
    <w:rsid w:val="00057518"/>
    <w:rsid w:val="00057709"/>
    <w:rsid w:val="00057A21"/>
    <w:rsid w:val="00057C85"/>
    <w:rsid w:val="00060000"/>
    <w:rsid w:val="000601BC"/>
    <w:rsid w:val="0006065F"/>
    <w:rsid w:val="00061CAE"/>
    <w:rsid w:val="00062B86"/>
    <w:rsid w:val="00062E54"/>
    <w:rsid w:val="00063380"/>
    <w:rsid w:val="000633BA"/>
    <w:rsid w:val="00063A0A"/>
    <w:rsid w:val="00063D85"/>
    <w:rsid w:val="0006425E"/>
    <w:rsid w:val="000654BF"/>
    <w:rsid w:val="00065AC7"/>
    <w:rsid w:val="00066513"/>
    <w:rsid w:val="00067920"/>
    <w:rsid w:val="00067A11"/>
    <w:rsid w:val="00067E35"/>
    <w:rsid w:val="00067EB7"/>
    <w:rsid w:val="000703F0"/>
    <w:rsid w:val="00070665"/>
    <w:rsid w:val="00071729"/>
    <w:rsid w:val="000717D1"/>
    <w:rsid w:val="00071D4D"/>
    <w:rsid w:val="000726CA"/>
    <w:rsid w:val="00072DB2"/>
    <w:rsid w:val="00072E56"/>
    <w:rsid w:val="00072F46"/>
    <w:rsid w:val="00073375"/>
    <w:rsid w:val="000734E0"/>
    <w:rsid w:val="00073DE2"/>
    <w:rsid w:val="0007445A"/>
    <w:rsid w:val="000748CF"/>
    <w:rsid w:val="00074DE2"/>
    <w:rsid w:val="00074F8A"/>
    <w:rsid w:val="00075864"/>
    <w:rsid w:val="0007592B"/>
    <w:rsid w:val="0007597F"/>
    <w:rsid w:val="00075A7B"/>
    <w:rsid w:val="00075C20"/>
    <w:rsid w:val="00077163"/>
    <w:rsid w:val="0007791A"/>
    <w:rsid w:val="0008090A"/>
    <w:rsid w:val="00080BB8"/>
    <w:rsid w:val="000815B4"/>
    <w:rsid w:val="000817B9"/>
    <w:rsid w:val="00081949"/>
    <w:rsid w:val="00081E13"/>
    <w:rsid w:val="00081E6F"/>
    <w:rsid w:val="00082998"/>
    <w:rsid w:val="00082D66"/>
    <w:rsid w:val="00083258"/>
    <w:rsid w:val="00083806"/>
    <w:rsid w:val="00083B73"/>
    <w:rsid w:val="00083C71"/>
    <w:rsid w:val="00083FDD"/>
    <w:rsid w:val="000842F2"/>
    <w:rsid w:val="0008458A"/>
    <w:rsid w:val="00084874"/>
    <w:rsid w:val="000848B3"/>
    <w:rsid w:val="00084D58"/>
    <w:rsid w:val="00084D64"/>
    <w:rsid w:val="00086118"/>
    <w:rsid w:val="00086577"/>
    <w:rsid w:val="00086883"/>
    <w:rsid w:val="0008694D"/>
    <w:rsid w:val="00086E07"/>
    <w:rsid w:val="000870F7"/>
    <w:rsid w:val="00087356"/>
    <w:rsid w:val="00090101"/>
    <w:rsid w:val="00090428"/>
    <w:rsid w:val="0009058D"/>
    <w:rsid w:val="00090B0A"/>
    <w:rsid w:val="00091009"/>
    <w:rsid w:val="00091774"/>
    <w:rsid w:val="00091ADD"/>
    <w:rsid w:val="00091EE0"/>
    <w:rsid w:val="000928CD"/>
    <w:rsid w:val="0009294E"/>
    <w:rsid w:val="00092D86"/>
    <w:rsid w:val="00093689"/>
    <w:rsid w:val="000937FF"/>
    <w:rsid w:val="00093BE7"/>
    <w:rsid w:val="00093C7E"/>
    <w:rsid w:val="00093FC8"/>
    <w:rsid w:val="000940C9"/>
    <w:rsid w:val="000946F5"/>
    <w:rsid w:val="00094B5A"/>
    <w:rsid w:val="00095342"/>
    <w:rsid w:val="00095ADC"/>
    <w:rsid w:val="0009655C"/>
    <w:rsid w:val="000965B9"/>
    <w:rsid w:val="000965D7"/>
    <w:rsid w:val="00096C29"/>
    <w:rsid w:val="00097EB9"/>
    <w:rsid w:val="000A0D2C"/>
    <w:rsid w:val="000A1D79"/>
    <w:rsid w:val="000A1F0F"/>
    <w:rsid w:val="000A1FDA"/>
    <w:rsid w:val="000A2585"/>
    <w:rsid w:val="000A2C66"/>
    <w:rsid w:val="000A2E77"/>
    <w:rsid w:val="000A2FE7"/>
    <w:rsid w:val="000A368C"/>
    <w:rsid w:val="000A3912"/>
    <w:rsid w:val="000A39B0"/>
    <w:rsid w:val="000A4100"/>
    <w:rsid w:val="000A477A"/>
    <w:rsid w:val="000A5379"/>
    <w:rsid w:val="000A5C1D"/>
    <w:rsid w:val="000A66B4"/>
    <w:rsid w:val="000A75BC"/>
    <w:rsid w:val="000B01B8"/>
    <w:rsid w:val="000B10F3"/>
    <w:rsid w:val="000B2097"/>
    <w:rsid w:val="000B2563"/>
    <w:rsid w:val="000B2AC5"/>
    <w:rsid w:val="000B3062"/>
    <w:rsid w:val="000B3782"/>
    <w:rsid w:val="000B3A88"/>
    <w:rsid w:val="000B3D38"/>
    <w:rsid w:val="000B3FBB"/>
    <w:rsid w:val="000B450C"/>
    <w:rsid w:val="000B4C35"/>
    <w:rsid w:val="000B4CB0"/>
    <w:rsid w:val="000B4E18"/>
    <w:rsid w:val="000B5060"/>
    <w:rsid w:val="000B51B1"/>
    <w:rsid w:val="000B5BC7"/>
    <w:rsid w:val="000B602E"/>
    <w:rsid w:val="000B64A2"/>
    <w:rsid w:val="000B6E82"/>
    <w:rsid w:val="000B6FB7"/>
    <w:rsid w:val="000B7093"/>
    <w:rsid w:val="000B79B5"/>
    <w:rsid w:val="000C0FAA"/>
    <w:rsid w:val="000C11CC"/>
    <w:rsid w:val="000C12FF"/>
    <w:rsid w:val="000C17B2"/>
    <w:rsid w:val="000C25D6"/>
    <w:rsid w:val="000C376C"/>
    <w:rsid w:val="000C3B3A"/>
    <w:rsid w:val="000C41BE"/>
    <w:rsid w:val="000C4629"/>
    <w:rsid w:val="000C486F"/>
    <w:rsid w:val="000C4F2A"/>
    <w:rsid w:val="000C5797"/>
    <w:rsid w:val="000C5981"/>
    <w:rsid w:val="000C5CDF"/>
    <w:rsid w:val="000C5E3A"/>
    <w:rsid w:val="000C60F7"/>
    <w:rsid w:val="000C6516"/>
    <w:rsid w:val="000C652A"/>
    <w:rsid w:val="000C6C98"/>
    <w:rsid w:val="000C6ED9"/>
    <w:rsid w:val="000C763E"/>
    <w:rsid w:val="000D0AA3"/>
    <w:rsid w:val="000D0B84"/>
    <w:rsid w:val="000D14F5"/>
    <w:rsid w:val="000D3035"/>
    <w:rsid w:val="000D3CAC"/>
    <w:rsid w:val="000D3D34"/>
    <w:rsid w:val="000D4586"/>
    <w:rsid w:val="000D54CB"/>
    <w:rsid w:val="000D5A91"/>
    <w:rsid w:val="000D60A9"/>
    <w:rsid w:val="000D647A"/>
    <w:rsid w:val="000D64B8"/>
    <w:rsid w:val="000D6956"/>
    <w:rsid w:val="000D745C"/>
    <w:rsid w:val="000D77C7"/>
    <w:rsid w:val="000D78DD"/>
    <w:rsid w:val="000D7D57"/>
    <w:rsid w:val="000E0ACE"/>
    <w:rsid w:val="000E0E64"/>
    <w:rsid w:val="000E1415"/>
    <w:rsid w:val="000E1D56"/>
    <w:rsid w:val="000E2B76"/>
    <w:rsid w:val="000E2DB7"/>
    <w:rsid w:val="000E3381"/>
    <w:rsid w:val="000E362B"/>
    <w:rsid w:val="000E3878"/>
    <w:rsid w:val="000E39E6"/>
    <w:rsid w:val="000E4173"/>
    <w:rsid w:val="000E42BD"/>
    <w:rsid w:val="000E4CE1"/>
    <w:rsid w:val="000E4E8B"/>
    <w:rsid w:val="000E5CDA"/>
    <w:rsid w:val="000E60C8"/>
    <w:rsid w:val="000E6119"/>
    <w:rsid w:val="000E646B"/>
    <w:rsid w:val="000E65A3"/>
    <w:rsid w:val="000E67C2"/>
    <w:rsid w:val="000E7D54"/>
    <w:rsid w:val="000F13DD"/>
    <w:rsid w:val="000F259B"/>
    <w:rsid w:val="000F3E19"/>
    <w:rsid w:val="000F40B7"/>
    <w:rsid w:val="000F46DE"/>
    <w:rsid w:val="000F4E78"/>
    <w:rsid w:val="000F52B1"/>
    <w:rsid w:val="000F5714"/>
    <w:rsid w:val="000F5F42"/>
    <w:rsid w:val="000F604B"/>
    <w:rsid w:val="000F665C"/>
    <w:rsid w:val="000F68EA"/>
    <w:rsid w:val="000F6E96"/>
    <w:rsid w:val="000F79C4"/>
    <w:rsid w:val="000F7F48"/>
    <w:rsid w:val="00100693"/>
    <w:rsid w:val="00100E6B"/>
    <w:rsid w:val="00101162"/>
    <w:rsid w:val="001012F7"/>
    <w:rsid w:val="001024A0"/>
    <w:rsid w:val="00103303"/>
    <w:rsid w:val="001035D8"/>
    <w:rsid w:val="00103A24"/>
    <w:rsid w:val="00103F71"/>
    <w:rsid w:val="00105A2D"/>
    <w:rsid w:val="00106EC8"/>
    <w:rsid w:val="001074F5"/>
    <w:rsid w:val="001103F1"/>
    <w:rsid w:val="001107F0"/>
    <w:rsid w:val="00110A3C"/>
    <w:rsid w:val="00110C49"/>
    <w:rsid w:val="00110CBA"/>
    <w:rsid w:val="0011121F"/>
    <w:rsid w:val="00111474"/>
    <w:rsid w:val="001128AF"/>
    <w:rsid w:val="00112D74"/>
    <w:rsid w:val="00113934"/>
    <w:rsid w:val="0011412C"/>
    <w:rsid w:val="00114E0F"/>
    <w:rsid w:val="0011524A"/>
    <w:rsid w:val="00115641"/>
    <w:rsid w:val="00115F83"/>
    <w:rsid w:val="00115FE0"/>
    <w:rsid w:val="0011639A"/>
    <w:rsid w:val="001164B7"/>
    <w:rsid w:val="0011650B"/>
    <w:rsid w:val="0011713F"/>
    <w:rsid w:val="00117926"/>
    <w:rsid w:val="0011796F"/>
    <w:rsid w:val="0012058E"/>
    <w:rsid w:val="001222F9"/>
    <w:rsid w:val="00123066"/>
    <w:rsid w:val="001239A5"/>
    <w:rsid w:val="00123BDB"/>
    <w:rsid w:val="00123C75"/>
    <w:rsid w:val="00123D6B"/>
    <w:rsid w:val="0012427E"/>
    <w:rsid w:val="0012484C"/>
    <w:rsid w:val="00124876"/>
    <w:rsid w:val="00124EDA"/>
    <w:rsid w:val="00124FC9"/>
    <w:rsid w:val="001254A4"/>
    <w:rsid w:val="001255C8"/>
    <w:rsid w:val="001256AB"/>
    <w:rsid w:val="00125CBE"/>
    <w:rsid w:val="001268E1"/>
    <w:rsid w:val="0012696B"/>
    <w:rsid w:val="00126D37"/>
    <w:rsid w:val="001272E3"/>
    <w:rsid w:val="00127535"/>
    <w:rsid w:val="001277D5"/>
    <w:rsid w:val="00127857"/>
    <w:rsid w:val="00130A46"/>
    <w:rsid w:val="001312EC"/>
    <w:rsid w:val="001314E6"/>
    <w:rsid w:val="001318DB"/>
    <w:rsid w:val="00131B37"/>
    <w:rsid w:val="0013219D"/>
    <w:rsid w:val="001321ED"/>
    <w:rsid w:val="00133BE2"/>
    <w:rsid w:val="00134A51"/>
    <w:rsid w:val="00134DCA"/>
    <w:rsid w:val="00135346"/>
    <w:rsid w:val="00135472"/>
    <w:rsid w:val="00135D87"/>
    <w:rsid w:val="001363F1"/>
    <w:rsid w:val="001366ED"/>
    <w:rsid w:val="00136A86"/>
    <w:rsid w:val="00137C2A"/>
    <w:rsid w:val="00140541"/>
    <w:rsid w:val="0014100F"/>
    <w:rsid w:val="00141121"/>
    <w:rsid w:val="00141AE9"/>
    <w:rsid w:val="00142864"/>
    <w:rsid w:val="00145988"/>
    <w:rsid w:val="00146122"/>
    <w:rsid w:val="001464B6"/>
    <w:rsid w:val="00146E19"/>
    <w:rsid w:val="00147967"/>
    <w:rsid w:val="00147B65"/>
    <w:rsid w:val="00147CFE"/>
    <w:rsid w:val="001500EF"/>
    <w:rsid w:val="00151602"/>
    <w:rsid w:val="0015169F"/>
    <w:rsid w:val="00151CED"/>
    <w:rsid w:val="00152689"/>
    <w:rsid w:val="001527BB"/>
    <w:rsid w:val="00153C1C"/>
    <w:rsid w:val="0015450A"/>
    <w:rsid w:val="001551AC"/>
    <w:rsid w:val="00155563"/>
    <w:rsid w:val="001560AA"/>
    <w:rsid w:val="001562C7"/>
    <w:rsid w:val="001578BA"/>
    <w:rsid w:val="00160A76"/>
    <w:rsid w:val="001614A7"/>
    <w:rsid w:val="0016181F"/>
    <w:rsid w:val="00162AA3"/>
    <w:rsid w:val="00162F3E"/>
    <w:rsid w:val="0016359F"/>
    <w:rsid w:val="00163759"/>
    <w:rsid w:val="00163F60"/>
    <w:rsid w:val="001650AA"/>
    <w:rsid w:val="00165432"/>
    <w:rsid w:val="001657C6"/>
    <w:rsid w:val="0016606D"/>
    <w:rsid w:val="00166388"/>
    <w:rsid w:val="0016671D"/>
    <w:rsid w:val="001669F7"/>
    <w:rsid w:val="00167F01"/>
    <w:rsid w:val="0017028E"/>
    <w:rsid w:val="001705D4"/>
    <w:rsid w:val="00170890"/>
    <w:rsid w:val="0017103C"/>
    <w:rsid w:val="00171892"/>
    <w:rsid w:val="00171E77"/>
    <w:rsid w:val="00172229"/>
    <w:rsid w:val="00172920"/>
    <w:rsid w:val="00173FF3"/>
    <w:rsid w:val="001753D1"/>
    <w:rsid w:val="00175804"/>
    <w:rsid w:val="00175A21"/>
    <w:rsid w:val="00176290"/>
    <w:rsid w:val="00177029"/>
    <w:rsid w:val="0017742E"/>
    <w:rsid w:val="0017766B"/>
    <w:rsid w:val="00177BFD"/>
    <w:rsid w:val="00177F07"/>
    <w:rsid w:val="00181C5F"/>
    <w:rsid w:val="001821FD"/>
    <w:rsid w:val="00182303"/>
    <w:rsid w:val="00183798"/>
    <w:rsid w:val="00183986"/>
    <w:rsid w:val="00183C8B"/>
    <w:rsid w:val="0018416A"/>
    <w:rsid w:val="001842A4"/>
    <w:rsid w:val="00184712"/>
    <w:rsid w:val="00185141"/>
    <w:rsid w:val="001854BD"/>
    <w:rsid w:val="00185B18"/>
    <w:rsid w:val="00186BCD"/>
    <w:rsid w:val="00186C7D"/>
    <w:rsid w:val="001870BA"/>
    <w:rsid w:val="00187C56"/>
    <w:rsid w:val="0019025D"/>
    <w:rsid w:val="001914A0"/>
    <w:rsid w:val="001917DD"/>
    <w:rsid w:val="0019191A"/>
    <w:rsid w:val="00192064"/>
    <w:rsid w:val="00192F08"/>
    <w:rsid w:val="001938CE"/>
    <w:rsid w:val="00193FE7"/>
    <w:rsid w:val="0019439A"/>
    <w:rsid w:val="00194932"/>
    <w:rsid w:val="00194BE0"/>
    <w:rsid w:val="00194CF8"/>
    <w:rsid w:val="00195749"/>
    <w:rsid w:val="00195C31"/>
    <w:rsid w:val="001974A5"/>
    <w:rsid w:val="001A001B"/>
    <w:rsid w:val="001A064A"/>
    <w:rsid w:val="001A088A"/>
    <w:rsid w:val="001A0C84"/>
    <w:rsid w:val="001A0EF3"/>
    <w:rsid w:val="001A136D"/>
    <w:rsid w:val="001A155D"/>
    <w:rsid w:val="001A2213"/>
    <w:rsid w:val="001A2937"/>
    <w:rsid w:val="001A2DD6"/>
    <w:rsid w:val="001A2E52"/>
    <w:rsid w:val="001A35EA"/>
    <w:rsid w:val="001A43BE"/>
    <w:rsid w:val="001A4897"/>
    <w:rsid w:val="001A4BD0"/>
    <w:rsid w:val="001A59C3"/>
    <w:rsid w:val="001A5AB1"/>
    <w:rsid w:val="001A694E"/>
    <w:rsid w:val="001A6AF4"/>
    <w:rsid w:val="001A6E1E"/>
    <w:rsid w:val="001A71FF"/>
    <w:rsid w:val="001A7732"/>
    <w:rsid w:val="001B0C8F"/>
    <w:rsid w:val="001B0E1C"/>
    <w:rsid w:val="001B185A"/>
    <w:rsid w:val="001B1BC6"/>
    <w:rsid w:val="001B2778"/>
    <w:rsid w:val="001B2B9B"/>
    <w:rsid w:val="001B30AC"/>
    <w:rsid w:val="001B3347"/>
    <w:rsid w:val="001B3D44"/>
    <w:rsid w:val="001B49AC"/>
    <w:rsid w:val="001B5DE2"/>
    <w:rsid w:val="001B6C29"/>
    <w:rsid w:val="001B7815"/>
    <w:rsid w:val="001B7F9E"/>
    <w:rsid w:val="001C0821"/>
    <w:rsid w:val="001C0B06"/>
    <w:rsid w:val="001C0D7B"/>
    <w:rsid w:val="001C1022"/>
    <w:rsid w:val="001C12C7"/>
    <w:rsid w:val="001C1A1F"/>
    <w:rsid w:val="001C2B14"/>
    <w:rsid w:val="001C2C73"/>
    <w:rsid w:val="001C35F5"/>
    <w:rsid w:val="001C3AA7"/>
    <w:rsid w:val="001C4B97"/>
    <w:rsid w:val="001C4CC8"/>
    <w:rsid w:val="001C4F05"/>
    <w:rsid w:val="001C50A1"/>
    <w:rsid w:val="001C5385"/>
    <w:rsid w:val="001C5A99"/>
    <w:rsid w:val="001C5B0F"/>
    <w:rsid w:val="001C6411"/>
    <w:rsid w:val="001C671A"/>
    <w:rsid w:val="001C77E9"/>
    <w:rsid w:val="001C7975"/>
    <w:rsid w:val="001D180E"/>
    <w:rsid w:val="001D1CD2"/>
    <w:rsid w:val="001D2365"/>
    <w:rsid w:val="001D2F09"/>
    <w:rsid w:val="001D3373"/>
    <w:rsid w:val="001D394F"/>
    <w:rsid w:val="001D417E"/>
    <w:rsid w:val="001D44A2"/>
    <w:rsid w:val="001D4F31"/>
    <w:rsid w:val="001D59EA"/>
    <w:rsid w:val="001D65FC"/>
    <w:rsid w:val="001D74C1"/>
    <w:rsid w:val="001E1331"/>
    <w:rsid w:val="001E15AD"/>
    <w:rsid w:val="001E2A94"/>
    <w:rsid w:val="001E30B0"/>
    <w:rsid w:val="001E3AD5"/>
    <w:rsid w:val="001E4BD2"/>
    <w:rsid w:val="001E5094"/>
    <w:rsid w:val="001E5C8B"/>
    <w:rsid w:val="001E6131"/>
    <w:rsid w:val="001E680F"/>
    <w:rsid w:val="001E6D5E"/>
    <w:rsid w:val="001E7999"/>
    <w:rsid w:val="001F02F5"/>
    <w:rsid w:val="001F0BC0"/>
    <w:rsid w:val="001F0CC4"/>
    <w:rsid w:val="001F1E7B"/>
    <w:rsid w:val="001F1F4F"/>
    <w:rsid w:val="001F363F"/>
    <w:rsid w:val="001F3CA4"/>
    <w:rsid w:val="001F4765"/>
    <w:rsid w:val="001F51A1"/>
    <w:rsid w:val="001F5C7B"/>
    <w:rsid w:val="001F5D8D"/>
    <w:rsid w:val="001F5DE2"/>
    <w:rsid w:val="001F6867"/>
    <w:rsid w:val="001F73C0"/>
    <w:rsid w:val="002003F0"/>
    <w:rsid w:val="002010B3"/>
    <w:rsid w:val="00201941"/>
    <w:rsid w:val="0020208C"/>
    <w:rsid w:val="002024A3"/>
    <w:rsid w:val="002025C1"/>
    <w:rsid w:val="00203210"/>
    <w:rsid w:val="00203544"/>
    <w:rsid w:val="00203838"/>
    <w:rsid w:val="0020383B"/>
    <w:rsid w:val="00203AA8"/>
    <w:rsid w:val="00203E58"/>
    <w:rsid w:val="00204420"/>
    <w:rsid w:val="002048F0"/>
    <w:rsid w:val="00204B71"/>
    <w:rsid w:val="00204E10"/>
    <w:rsid w:val="002052C4"/>
    <w:rsid w:val="00206F8B"/>
    <w:rsid w:val="00207288"/>
    <w:rsid w:val="00207783"/>
    <w:rsid w:val="002077BD"/>
    <w:rsid w:val="00207B9A"/>
    <w:rsid w:val="00207C2A"/>
    <w:rsid w:val="00210E83"/>
    <w:rsid w:val="002110D0"/>
    <w:rsid w:val="00211597"/>
    <w:rsid w:val="002116A3"/>
    <w:rsid w:val="0021179A"/>
    <w:rsid w:val="00211A9E"/>
    <w:rsid w:val="00211FBB"/>
    <w:rsid w:val="00212F41"/>
    <w:rsid w:val="002135D3"/>
    <w:rsid w:val="00217E09"/>
    <w:rsid w:val="002203F4"/>
    <w:rsid w:val="00220A87"/>
    <w:rsid w:val="002215DE"/>
    <w:rsid w:val="00221663"/>
    <w:rsid w:val="0022199C"/>
    <w:rsid w:val="002229ED"/>
    <w:rsid w:val="00222E6A"/>
    <w:rsid w:val="00222EDB"/>
    <w:rsid w:val="00223142"/>
    <w:rsid w:val="002236B4"/>
    <w:rsid w:val="002247CC"/>
    <w:rsid w:val="00224BF5"/>
    <w:rsid w:val="002253CC"/>
    <w:rsid w:val="00226004"/>
    <w:rsid w:val="00226929"/>
    <w:rsid w:val="00227326"/>
    <w:rsid w:val="00227A3D"/>
    <w:rsid w:val="00227D4B"/>
    <w:rsid w:val="00230CDD"/>
    <w:rsid w:val="00230D43"/>
    <w:rsid w:val="00232CEC"/>
    <w:rsid w:val="002339AE"/>
    <w:rsid w:val="00233B36"/>
    <w:rsid w:val="00233B41"/>
    <w:rsid w:val="00233EB9"/>
    <w:rsid w:val="00234738"/>
    <w:rsid w:val="002349D3"/>
    <w:rsid w:val="0023551A"/>
    <w:rsid w:val="00235634"/>
    <w:rsid w:val="00236463"/>
    <w:rsid w:val="002367E0"/>
    <w:rsid w:val="00237165"/>
    <w:rsid w:val="00237A06"/>
    <w:rsid w:val="00240A80"/>
    <w:rsid w:val="00240CA1"/>
    <w:rsid w:val="00241920"/>
    <w:rsid w:val="00241E7E"/>
    <w:rsid w:val="002423FF"/>
    <w:rsid w:val="0024414F"/>
    <w:rsid w:val="002452F0"/>
    <w:rsid w:val="0024556B"/>
    <w:rsid w:val="00245673"/>
    <w:rsid w:val="00246CA5"/>
    <w:rsid w:val="00247765"/>
    <w:rsid w:val="00247B1A"/>
    <w:rsid w:val="00247C7D"/>
    <w:rsid w:val="002503CE"/>
    <w:rsid w:val="00250900"/>
    <w:rsid w:val="00250A4E"/>
    <w:rsid w:val="00250A83"/>
    <w:rsid w:val="00250C34"/>
    <w:rsid w:val="00250EA9"/>
    <w:rsid w:val="00251161"/>
    <w:rsid w:val="0025116B"/>
    <w:rsid w:val="00252A02"/>
    <w:rsid w:val="002531B1"/>
    <w:rsid w:val="0025381D"/>
    <w:rsid w:val="00253BBD"/>
    <w:rsid w:val="0025427D"/>
    <w:rsid w:val="0025474A"/>
    <w:rsid w:val="00254BCD"/>
    <w:rsid w:val="00255B4D"/>
    <w:rsid w:val="00255BAE"/>
    <w:rsid w:val="0025756D"/>
    <w:rsid w:val="00257B83"/>
    <w:rsid w:val="00257D8B"/>
    <w:rsid w:val="002608DB"/>
    <w:rsid w:val="00260BBE"/>
    <w:rsid w:val="00260D14"/>
    <w:rsid w:val="00260E5B"/>
    <w:rsid w:val="002635CB"/>
    <w:rsid w:val="0026444B"/>
    <w:rsid w:val="002648AB"/>
    <w:rsid w:val="0026533B"/>
    <w:rsid w:val="002653B1"/>
    <w:rsid w:val="00265C87"/>
    <w:rsid w:val="0026643E"/>
    <w:rsid w:val="00266D76"/>
    <w:rsid w:val="00266ED4"/>
    <w:rsid w:val="002672A4"/>
    <w:rsid w:val="002675DE"/>
    <w:rsid w:val="0026797D"/>
    <w:rsid w:val="00267E75"/>
    <w:rsid w:val="002701FE"/>
    <w:rsid w:val="00270A9E"/>
    <w:rsid w:val="002710EB"/>
    <w:rsid w:val="002716F8"/>
    <w:rsid w:val="00271991"/>
    <w:rsid w:val="00271AB4"/>
    <w:rsid w:val="0027212E"/>
    <w:rsid w:val="00272607"/>
    <w:rsid w:val="00272742"/>
    <w:rsid w:val="0027285E"/>
    <w:rsid w:val="0027294A"/>
    <w:rsid w:val="00273285"/>
    <w:rsid w:val="00273453"/>
    <w:rsid w:val="00273EAF"/>
    <w:rsid w:val="002746B6"/>
    <w:rsid w:val="002746CB"/>
    <w:rsid w:val="00274A80"/>
    <w:rsid w:val="00275145"/>
    <w:rsid w:val="0027589C"/>
    <w:rsid w:val="00276D33"/>
    <w:rsid w:val="00276E17"/>
    <w:rsid w:val="00277354"/>
    <w:rsid w:val="002774B9"/>
    <w:rsid w:val="00277877"/>
    <w:rsid w:val="002778B0"/>
    <w:rsid w:val="00280D80"/>
    <w:rsid w:val="002827E3"/>
    <w:rsid w:val="00282CA9"/>
    <w:rsid w:val="0028390C"/>
    <w:rsid w:val="00283AFA"/>
    <w:rsid w:val="00283BA4"/>
    <w:rsid w:val="0028405F"/>
    <w:rsid w:val="00284182"/>
    <w:rsid w:val="0028516E"/>
    <w:rsid w:val="00285359"/>
    <w:rsid w:val="00285616"/>
    <w:rsid w:val="00286090"/>
    <w:rsid w:val="002865D4"/>
    <w:rsid w:val="00286F89"/>
    <w:rsid w:val="0028753E"/>
    <w:rsid w:val="002878DD"/>
    <w:rsid w:val="0028794A"/>
    <w:rsid w:val="0029026A"/>
    <w:rsid w:val="00290623"/>
    <w:rsid w:val="00290641"/>
    <w:rsid w:val="002907DC"/>
    <w:rsid w:val="00290DF2"/>
    <w:rsid w:val="0029129A"/>
    <w:rsid w:val="002915AC"/>
    <w:rsid w:val="00292581"/>
    <w:rsid w:val="00292F9A"/>
    <w:rsid w:val="00293545"/>
    <w:rsid w:val="00293CC6"/>
    <w:rsid w:val="00294A63"/>
    <w:rsid w:val="00294CDC"/>
    <w:rsid w:val="00296081"/>
    <w:rsid w:val="00296847"/>
    <w:rsid w:val="002974C1"/>
    <w:rsid w:val="00297626"/>
    <w:rsid w:val="00297F9A"/>
    <w:rsid w:val="002A065E"/>
    <w:rsid w:val="002A07B9"/>
    <w:rsid w:val="002A0A4B"/>
    <w:rsid w:val="002A1050"/>
    <w:rsid w:val="002A160A"/>
    <w:rsid w:val="002A2434"/>
    <w:rsid w:val="002A2CA4"/>
    <w:rsid w:val="002A361E"/>
    <w:rsid w:val="002A36B5"/>
    <w:rsid w:val="002A3CAB"/>
    <w:rsid w:val="002A3EA7"/>
    <w:rsid w:val="002A4560"/>
    <w:rsid w:val="002A4B3D"/>
    <w:rsid w:val="002A4FC4"/>
    <w:rsid w:val="002A55A0"/>
    <w:rsid w:val="002A5CA7"/>
    <w:rsid w:val="002A68B4"/>
    <w:rsid w:val="002A6D18"/>
    <w:rsid w:val="002A733A"/>
    <w:rsid w:val="002A745D"/>
    <w:rsid w:val="002A76F7"/>
    <w:rsid w:val="002A792D"/>
    <w:rsid w:val="002B04F4"/>
    <w:rsid w:val="002B0765"/>
    <w:rsid w:val="002B0D5E"/>
    <w:rsid w:val="002B19B7"/>
    <w:rsid w:val="002B19D6"/>
    <w:rsid w:val="002B1ADA"/>
    <w:rsid w:val="002B29D0"/>
    <w:rsid w:val="002B2F71"/>
    <w:rsid w:val="002B3721"/>
    <w:rsid w:val="002B379E"/>
    <w:rsid w:val="002B3B20"/>
    <w:rsid w:val="002B3CFD"/>
    <w:rsid w:val="002B5B95"/>
    <w:rsid w:val="002B623F"/>
    <w:rsid w:val="002B65C7"/>
    <w:rsid w:val="002B68F5"/>
    <w:rsid w:val="002B736E"/>
    <w:rsid w:val="002B7CAB"/>
    <w:rsid w:val="002B7D42"/>
    <w:rsid w:val="002C0526"/>
    <w:rsid w:val="002C179B"/>
    <w:rsid w:val="002C17B9"/>
    <w:rsid w:val="002C22F4"/>
    <w:rsid w:val="002C24F8"/>
    <w:rsid w:val="002C2536"/>
    <w:rsid w:val="002C28A1"/>
    <w:rsid w:val="002C2958"/>
    <w:rsid w:val="002C2D66"/>
    <w:rsid w:val="002C347E"/>
    <w:rsid w:val="002C4126"/>
    <w:rsid w:val="002C6880"/>
    <w:rsid w:val="002C6C7E"/>
    <w:rsid w:val="002C6EEE"/>
    <w:rsid w:val="002C704D"/>
    <w:rsid w:val="002C752A"/>
    <w:rsid w:val="002C75B9"/>
    <w:rsid w:val="002C7E23"/>
    <w:rsid w:val="002D03A2"/>
    <w:rsid w:val="002D0AB1"/>
    <w:rsid w:val="002D0B2F"/>
    <w:rsid w:val="002D162E"/>
    <w:rsid w:val="002D19CC"/>
    <w:rsid w:val="002D2137"/>
    <w:rsid w:val="002D21F8"/>
    <w:rsid w:val="002D2440"/>
    <w:rsid w:val="002D2A56"/>
    <w:rsid w:val="002D2AD6"/>
    <w:rsid w:val="002D2F65"/>
    <w:rsid w:val="002D30FA"/>
    <w:rsid w:val="002D39B4"/>
    <w:rsid w:val="002D4991"/>
    <w:rsid w:val="002D512C"/>
    <w:rsid w:val="002D5234"/>
    <w:rsid w:val="002D52CD"/>
    <w:rsid w:val="002D52D5"/>
    <w:rsid w:val="002D54BF"/>
    <w:rsid w:val="002D55BA"/>
    <w:rsid w:val="002D5B7B"/>
    <w:rsid w:val="002D64D1"/>
    <w:rsid w:val="002D66F5"/>
    <w:rsid w:val="002D6A15"/>
    <w:rsid w:val="002E047E"/>
    <w:rsid w:val="002E0509"/>
    <w:rsid w:val="002E0BC8"/>
    <w:rsid w:val="002E0E49"/>
    <w:rsid w:val="002E1067"/>
    <w:rsid w:val="002E14AE"/>
    <w:rsid w:val="002E190A"/>
    <w:rsid w:val="002E1977"/>
    <w:rsid w:val="002E2040"/>
    <w:rsid w:val="002E29E8"/>
    <w:rsid w:val="002E2D5B"/>
    <w:rsid w:val="002E2DFD"/>
    <w:rsid w:val="002E3830"/>
    <w:rsid w:val="002E3A52"/>
    <w:rsid w:val="002E3ED3"/>
    <w:rsid w:val="002E3FB0"/>
    <w:rsid w:val="002E3FB5"/>
    <w:rsid w:val="002E441D"/>
    <w:rsid w:val="002E456B"/>
    <w:rsid w:val="002E4A55"/>
    <w:rsid w:val="002E4BC0"/>
    <w:rsid w:val="002E55E8"/>
    <w:rsid w:val="002E5A6A"/>
    <w:rsid w:val="002E5F9B"/>
    <w:rsid w:val="002E61ED"/>
    <w:rsid w:val="002E67B3"/>
    <w:rsid w:val="002E7926"/>
    <w:rsid w:val="002F08A3"/>
    <w:rsid w:val="002F0F77"/>
    <w:rsid w:val="002F11CD"/>
    <w:rsid w:val="002F1459"/>
    <w:rsid w:val="002F166A"/>
    <w:rsid w:val="002F1B8A"/>
    <w:rsid w:val="002F1D53"/>
    <w:rsid w:val="002F2A53"/>
    <w:rsid w:val="002F2C5B"/>
    <w:rsid w:val="002F2CF5"/>
    <w:rsid w:val="002F329C"/>
    <w:rsid w:val="002F34A8"/>
    <w:rsid w:val="002F3747"/>
    <w:rsid w:val="002F4213"/>
    <w:rsid w:val="002F468B"/>
    <w:rsid w:val="002F47F6"/>
    <w:rsid w:val="002F51CC"/>
    <w:rsid w:val="002F5440"/>
    <w:rsid w:val="002F5944"/>
    <w:rsid w:val="002F5A18"/>
    <w:rsid w:val="002F6618"/>
    <w:rsid w:val="002F6C60"/>
    <w:rsid w:val="002F6DE1"/>
    <w:rsid w:val="002F70FB"/>
    <w:rsid w:val="002F76C7"/>
    <w:rsid w:val="0030033A"/>
    <w:rsid w:val="003004FA"/>
    <w:rsid w:val="00300AE3"/>
    <w:rsid w:val="00301034"/>
    <w:rsid w:val="00301E65"/>
    <w:rsid w:val="003021D9"/>
    <w:rsid w:val="00302E6E"/>
    <w:rsid w:val="00303EB2"/>
    <w:rsid w:val="0030434E"/>
    <w:rsid w:val="0030436E"/>
    <w:rsid w:val="00304815"/>
    <w:rsid w:val="003052AB"/>
    <w:rsid w:val="003054BB"/>
    <w:rsid w:val="00305505"/>
    <w:rsid w:val="003061C4"/>
    <w:rsid w:val="003062F7"/>
    <w:rsid w:val="00306776"/>
    <w:rsid w:val="0030707C"/>
    <w:rsid w:val="00307675"/>
    <w:rsid w:val="00307B12"/>
    <w:rsid w:val="00307D00"/>
    <w:rsid w:val="00310CB4"/>
    <w:rsid w:val="00310DA3"/>
    <w:rsid w:val="003111D7"/>
    <w:rsid w:val="00312441"/>
    <w:rsid w:val="00312454"/>
    <w:rsid w:val="003127C0"/>
    <w:rsid w:val="00312888"/>
    <w:rsid w:val="00312EA2"/>
    <w:rsid w:val="00313714"/>
    <w:rsid w:val="003138F9"/>
    <w:rsid w:val="00314434"/>
    <w:rsid w:val="00314EA6"/>
    <w:rsid w:val="00314EFC"/>
    <w:rsid w:val="00314FBF"/>
    <w:rsid w:val="00315049"/>
    <w:rsid w:val="003158D6"/>
    <w:rsid w:val="003159F2"/>
    <w:rsid w:val="0031652A"/>
    <w:rsid w:val="00316F4C"/>
    <w:rsid w:val="00317A97"/>
    <w:rsid w:val="00317F37"/>
    <w:rsid w:val="00320724"/>
    <w:rsid w:val="0032076C"/>
    <w:rsid w:val="00320A01"/>
    <w:rsid w:val="00320B25"/>
    <w:rsid w:val="00320B55"/>
    <w:rsid w:val="0032130B"/>
    <w:rsid w:val="00321BFD"/>
    <w:rsid w:val="003224B4"/>
    <w:rsid w:val="003226DB"/>
    <w:rsid w:val="0032273B"/>
    <w:rsid w:val="00322FA7"/>
    <w:rsid w:val="0032339F"/>
    <w:rsid w:val="003239A8"/>
    <w:rsid w:val="00323B6A"/>
    <w:rsid w:val="00324BC4"/>
    <w:rsid w:val="0032544F"/>
    <w:rsid w:val="0032609B"/>
    <w:rsid w:val="00327352"/>
    <w:rsid w:val="00327785"/>
    <w:rsid w:val="00327B21"/>
    <w:rsid w:val="00327B3D"/>
    <w:rsid w:val="0033026E"/>
    <w:rsid w:val="00330FB3"/>
    <w:rsid w:val="00331C87"/>
    <w:rsid w:val="00332751"/>
    <w:rsid w:val="003329CB"/>
    <w:rsid w:val="00332B92"/>
    <w:rsid w:val="00332D6B"/>
    <w:rsid w:val="003330E3"/>
    <w:rsid w:val="00333376"/>
    <w:rsid w:val="00333629"/>
    <w:rsid w:val="00333CB5"/>
    <w:rsid w:val="00333E58"/>
    <w:rsid w:val="0033438A"/>
    <w:rsid w:val="00334945"/>
    <w:rsid w:val="00334D37"/>
    <w:rsid w:val="0033596E"/>
    <w:rsid w:val="0033695B"/>
    <w:rsid w:val="003374AD"/>
    <w:rsid w:val="00337E4D"/>
    <w:rsid w:val="00340103"/>
    <w:rsid w:val="00340219"/>
    <w:rsid w:val="003404AB"/>
    <w:rsid w:val="00340A25"/>
    <w:rsid w:val="00341514"/>
    <w:rsid w:val="0034212C"/>
    <w:rsid w:val="00342E1E"/>
    <w:rsid w:val="003435D8"/>
    <w:rsid w:val="003441AD"/>
    <w:rsid w:val="00345ACE"/>
    <w:rsid w:val="00346640"/>
    <w:rsid w:val="0034673B"/>
    <w:rsid w:val="0034686B"/>
    <w:rsid w:val="003471A7"/>
    <w:rsid w:val="00347204"/>
    <w:rsid w:val="00350BB1"/>
    <w:rsid w:val="00351185"/>
    <w:rsid w:val="0035171D"/>
    <w:rsid w:val="003522B2"/>
    <w:rsid w:val="00352EAC"/>
    <w:rsid w:val="00352FC4"/>
    <w:rsid w:val="00353623"/>
    <w:rsid w:val="003536C4"/>
    <w:rsid w:val="003553EE"/>
    <w:rsid w:val="00355830"/>
    <w:rsid w:val="00355D2D"/>
    <w:rsid w:val="00355FA4"/>
    <w:rsid w:val="00356160"/>
    <w:rsid w:val="00356D99"/>
    <w:rsid w:val="00356FD5"/>
    <w:rsid w:val="003577DA"/>
    <w:rsid w:val="00357D79"/>
    <w:rsid w:val="00357F68"/>
    <w:rsid w:val="00360164"/>
    <w:rsid w:val="0036086A"/>
    <w:rsid w:val="00360A2F"/>
    <w:rsid w:val="003616BB"/>
    <w:rsid w:val="003616D8"/>
    <w:rsid w:val="00361920"/>
    <w:rsid w:val="00361BFB"/>
    <w:rsid w:val="00361F0F"/>
    <w:rsid w:val="0036261B"/>
    <w:rsid w:val="00362EAD"/>
    <w:rsid w:val="003631F0"/>
    <w:rsid w:val="003637EF"/>
    <w:rsid w:val="00363830"/>
    <w:rsid w:val="00364490"/>
    <w:rsid w:val="003648A1"/>
    <w:rsid w:val="0036530C"/>
    <w:rsid w:val="003655CA"/>
    <w:rsid w:val="00365762"/>
    <w:rsid w:val="00365BF2"/>
    <w:rsid w:val="00365CB5"/>
    <w:rsid w:val="003662FF"/>
    <w:rsid w:val="00366F0F"/>
    <w:rsid w:val="00367089"/>
    <w:rsid w:val="00367E4F"/>
    <w:rsid w:val="003702B5"/>
    <w:rsid w:val="0037074E"/>
    <w:rsid w:val="00371476"/>
    <w:rsid w:val="0037280A"/>
    <w:rsid w:val="00372B91"/>
    <w:rsid w:val="00372FFE"/>
    <w:rsid w:val="003732D2"/>
    <w:rsid w:val="0037356E"/>
    <w:rsid w:val="00373A4C"/>
    <w:rsid w:val="00373BA9"/>
    <w:rsid w:val="00373FD4"/>
    <w:rsid w:val="00374261"/>
    <w:rsid w:val="00375236"/>
    <w:rsid w:val="003754B3"/>
    <w:rsid w:val="003756BE"/>
    <w:rsid w:val="0037696E"/>
    <w:rsid w:val="00376FDF"/>
    <w:rsid w:val="003770DF"/>
    <w:rsid w:val="0037717B"/>
    <w:rsid w:val="00377C0F"/>
    <w:rsid w:val="00380072"/>
    <w:rsid w:val="003804EF"/>
    <w:rsid w:val="00380503"/>
    <w:rsid w:val="0038086B"/>
    <w:rsid w:val="00381B5B"/>
    <w:rsid w:val="00381B68"/>
    <w:rsid w:val="0038315D"/>
    <w:rsid w:val="0038355B"/>
    <w:rsid w:val="00384121"/>
    <w:rsid w:val="0038456D"/>
    <w:rsid w:val="00385064"/>
    <w:rsid w:val="0038534B"/>
    <w:rsid w:val="0038555F"/>
    <w:rsid w:val="0038608C"/>
    <w:rsid w:val="00386D65"/>
    <w:rsid w:val="00387112"/>
    <w:rsid w:val="003871D1"/>
    <w:rsid w:val="00390099"/>
    <w:rsid w:val="0039014B"/>
    <w:rsid w:val="00390697"/>
    <w:rsid w:val="00390A09"/>
    <w:rsid w:val="00390F4E"/>
    <w:rsid w:val="00391870"/>
    <w:rsid w:val="00391A13"/>
    <w:rsid w:val="00391DFA"/>
    <w:rsid w:val="00392AFD"/>
    <w:rsid w:val="00392F6F"/>
    <w:rsid w:val="00393409"/>
    <w:rsid w:val="003942DF"/>
    <w:rsid w:val="00394E6F"/>
    <w:rsid w:val="0039520D"/>
    <w:rsid w:val="00395823"/>
    <w:rsid w:val="003959A8"/>
    <w:rsid w:val="00396C49"/>
    <w:rsid w:val="00396C8C"/>
    <w:rsid w:val="00396DAB"/>
    <w:rsid w:val="00397294"/>
    <w:rsid w:val="00397941"/>
    <w:rsid w:val="00397EB5"/>
    <w:rsid w:val="003A021B"/>
    <w:rsid w:val="003A0928"/>
    <w:rsid w:val="003A0ABF"/>
    <w:rsid w:val="003A2856"/>
    <w:rsid w:val="003A2B08"/>
    <w:rsid w:val="003A31A4"/>
    <w:rsid w:val="003A377E"/>
    <w:rsid w:val="003A37FE"/>
    <w:rsid w:val="003A3CDB"/>
    <w:rsid w:val="003A4577"/>
    <w:rsid w:val="003A45C8"/>
    <w:rsid w:val="003A4B2C"/>
    <w:rsid w:val="003A52AC"/>
    <w:rsid w:val="003A5396"/>
    <w:rsid w:val="003A57EC"/>
    <w:rsid w:val="003A6126"/>
    <w:rsid w:val="003A612A"/>
    <w:rsid w:val="003A63DC"/>
    <w:rsid w:val="003A6CDE"/>
    <w:rsid w:val="003A7060"/>
    <w:rsid w:val="003A71E3"/>
    <w:rsid w:val="003A7235"/>
    <w:rsid w:val="003A7FF5"/>
    <w:rsid w:val="003B05C5"/>
    <w:rsid w:val="003B078C"/>
    <w:rsid w:val="003B0D6B"/>
    <w:rsid w:val="003B16CB"/>
    <w:rsid w:val="003B25F5"/>
    <w:rsid w:val="003B26D1"/>
    <w:rsid w:val="003B37FB"/>
    <w:rsid w:val="003B38CA"/>
    <w:rsid w:val="003B3FFD"/>
    <w:rsid w:val="003B451E"/>
    <w:rsid w:val="003B47DA"/>
    <w:rsid w:val="003B49E6"/>
    <w:rsid w:val="003B4E55"/>
    <w:rsid w:val="003B5852"/>
    <w:rsid w:val="003B5D64"/>
    <w:rsid w:val="003B78BB"/>
    <w:rsid w:val="003B7984"/>
    <w:rsid w:val="003C1130"/>
    <w:rsid w:val="003C12D5"/>
    <w:rsid w:val="003C1793"/>
    <w:rsid w:val="003C1B1E"/>
    <w:rsid w:val="003C1C5B"/>
    <w:rsid w:val="003C2223"/>
    <w:rsid w:val="003C22EF"/>
    <w:rsid w:val="003C2A2D"/>
    <w:rsid w:val="003C2B9C"/>
    <w:rsid w:val="003C33F7"/>
    <w:rsid w:val="003C3F56"/>
    <w:rsid w:val="003C3FE7"/>
    <w:rsid w:val="003C4775"/>
    <w:rsid w:val="003C4C73"/>
    <w:rsid w:val="003C4FFD"/>
    <w:rsid w:val="003C51A4"/>
    <w:rsid w:val="003C6148"/>
    <w:rsid w:val="003C61D2"/>
    <w:rsid w:val="003C68EE"/>
    <w:rsid w:val="003C771C"/>
    <w:rsid w:val="003C7B41"/>
    <w:rsid w:val="003C7D6B"/>
    <w:rsid w:val="003D17C1"/>
    <w:rsid w:val="003D410F"/>
    <w:rsid w:val="003D4D6B"/>
    <w:rsid w:val="003D4F40"/>
    <w:rsid w:val="003D5CA8"/>
    <w:rsid w:val="003D5EB7"/>
    <w:rsid w:val="003D6272"/>
    <w:rsid w:val="003D64B9"/>
    <w:rsid w:val="003D69C7"/>
    <w:rsid w:val="003D6A01"/>
    <w:rsid w:val="003D700F"/>
    <w:rsid w:val="003D702A"/>
    <w:rsid w:val="003D75FB"/>
    <w:rsid w:val="003D7BD9"/>
    <w:rsid w:val="003D7EF7"/>
    <w:rsid w:val="003E05E9"/>
    <w:rsid w:val="003E1146"/>
    <w:rsid w:val="003E1D3A"/>
    <w:rsid w:val="003E324E"/>
    <w:rsid w:val="003E41D0"/>
    <w:rsid w:val="003E44CC"/>
    <w:rsid w:val="003E51E7"/>
    <w:rsid w:val="003E5642"/>
    <w:rsid w:val="003E5661"/>
    <w:rsid w:val="003E5A4F"/>
    <w:rsid w:val="003E6931"/>
    <w:rsid w:val="003E6C2E"/>
    <w:rsid w:val="003E6C50"/>
    <w:rsid w:val="003E733F"/>
    <w:rsid w:val="003E7C10"/>
    <w:rsid w:val="003E7F0B"/>
    <w:rsid w:val="003F16D5"/>
    <w:rsid w:val="003F1850"/>
    <w:rsid w:val="003F1922"/>
    <w:rsid w:val="003F1C1E"/>
    <w:rsid w:val="003F1ECE"/>
    <w:rsid w:val="003F1F59"/>
    <w:rsid w:val="003F1FFB"/>
    <w:rsid w:val="003F27B5"/>
    <w:rsid w:val="003F2BE5"/>
    <w:rsid w:val="003F4FD0"/>
    <w:rsid w:val="003F5570"/>
    <w:rsid w:val="003F57E4"/>
    <w:rsid w:val="003F6186"/>
    <w:rsid w:val="003F6F0A"/>
    <w:rsid w:val="003F7DC1"/>
    <w:rsid w:val="004000D6"/>
    <w:rsid w:val="004002E5"/>
    <w:rsid w:val="00400923"/>
    <w:rsid w:val="00402BC8"/>
    <w:rsid w:val="00403038"/>
    <w:rsid w:val="00403591"/>
    <w:rsid w:val="004038E9"/>
    <w:rsid w:val="00403F3F"/>
    <w:rsid w:val="0040401F"/>
    <w:rsid w:val="004046AA"/>
    <w:rsid w:val="0040470A"/>
    <w:rsid w:val="00404BC2"/>
    <w:rsid w:val="00404C94"/>
    <w:rsid w:val="0040507D"/>
    <w:rsid w:val="0040548C"/>
    <w:rsid w:val="00405C05"/>
    <w:rsid w:val="00405E8D"/>
    <w:rsid w:val="00406352"/>
    <w:rsid w:val="0040764D"/>
    <w:rsid w:val="0040774B"/>
    <w:rsid w:val="00407BAC"/>
    <w:rsid w:val="004103E2"/>
    <w:rsid w:val="0041044A"/>
    <w:rsid w:val="004104F2"/>
    <w:rsid w:val="0041068C"/>
    <w:rsid w:val="004106BF"/>
    <w:rsid w:val="004107CC"/>
    <w:rsid w:val="0041080E"/>
    <w:rsid w:val="004123C0"/>
    <w:rsid w:val="0041358E"/>
    <w:rsid w:val="00413678"/>
    <w:rsid w:val="00413B96"/>
    <w:rsid w:val="00413BE9"/>
    <w:rsid w:val="00413E5C"/>
    <w:rsid w:val="004147F2"/>
    <w:rsid w:val="004149B1"/>
    <w:rsid w:val="00415011"/>
    <w:rsid w:val="00415B52"/>
    <w:rsid w:val="00415F4E"/>
    <w:rsid w:val="0041652D"/>
    <w:rsid w:val="00416ED7"/>
    <w:rsid w:val="00417318"/>
    <w:rsid w:val="004173ED"/>
    <w:rsid w:val="0042063A"/>
    <w:rsid w:val="00420E66"/>
    <w:rsid w:val="00421531"/>
    <w:rsid w:val="004226D0"/>
    <w:rsid w:val="00422C7D"/>
    <w:rsid w:val="00422D91"/>
    <w:rsid w:val="00423300"/>
    <w:rsid w:val="004234B1"/>
    <w:rsid w:val="004237B8"/>
    <w:rsid w:val="00425550"/>
    <w:rsid w:val="00425684"/>
    <w:rsid w:val="004256E5"/>
    <w:rsid w:val="00425DE8"/>
    <w:rsid w:val="004260E5"/>
    <w:rsid w:val="0042643D"/>
    <w:rsid w:val="0042738E"/>
    <w:rsid w:val="004274DE"/>
    <w:rsid w:val="004279FD"/>
    <w:rsid w:val="0043037A"/>
    <w:rsid w:val="004303A9"/>
    <w:rsid w:val="00430D31"/>
    <w:rsid w:val="00430EAF"/>
    <w:rsid w:val="00430EBB"/>
    <w:rsid w:val="0043106B"/>
    <w:rsid w:val="0043185E"/>
    <w:rsid w:val="00431A60"/>
    <w:rsid w:val="00431AA4"/>
    <w:rsid w:val="00431D65"/>
    <w:rsid w:val="0043208B"/>
    <w:rsid w:val="004321C0"/>
    <w:rsid w:val="004322E2"/>
    <w:rsid w:val="0043248F"/>
    <w:rsid w:val="004324DB"/>
    <w:rsid w:val="00432785"/>
    <w:rsid w:val="004327AB"/>
    <w:rsid w:val="00432CE8"/>
    <w:rsid w:val="004337AE"/>
    <w:rsid w:val="00434B90"/>
    <w:rsid w:val="004351B6"/>
    <w:rsid w:val="00435DD5"/>
    <w:rsid w:val="00436612"/>
    <w:rsid w:val="00436651"/>
    <w:rsid w:val="00436BEC"/>
    <w:rsid w:val="00437653"/>
    <w:rsid w:val="00437F42"/>
    <w:rsid w:val="00437F57"/>
    <w:rsid w:val="00440010"/>
    <w:rsid w:val="004400CD"/>
    <w:rsid w:val="00440AB3"/>
    <w:rsid w:val="0044150E"/>
    <w:rsid w:val="00441B95"/>
    <w:rsid w:val="00441EB5"/>
    <w:rsid w:val="0044201E"/>
    <w:rsid w:val="0044213A"/>
    <w:rsid w:val="004423F4"/>
    <w:rsid w:val="00442ACD"/>
    <w:rsid w:val="0044318B"/>
    <w:rsid w:val="004435B6"/>
    <w:rsid w:val="00443EF3"/>
    <w:rsid w:val="00444099"/>
    <w:rsid w:val="00444743"/>
    <w:rsid w:val="0044485C"/>
    <w:rsid w:val="00444E14"/>
    <w:rsid w:val="00445347"/>
    <w:rsid w:val="00445AA9"/>
    <w:rsid w:val="00445F79"/>
    <w:rsid w:val="00446CC6"/>
    <w:rsid w:val="00447486"/>
    <w:rsid w:val="004475D9"/>
    <w:rsid w:val="004477AD"/>
    <w:rsid w:val="00447C2A"/>
    <w:rsid w:val="00447DA3"/>
    <w:rsid w:val="0045091C"/>
    <w:rsid w:val="00450D33"/>
    <w:rsid w:val="00450EC7"/>
    <w:rsid w:val="00451877"/>
    <w:rsid w:val="00451BF7"/>
    <w:rsid w:val="00452943"/>
    <w:rsid w:val="004534F0"/>
    <w:rsid w:val="004536DF"/>
    <w:rsid w:val="004536FB"/>
    <w:rsid w:val="00454174"/>
    <w:rsid w:val="00454476"/>
    <w:rsid w:val="004544AA"/>
    <w:rsid w:val="00454C25"/>
    <w:rsid w:val="00455368"/>
    <w:rsid w:val="004554F8"/>
    <w:rsid w:val="00455B7E"/>
    <w:rsid w:val="0045671F"/>
    <w:rsid w:val="00456AAE"/>
    <w:rsid w:val="00456D7A"/>
    <w:rsid w:val="004572AD"/>
    <w:rsid w:val="0045732C"/>
    <w:rsid w:val="0045751B"/>
    <w:rsid w:val="0045764C"/>
    <w:rsid w:val="00457ADF"/>
    <w:rsid w:val="00457E11"/>
    <w:rsid w:val="0046088E"/>
    <w:rsid w:val="00460F27"/>
    <w:rsid w:val="00461253"/>
    <w:rsid w:val="0046199D"/>
    <w:rsid w:val="00461B2B"/>
    <w:rsid w:val="004622D8"/>
    <w:rsid w:val="00463170"/>
    <w:rsid w:val="004631A3"/>
    <w:rsid w:val="004635D9"/>
    <w:rsid w:val="00463CFC"/>
    <w:rsid w:val="00463EFC"/>
    <w:rsid w:val="0046411A"/>
    <w:rsid w:val="00464D07"/>
    <w:rsid w:val="00465A72"/>
    <w:rsid w:val="00466736"/>
    <w:rsid w:val="00466AA5"/>
    <w:rsid w:val="00467347"/>
    <w:rsid w:val="00467842"/>
    <w:rsid w:val="004707B9"/>
    <w:rsid w:val="00470E96"/>
    <w:rsid w:val="0047115E"/>
    <w:rsid w:val="004711BE"/>
    <w:rsid w:val="00471844"/>
    <w:rsid w:val="004723DC"/>
    <w:rsid w:val="004724CA"/>
    <w:rsid w:val="00472AFE"/>
    <w:rsid w:val="004730AE"/>
    <w:rsid w:val="004733E8"/>
    <w:rsid w:val="0047392E"/>
    <w:rsid w:val="004749BF"/>
    <w:rsid w:val="004750CD"/>
    <w:rsid w:val="00475729"/>
    <w:rsid w:val="00475E18"/>
    <w:rsid w:val="00476BA3"/>
    <w:rsid w:val="00477581"/>
    <w:rsid w:val="00477CB0"/>
    <w:rsid w:val="00480D70"/>
    <w:rsid w:val="00481B22"/>
    <w:rsid w:val="00482232"/>
    <w:rsid w:val="0048290D"/>
    <w:rsid w:val="00483503"/>
    <w:rsid w:val="00483609"/>
    <w:rsid w:val="00483E60"/>
    <w:rsid w:val="00483F9C"/>
    <w:rsid w:val="00483FAC"/>
    <w:rsid w:val="0048418A"/>
    <w:rsid w:val="004841D5"/>
    <w:rsid w:val="004855EF"/>
    <w:rsid w:val="00485E1E"/>
    <w:rsid w:val="00485E43"/>
    <w:rsid w:val="00485FBE"/>
    <w:rsid w:val="004860CF"/>
    <w:rsid w:val="00486375"/>
    <w:rsid w:val="004865C4"/>
    <w:rsid w:val="0048667E"/>
    <w:rsid w:val="004868D9"/>
    <w:rsid w:val="00486982"/>
    <w:rsid w:val="00486DAC"/>
    <w:rsid w:val="00487007"/>
    <w:rsid w:val="00487438"/>
    <w:rsid w:val="00487A47"/>
    <w:rsid w:val="00490310"/>
    <w:rsid w:val="0049037E"/>
    <w:rsid w:val="00491007"/>
    <w:rsid w:val="004910BD"/>
    <w:rsid w:val="0049115C"/>
    <w:rsid w:val="0049158F"/>
    <w:rsid w:val="00491FC4"/>
    <w:rsid w:val="00492F0E"/>
    <w:rsid w:val="004932B5"/>
    <w:rsid w:val="004939C2"/>
    <w:rsid w:val="00495310"/>
    <w:rsid w:val="004953D0"/>
    <w:rsid w:val="00495BC4"/>
    <w:rsid w:val="00496175"/>
    <w:rsid w:val="004963ED"/>
    <w:rsid w:val="0049652A"/>
    <w:rsid w:val="004968B5"/>
    <w:rsid w:val="00496B60"/>
    <w:rsid w:val="004978A4"/>
    <w:rsid w:val="004A02B6"/>
    <w:rsid w:val="004A1C6F"/>
    <w:rsid w:val="004A1EFF"/>
    <w:rsid w:val="004A230D"/>
    <w:rsid w:val="004A23BE"/>
    <w:rsid w:val="004A25C9"/>
    <w:rsid w:val="004A3626"/>
    <w:rsid w:val="004A3871"/>
    <w:rsid w:val="004A3D59"/>
    <w:rsid w:val="004A4959"/>
    <w:rsid w:val="004A5386"/>
    <w:rsid w:val="004A548D"/>
    <w:rsid w:val="004A57A6"/>
    <w:rsid w:val="004A6188"/>
    <w:rsid w:val="004A6638"/>
    <w:rsid w:val="004A6759"/>
    <w:rsid w:val="004A6BC2"/>
    <w:rsid w:val="004A6DAF"/>
    <w:rsid w:val="004A7994"/>
    <w:rsid w:val="004B067E"/>
    <w:rsid w:val="004B0900"/>
    <w:rsid w:val="004B0AC4"/>
    <w:rsid w:val="004B0ED6"/>
    <w:rsid w:val="004B0EE8"/>
    <w:rsid w:val="004B13F4"/>
    <w:rsid w:val="004B18EE"/>
    <w:rsid w:val="004B199A"/>
    <w:rsid w:val="004B25A4"/>
    <w:rsid w:val="004B25F6"/>
    <w:rsid w:val="004B268A"/>
    <w:rsid w:val="004B2937"/>
    <w:rsid w:val="004B2D30"/>
    <w:rsid w:val="004B3EE6"/>
    <w:rsid w:val="004B41C9"/>
    <w:rsid w:val="004B4E90"/>
    <w:rsid w:val="004B4EB4"/>
    <w:rsid w:val="004B514E"/>
    <w:rsid w:val="004B5329"/>
    <w:rsid w:val="004B5367"/>
    <w:rsid w:val="004B63C3"/>
    <w:rsid w:val="004B6479"/>
    <w:rsid w:val="004B653D"/>
    <w:rsid w:val="004B713D"/>
    <w:rsid w:val="004B715C"/>
    <w:rsid w:val="004B7AC9"/>
    <w:rsid w:val="004B7E5B"/>
    <w:rsid w:val="004C12E1"/>
    <w:rsid w:val="004C144E"/>
    <w:rsid w:val="004C1E34"/>
    <w:rsid w:val="004C1EE6"/>
    <w:rsid w:val="004C1F03"/>
    <w:rsid w:val="004C22C7"/>
    <w:rsid w:val="004C4C15"/>
    <w:rsid w:val="004C6E41"/>
    <w:rsid w:val="004C70BE"/>
    <w:rsid w:val="004C718D"/>
    <w:rsid w:val="004C723B"/>
    <w:rsid w:val="004C7962"/>
    <w:rsid w:val="004D0136"/>
    <w:rsid w:val="004D06C5"/>
    <w:rsid w:val="004D09CC"/>
    <w:rsid w:val="004D0D00"/>
    <w:rsid w:val="004D10B2"/>
    <w:rsid w:val="004D1254"/>
    <w:rsid w:val="004D1BCE"/>
    <w:rsid w:val="004D2569"/>
    <w:rsid w:val="004D26F7"/>
    <w:rsid w:val="004D27A7"/>
    <w:rsid w:val="004D2B20"/>
    <w:rsid w:val="004D2BB2"/>
    <w:rsid w:val="004D3091"/>
    <w:rsid w:val="004D3661"/>
    <w:rsid w:val="004D3732"/>
    <w:rsid w:val="004D423F"/>
    <w:rsid w:val="004D4E1F"/>
    <w:rsid w:val="004D5B94"/>
    <w:rsid w:val="004D65D2"/>
    <w:rsid w:val="004D7897"/>
    <w:rsid w:val="004D7E5F"/>
    <w:rsid w:val="004E04BF"/>
    <w:rsid w:val="004E067D"/>
    <w:rsid w:val="004E157E"/>
    <w:rsid w:val="004E15F0"/>
    <w:rsid w:val="004E1667"/>
    <w:rsid w:val="004E1BFC"/>
    <w:rsid w:val="004E1C98"/>
    <w:rsid w:val="004E26CF"/>
    <w:rsid w:val="004E3119"/>
    <w:rsid w:val="004E37C9"/>
    <w:rsid w:val="004E397B"/>
    <w:rsid w:val="004E3A67"/>
    <w:rsid w:val="004E420D"/>
    <w:rsid w:val="004E5F91"/>
    <w:rsid w:val="004E6094"/>
    <w:rsid w:val="004E6797"/>
    <w:rsid w:val="004E7671"/>
    <w:rsid w:val="004E7724"/>
    <w:rsid w:val="004F07BC"/>
    <w:rsid w:val="004F138F"/>
    <w:rsid w:val="004F14AA"/>
    <w:rsid w:val="004F1C27"/>
    <w:rsid w:val="004F2301"/>
    <w:rsid w:val="004F2566"/>
    <w:rsid w:val="004F2B6E"/>
    <w:rsid w:val="004F391B"/>
    <w:rsid w:val="004F4731"/>
    <w:rsid w:val="004F559D"/>
    <w:rsid w:val="004F599C"/>
    <w:rsid w:val="004F69ED"/>
    <w:rsid w:val="004F6A5A"/>
    <w:rsid w:val="00500979"/>
    <w:rsid w:val="00500BB2"/>
    <w:rsid w:val="00500F6E"/>
    <w:rsid w:val="00500F95"/>
    <w:rsid w:val="005014E4"/>
    <w:rsid w:val="005022BC"/>
    <w:rsid w:val="0050312E"/>
    <w:rsid w:val="005033A8"/>
    <w:rsid w:val="005038FE"/>
    <w:rsid w:val="00503AF6"/>
    <w:rsid w:val="0050404F"/>
    <w:rsid w:val="005063D8"/>
    <w:rsid w:val="00507753"/>
    <w:rsid w:val="00507A14"/>
    <w:rsid w:val="00510383"/>
    <w:rsid w:val="005103F0"/>
    <w:rsid w:val="00510632"/>
    <w:rsid w:val="005106BA"/>
    <w:rsid w:val="00511283"/>
    <w:rsid w:val="0051128C"/>
    <w:rsid w:val="00511B7D"/>
    <w:rsid w:val="00511CE4"/>
    <w:rsid w:val="00512269"/>
    <w:rsid w:val="00512807"/>
    <w:rsid w:val="00512DCA"/>
    <w:rsid w:val="00512EBF"/>
    <w:rsid w:val="00512F67"/>
    <w:rsid w:val="00513867"/>
    <w:rsid w:val="0051473A"/>
    <w:rsid w:val="0051534E"/>
    <w:rsid w:val="00515792"/>
    <w:rsid w:val="005163F0"/>
    <w:rsid w:val="00516541"/>
    <w:rsid w:val="00516FF8"/>
    <w:rsid w:val="005179E6"/>
    <w:rsid w:val="00517E24"/>
    <w:rsid w:val="00517E9F"/>
    <w:rsid w:val="0052057D"/>
    <w:rsid w:val="00520B08"/>
    <w:rsid w:val="00520E3F"/>
    <w:rsid w:val="00521E49"/>
    <w:rsid w:val="005233BE"/>
    <w:rsid w:val="00524ABB"/>
    <w:rsid w:val="00525049"/>
    <w:rsid w:val="0052592B"/>
    <w:rsid w:val="0052595A"/>
    <w:rsid w:val="00525CC7"/>
    <w:rsid w:val="00526056"/>
    <w:rsid w:val="00526177"/>
    <w:rsid w:val="00526D1F"/>
    <w:rsid w:val="005275DA"/>
    <w:rsid w:val="005276FE"/>
    <w:rsid w:val="00527B53"/>
    <w:rsid w:val="005300F6"/>
    <w:rsid w:val="005305B6"/>
    <w:rsid w:val="0053137A"/>
    <w:rsid w:val="005314B1"/>
    <w:rsid w:val="0053163F"/>
    <w:rsid w:val="00531771"/>
    <w:rsid w:val="00531839"/>
    <w:rsid w:val="00531ADB"/>
    <w:rsid w:val="0053263B"/>
    <w:rsid w:val="00533253"/>
    <w:rsid w:val="005333D0"/>
    <w:rsid w:val="005337DF"/>
    <w:rsid w:val="005337E6"/>
    <w:rsid w:val="00533C78"/>
    <w:rsid w:val="00533F71"/>
    <w:rsid w:val="00533F91"/>
    <w:rsid w:val="0053428D"/>
    <w:rsid w:val="005346ED"/>
    <w:rsid w:val="00534BF8"/>
    <w:rsid w:val="00534D91"/>
    <w:rsid w:val="00535894"/>
    <w:rsid w:val="00535EA6"/>
    <w:rsid w:val="005368E9"/>
    <w:rsid w:val="00536DD5"/>
    <w:rsid w:val="005373DC"/>
    <w:rsid w:val="00537D14"/>
    <w:rsid w:val="0054053B"/>
    <w:rsid w:val="00541559"/>
    <w:rsid w:val="00541621"/>
    <w:rsid w:val="0054251C"/>
    <w:rsid w:val="005447A4"/>
    <w:rsid w:val="0054497B"/>
    <w:rsid w:val="005471F0"/>
    <w:rsid w:val="00547D45"/>
    <w:rsid w:val="0055040B"/>
    <w:rsid w:val="005507A2"/>
    <w:rsid w:val="005508D9"/>
    <w:rsid w:val="0055098B"/>
    <w:rsid w:val="00550F8B"/>
    <w:rsid w:val="0055115C"/>
    <w:rsid w:val="00552BAF"/>
    <w:rsid w:val="00553EAC"/>
    <w:rsid w:val="0055447B"/>
    <w:rsid w:val="00555060"/>
    <w:rsid w:val="005559D0"/>
    <w:rsid w:val="00555BAF"/>
    <w:rsid w:val="00555F54"/>
    <w:rsid w:val="0055620B"/>
    <w:rsid w:val="0055622F"/>
    <w:rsid w:val="00557B6A"/>
    <w:rsid w:val="00557DF2"/>
    <w:rsid w:val="00557E33"/>
    <w:rsid w:val="00557E8C"/>
    <w:rsid w:val="005601A6"/>
    <w:rsid w:val="00560B66"/>
    <w:rsid w:val="00560C5F"/>
    <w:rsid w:val="00560FD8"/>
    <w:rsid w:val="005610C8"/>
    <w:rsid w:val="005612A4"/>
    <w:rsid w:val="005616B4"/>
    <w:rsid w:val="00561D1A"/>
    <w:rsid w:val="005623F7"/>
    <w:rsid w:val="00562557"/>
    <w:rsid w:val="00562619"/>
    <w:rsid w:val="005627C1"/>
    <w:rsid w:val="00563749"/>
    <w:rsid w:val="00563763"/>
    <w:rsid w:val="00563A94"/>
    <w:rsid w:val="0056468A"/>
    <w:rsid w:val="0056562A"/>
    <w:rsid w:val="0056568A"/>
    <w:rsid w:val="0056647F"/>
    <w:rsid w:val="005666E4"/>
    <w:rsid w:val="005671E3"/>
    <w:rsid w:val="00570759"/>
    <w:rsid w:val="005709FB"/>
    <w:rsid w:val="00570AC9"/>
    <w:rsid w:val="00570F96"/>
    <w:rsid w:val="00571731"/>
    <w:rsid w:val="00571B73"/>
    <w:rsid w:val="00571BCC"/>
    <w:rsid w:val="00572B80"/>
    <w:rsid w:val="00573419"/>
    <w:rsid w:val="0057361B"/>
    <w:rsid w:val="005736CE"/>
    <w:rsid w:val="005745C9"/>
    <w:rsid w:val="005746D7"/>
    <w:rsid w:val="005748EB"/>
    <w:rsid w:val="00574AB4"/>
    <w:rsid w:val="00575035"/>
    <w:rsid w:val="00576152"/>
    <w:rsid w:val="0057662B"/>
    <w:rsid w:val="005767F8"/>
    <w:rsid w:val="00576D61"/>
    <w:rsid w:val="00577043"/>
    <w:rsid w:val="00580003"/>
    <w:rsid w:val="00581D1B"/>
    <w:rsid w:val="00581D93"/>
    <w:rsid w:val="0058202B"/>
    <w:rsid w:val="00583177"/>
    <w:rsid w:val="00583A4D"/>
    <w:rsid w:val="00583E0A"/>
    <w:rsid w:val="00585242"/>
    <w:rsid w:val="00585E87"/>
    <w:rsid w:val="00586181"/>
    <w:rsid w:val="005861F9"/>
    <w:rsid w:val="00586BA7"/>
    <w:rsid w:val="00587787"/>
    <w:rsid w:val="0059112E"/>
    <w:rsid w:val="00591890"/>
    <w:rsid w:val="005920CD"/>
    <w:rsid w:val="005921A0"/>
    <w:rsid w:val="0059245C"/>
    <w:rsid w:val="00592740"/>
    <w:rsid w:val="005938C9"/>
    <w:rsid w:val="00594270"/>
    <w:rsid w:val="0059448B"/>
    <w:rsid w:val="00594575"/>
    <w:rsid w:val="005954C8"/>
    <w:rsid w:val="005959A7"/>
    <w:rsid w:val="005961CC"/>
    <w:rsid w:val="00596272"/>
    <w:rsid w:val="00596706"/>
    <w:rsid w:val="00597772"/>
    <w:rsid w:val="005A02E2"/>
    <w:rsid w:val="005A0401"/>
    <w:rsid w:val="005A052C"/>
    <w:rsid w:val="005A174F"/>
    <w:rsid w:val="005A225C"/>
    <w:rsid w:val="005A2683"/>
    <w:rsid w:val="005A28A4"/>
    <w:rsid w:val="005A2BD9"/>
    <w:rsid w:val="005A2D5D"/>
    <w:rsid w:val="005A4307"/>
    <w:rsid w:val="005A4376"/>
    <w:rsid w:val="005A4B82"/>
    <w:rsid w:val="005A5126"/>
    <w:rsid w:val="005A569D"/>
    <w:rsid w:val="005A5EBD"/>
    <w:rsid w:val="005A6359"/>
    <w:rsid w:val="005A6577"/>
    <w:rsid w:val="005A683F"/>
    <w:rsid w:val="005A6C9F"/>
    <w:rsid w:val="005A784D"/>
    <w:rsid w:val="005B06D6"/>
    <w:rsid w:val="005B07F6"/>
    <w:rsid w:val="005B10D2"/>
    <w:rsid w:val="005B2346"/>
    <w:rsid w:val="005B27A6"/>
    <w:rsid w:val="005B3ACB"/>
    <w:rsid w:val="005B3EA4"/>
    <w:rsid w:val="005B40F1"/>
    <w:rsid w:val="005B4155"/>
    <w:rsid w:val="005B448C"/>
    <w:rsid w:val="005B44BF"/>
    <w:rsid w:val="005B4EE0"/>
    <w:rsid w:val="005B51EC"/>
    <w:rsid w:val="005B5694"/>
    <w:rsid w:val="005B65FC"/>
    <w:rsid w:val="005B6AF1"/>
    <w:rsid w:val="005B6F68"/>
    <w:rsid w:val="005B7146"/>
    <w:rsid w:val="005B71D7"/>
    <w:rsid w:val="005B7DA6"/>
    <w:rsid w:val="005C1C66"/>
    <w:rsid w:val="005C1D44"/>
    <w:rsid w:val="005C3377"/>
    <w:rsid w:val="005C5869"/>
    <w:rsid w:val="005C58A4"/>
    <w:rsid w:val="005C6472"/>
    <w:rsid w:val="005C6D1D"/>
    <w:rsid w:val="005C7590"/>
    <w:rsid w:val="005D1AC8"/>
    <w:rsid w:val="005D2D21"/>
    <w:rsid w:val="005D3F47"/>
    <w:rsid w:val="005D5353"/>
    <w:rsid w:val="005D60AD"/>
    <w:rsid w:val="005D6194"/>
    <w:rsid w:val="005D67D3"/>
    <w:rsid w:val="005D6881"/>
    <w:rsid w:val="005D73A0"/>
    <w:rsid w:val="005D7406"/>
    <w:rsid w:val="005D786A"/>
    <w:rsid w:val="005D7F40"/>
    <w:rsid w:val="005D7FAE"/>
    <w:rsid w:val="005E0153"/>
    <w:rsid w:val="005E073E"/>
    <w:rsid w:val="005E1397"/>
    <w:rsid w:val="005E13F9"/>
    <w:rsid w:val="005E1CBC"/>
    <w:rsid w:val="005E2266"/>
    <w:rsid w:val="005E23E7"/>
    <w:rsid w:val="005E23F7"/>
    <w:rsid w:val="005E249B"/>
    <w:rsid w:val="005E3AEF"/>
    <w:rsid w:val="005E50BD"/>
    <w:rsid w:val="005E50CF"/>
    <w:rsid w:val="005E5228"/>
    <w:rsid w:val="005E551E"/>
    <w:rsid w:val="005E5C3C"/>
    <w:rsid w:val="005E60EE"/>
    <w:rsid w:val="005E62F9"/>
    <w:rsid w:val="005E6473"/>
    <w:rsid w:val="005E7802"/>
    <w:rsid w:val="005F00E9"/>
    <w:rsid w:val="005F0412"/>
    <w:rsid w:val="005F0604"/>
    <w:rsid w:val="005F07CB"/>
    <w:rsid w:val="005F08F9"/>
    <w:rsid w:val="005F13C8"/>
    <w:rsid w:val="005F1541"/>
    <w:rsid w:val="005F2D81"/>
    <w:rsid w:val="005F2FD4"/>
    <w:rsid w:val="005F37B2"/>
    <w:rsid w:val="005F4847"/>
    <w:rsid w:val="005F493E"/>
    <w:rsid w:val="005F5478"/>
    <w:rsid w:val="005F5803"/>
    <w:rsid w:val="005F609E"/>
    <w:rsid w:val="0060053B"/>
    <w:rsid w:val="00600DB7"/>
    <w:rsid w:val="0060110B"/>
    <w:rsid w:val="0060125A"/>
    <w:rsid w:val="006018F9"/>
    <w:rsid w:val="006019E9"/>
    <w:rsid w:val="00601E3F"/>
    <w:rsid w:val="00602125"/>
    <w:rsid w:val="00602718"/>
    <w:rsid w:val="006027D9"/>
    <w:rsid w:val="00603844"/>
    <w:rsid w:val="006048A3"/>
    <w:rsid w:val="00605820"/>
    <w:rsid w:val="00605FB2"/>
    <w:rsid w:val="00606432"/>
    <w:rsid w:val="0060711B"/>
    <w:rsid w:val="0060718B"/>
    <w:rsid w:val="006071EF"/>
    <w:rsid w:val="006073FD"/>
    <w:rsid w:val="00607B01"/>
    <w:rsid w:val="00607B24"/>
    <w:rsid w:val="00610488"/>
    <w:rsid w:val="00610A40"/>
    <w:rsid w:val="00610A97"/>
    <w:rsid w:val="00610F59"/>
    <w:rsid w:val="00611D2A"/>
    <w:rsid w:val="00612192"/>
    <w:rsid w:val="006134CE"/>
    <w:rsid w:val="00613E27"/>
    <w:rsid w:val="0061440D"/>
    <w:rsid w:val="006146A0"/>
    <w:rsid w:val="006146C6"/>
    <w:rsid w:val="00616547"/>
    <w:rsid w:val="006165B7"/>
    <w:rsid w:val="00616E7E"/>
    <w:rsid w:val="006171AC"/>
    <w:rsid w:val="00617A68"/>
    <w:rsid w:val="00620747"/>
    <w:rsid w:val="00620A91"/>
    <w:rsid w:val="006211A6"/>
    <w:rsid w:val="00621A89"/>
    <w:rsid w:val="0062207F"/>
    <w:rsid w:val="006221D3"/>
    <w:rsid w:val="006226A5"/>
    <w:rsid w:val="00622729"/>
    <w:rsid w:val="006228C0"/>
    <w:rsid w:val="00622B5D"/>
    <w:rsid w:val="006232F8"/>
    <w:rsid w:val="00623409"/>
    <w:rsid w:val="00623B97"/>
    <w:rsid w:val="006243A6"/>
    <w:rsid w:val="006243C7"/>
    <w:rsid w:val="006257E0"/>
    <w:rsid w:val="006259D8"/>
    <w:rsid w:val="00625AAF"/>
    <w:rsid w:val="00626250"/>
    <w:rsid w:val="006269C3"/>
    <w:rsid w:val="00626FB0"/>
    <w:rsid w:val="006274F5"/>
    <w:rsid w:val="00627C88"/>
    <w:rsid w:val="00630B03"/>
    <w:rsid w:val="00630B71"/>
    <w:rsid w:val="00630CF6"/>
    <w:rsid w:val="0063199E"/>
    <w:rsid w:val="00631DD9"/>
    <w:rsid w:val="00631E9F"/>
    <w:rsid w:val="00632AE9"/>
    <w:rsid w:val="00633007"/>
    <w:rsid w:val="0063356D"/>
    <w:rsid w:val="00633690"/>
    <w:rsid w:val="00633756"/>
    <w:rsid w:val="006340E3"/>
    <w:rsid w:val="006345E6"/>
    <w:rsid w:val="00634C0A"/>
    <w:rsid w:val="00635D86"/>
    <w:rsid w:val="00636E1E"/>
    <w:rsid w:val="0063767B"/>
    <w:rsid w:val="00637795"/>
    <w:rsid w:val="006412BC"/>
    <w:rsid w:val="00641964"/>
    <w:rsid w:val="00642204"/>
    <w:rsid w:val="00642305"/>
    <w:rsid w:val="0064247D"/>
    <w:rsid w:val="00642CF5"/>
    <w:rsid w:val="00642D42"/>
    <w:rsid w:val="0064324B"/>
    <w:rsid w:val="0064325D"/>
    <w:rsid w:val="00643D8C"/>
    <w:rsid w:val="00643E6B"/>
    <w:rsid w:val="00643EF6"/>
    <w:rsid w:val="00644269"/>
    <w:rsid w:val="006448E6"/>
    <w:rsid w:val="006457A5"/>
    <w:rsid w:val="006461E0"/>
    <w:rsid w:val="0064669B"/>
    <w:rsid w:val="006468A1"/>
    <w:rsid w:val="006473D2"/>
    <w:rsid w:val="00647B94"/>
    <w:rsid w:val="00647FE0"/>
    <w:rsid w:val="00650789"/>
    <w:rsid w:val="00651636"/>
    <w:rsid w:val="00651BC6"/>
    <w:rsid w:val="00652B8B"/>
    <w:rsid w:val="00652E20"/>
    <w:rsid w:val="00653892"/>
    <w:rsid w:val="00653BBF"/>
    <w:rsid w:val="00654118"/>
    <w:rsid w:val="00654303"/>
    <w:rsid w:val="00654788"/>
    <w:rsid w:val="0065495C"/>
    <w:rsid w:val="00654BAA"/>
    <w:rsid w:val="00654E24"/>
    <w:rsid w:val="00655835"/>
    <w:rsid w:val="006559DA"/>
    <w:rsid w:val="0065659D"/>
    <w:rsid w:val="006565D4"/>
    <w:rsid w:val="006565D8"/>
    <w:rsid w:val="0065666D"/>
    <w:rsid w:val="006568C9"/>
    <w:rsid w:val="00656A89"/>
    <w:rsid w:val="00657305"/>
    <w:rsid w:val="006578F9"/>
    <w:rsid w:val="006601AD"/>
    <w:rsid w:val="006608C5"/>
    <w:rsid w:val="00660C59"/>
    <w:rsid w:val="00661167"/>
    <w:rsid w:val="00661B47"/>
    <w:rsid w:val="00661BD1"/>
    <w:rsid w:val="006624F2"/>
    <w:rsid w:val="00662BB9"/>
    <w:rsid w:val="00663356"/>
    <w:rsid w:val="00663F0C"/>
    <w:rsid w:val="006649D9"/>
    <w:rsid w:val="00665461"/>
    <w:rsid w:val="00665C0B"/>
    <w:rsid w:val="00665DDD"/>
    <w:rsid w:val="00665F25"/>
    <w:rsid w:val="00666869"/>
    <w:rsid w:val="00666C38"/>
    <w:rsid w:val="00667739"/>
    <w:rsid w:val="00667939"/>
    <w:rsid w:val="00667F1F"/>
    <w:rsid w:val="00667FF0"/>
    <w:rsid w:val="00670558"/>
    <w:rsid w:val="00670DD5"/>
    <w:rsid w:val="00670E01"/>
    <w:rsid w:val="00670E51"/>
    <w:rsid w:val="00671995"/>
    <w:rsid w:val="00672347"/>
    <w:rsid w:val="00672853"/>
    <w:rsid w:val="00672A3B"/>
    <w:rsid w:val="006731EF"/>
    <w:rsid w:val="00673380"/>
    <w:rsid w:val="006735BB"/>
    <w:rsid w:val="006735C2"/>
    <w:rsid w:val="006737E5"/>
    <w:rsid w:val="006742B2"/>
    <w:rsid w:val="00675137"/>
    <w:rsid w:val="0067513B"/>
    <w:rsid w:val="006751F6"/>
    <w:rsid w:val="00675488"/>
    <w:rsid w:val="00676838"/>
    <w:rsid w:val="00676A8B"/>
    <w:rsid w:val="00676B7B"/>
    <w:rsid w:val="00676C76"/>
    <w:rsid w:val="00676F86"/>
    <w:rsid w:val="006770CA"/>
    <w:rsid w:val="00677247"/>
    <w:rsid w:val="006801BC"/>
    <w:rsid w:val="00680476"/>
    <w:rsid w:val="00680833"/>
    <w:rsid w:val="00680F84"/>
    <w:rsid w:val="00680FC1"/>
    <w:rsid w:val="0068100A"/>
    <w:rsid w:val="00681385"/>
    <w:rsid w:val="0068163E"/>
    <w:rsid w:val="00682C17"/>
    <w:rsid w:val="00682DBD"/>
    <w:rsid w:val="00682E1C"/>
    <w:rsid w:val="006830D4"/>
    <w:rsid w:val="00683103"/>
    <w:rsid w:val="006833F9"/>
    <w:rsid w:val="006836B8"/>
    <w:rsid w:val="00683D05"/>
    <w:rsid w:val="00683E83"/>
    <w:rsid w:val="00684AA1"/>
    <w:rsid w:val="00685195"/>
    <w:rsid w:val="0068540D"/>
    <w:rsid w:val="00685639"/>
    <w:rsid w:val="00685939"/>
    <w:rsid w:val="00686182"/>
    <w:rsid w:val="0068696C"/>
    <w:rsid w:val="00687060"/>
    <w:rsid w:val="00687AFF"/>
    <w:rsid w:val="00687CA7"/>
    <w:rsid w:val="006901EC"/>
    <w:rsid w:val="006909E5"/>
    <w:rsid w:val="00691AF9"/>
    <w:rsid w:val="00691EE6"/>
    <w:rsid w:val="00692C5F"/>
    <w:rsid w:val="00692E15"/>
    <w:rsid w:val="00694538"/>
    <w:rsid w:val="006946BB"/>
    <w:rsid w:val="0069577D"/>
    <w:rsid w:val="00696409"/>
    <w:rsid w:val="00696D8E"/>
    <w:rsid w:val="00697001"/>
    <w:rsid w:val="006979B8"/>
    <w:rsid w:val="00697C3C"/>
    <w:rsid w:val="006A0967"/>
    <w:rsid w:val="006A09CA"/>
    <w:rsid w:val="006A1F3D"/>
    <w:rsid w:val="006A2D11"/>
    <w:rsid w:val="006A2D9B"/>
    <w:rsid w:val="006A32F2"/>
    <w:rsid w:val="006A35E4"/>
    <w:rsid w:val="006A391F"/>
    <w:rsid w:val="006A399C"/>
    <w:rsid w:val="006A3AC3"/>
    <w:rsid w:val="006A491C"/>
    <w:rsid w:val="006A49AD"/>
    <w:rsid w:val="006A4B8D"/>
    <w:rsid w:val="006A5A35"/>
    <w:rsid w:val="006A5F83"/>
    <w:rsid w:val="006A6525"/>
    <w:rsid w:val="006A6548"/>
    <w:rsid w:val="006A65A5"/>
    <w:rsid w:val="006A676F"/>
    <w:rsid w:val="006A6E41"/>
    <w:rsid w:val="006A748E"/>
    <w:rsid w:val="006A7522"/>
    <w:rsid w:val="006A77E6"/>
    <w:rsid w:val="006B1216"/>
    <w:rsid w:val="006B15F8"/>
    <w:rsid w:val="006B162C"/>
    <w:rsid w:val="006B1920"/>
    <w:rsid w:val="006B1E82"/>
    <w:rsid w:val="006B23E1"/>
    <w:rsid w:val="006B250D"/>
    <w:rsid w:val="006B2E07"/>
    <w:rsid w:val="006B2F43"/>
    <w:rsid w:val="006B417E"/>
    <w:rsid w:val="006B476E"/>
    <w:rsid w:val="006B4933"/>
    <w:rsid w:val="006B4CE1"/>
    <w:rsid w:val="006B5B9D"/>
    <w:rsid w:val="006B5D75"/>
    <w:rsid w:val="006B6919"/>
    <w:rsid w:val="006B722B"/>
    <w:rsid w:val="006B775B"/>
    <w:rsid w:val="006C0280"/>
    <w:rsid w:val="006C08B3"/>
    <w:rsid w:val="006C0F4F"/>
    <w:rsid w:val="006C111E"/>
    <w:rsid w:val="006C1FDC"/>
    <w:rsid w:val="006C20BC"/>
    <w:rsid w:val="006C2AE7"/>
    <w:rsid w:val="006C2E30"/>
    <w:rsid w:val="006C311C"/>
    <w:rsid w:val="006C3828"/>
    <w:rsid w:val="006C56EB"/>
    <w:rsid w:val="006C6C3B"/>
    <w:rsid w:val="006D05A0"/>
    <w:rsid w:val="006D1889"/>
    <w:rsid w:val="006D1B1F"/>
    <w:rsid w:val="006D24A8"/>
    <w:rsid w:val="006D2E88"/>
    <w:rsid w:val="006D365D"/>
    <w:rsid w:val="006D36EF"/>
    <w:rsid w:val="006D3DBF"/>
    <w:rsid w:val="006D4477"/>
    <w:rsid w:val="006D5071"/>
    <w:rsid w:val="006D61BC"/>
    <w:rsid w:val="006D69A4"/>
    <w:rsid w:val="006D6E2F"/>
    <w:rsid w:val="006D6F9A"/>
    <w:rsid w:val="006D72CF"/>
    <w:rsid w:val="006D75DA"/>
    <w:rsid w:val="006D76F2"/>
    <w:rsid w:val="006D798B"/>
    <w:rsid w:val="006D7C2E"/>
    <w:rsid w:val="006D7D95"/>
    <w:rsid w:val="006E0339"/>
    <w:rsid w:val="006E0E01"/>
    <w:rsid w:val="006E133C"/>
    <w:rsid w:val="006E1413"/>
    <w:rsid w:val="006E1ECB"/>
    <w:rsid w:val="006E2212"/>
    <w:rsid w:val="006E2425"/>
    <w:rsid w:val="006E248F"/>
    <w:rsid w:val="006E28CA"/>
    <w:rsid w:val="006E2C54"/>
    <w:rsid w:val="006E30A5"/>
    <w:rsid w:val="006E3555"/>
    <w:rsid w:val="006E37A8"/>
    <w:rsid w:val="006E3ADD"/>
    <w:rsid w:val="006E3B70"/>
    <w:rsid w:val="006E3EA6"/>
    <w:rsid w:val="006E48B5"/>
    <w:rsid w:val="006E4E5B"/>
    <w:rsid w:val="006E505B"/>
    <w:rsid w:val="006E5B6A"/>
    <w:rsid w:val="006E5EA4"/>
    <w:rsid w:val="006E6A5F"/>
    <w:rsid w:val="006E6B20"/>
    <w:rsid w:val="006E6D50"/>
    <w:rsid w:val="006E6DCD"/>
    <w:rsid w:val="006E7ADC"/>
    <w:rsid w:val="006F0D1F"/>
    <w:rsid w:val="006F1109"/>
    <w:rsid w:val="006F169C"/>
    <w:rsid w:val="006F2DD7"/>
    <w:rsid w:val="006F3CBF"/>
    <w:rsid w:val="006F478A"/>
    <w:rsid w:val="006F4C62"/>
    <w:rsid w:val="006F5D18"/>
    <w:rsid w:val="006F631B"/>
    <w:rsid w:val="006F6A10"/>
    <w:rsid w:val="006F6EC1"/>
    <w:rsid w:val="006F6ECF"/>
    <w:rsid w:val="006F728C"/>
    <w:rsid w:val="006F7562"/>
    <w:rsid w:val="006F797F"/>
    <w:rsid w:val="0070010F"/>
    <w:rsid w:val="00700A48"/>
    <w:rsid w:val="00700E06"/>
    <w:rsid w:val="00700FD0"/>
    <w:rsid w:val="0070101B"/>
    <w:rsid w:val="00701684"/>
    <w:rsid w:val="0070195C"/>
    <w:rsid w:val="00701D67"/>
    <w:rsid w:val="00701E4C"/>
    <w:rsid w:val="007020DA"/>
    <w:rsid w:val="0070270D"/>
    <w:rsid w:val="00702FE0"/>
    <w:rsid w:val="007036EC"/>
    <w:rsid w:val="00703AF4"/>
    <w:rsid w:val="00703B6C"/>
    <w:rsid w:val="00703BD1"/>
    <w:rsid w:val="007050F8"/>
    <w:rsid w:val="00707C33"/>
    <w:rsid w:val="00707CF7"/>
    <w:rsid w:val="007103C9"/>
    <w:rsid w:val="00710CB9"/>
    <w:rsid w:val="00711A8A"/>
    <w:rsid w:val="00711FB1"/>
    <w:rsid w:val="00714B2B"/>
    <w:rsid w:val="00714C76"/>
    <w:rsid w:val="00715749"/>
    <w:rsid w:val="00715B21"/>
    <w:rsid w:val="00715B3C"/>
    <w:rsid w:val="00715DFD"/>
    <w:rsid w:val="00715F31"/>
    <w:rsid w:val="00715F6F"/>
    <w:rsid w:val="007161D9"/>
    <w:rsid w:val="007162B0"/>
    <w:rsid w:val="00716EE9"/>
    <w:rsid w:val="0071766D"/>
    <w:rsid w:val="00717729"/>
    <w:rsid w:val="00717870"/>
    <w:rsid w:val="00717953"/>
    <w:rsid w:val="00720769"/>
    <w:rsid w:val="00720D06"/>
    <w:rsid w:val="00720E09"/>
    <w:rsid w:val="00721A43"/>
    <w:rsid w:val="00721F97"/>
    <w:rsid w:val="007220C9"/>
    <w:rsid w:val="0072236F"/>
    <w:rsid w:val="0072270B"/>
    <w:rsid w:val="00722A98"/>
    <w:rsid w:val="00723085"/>
    <w:rsid w:val="00723AE2"/>
    <w:rsid w:val="00724A1D"/>
    <w:rsid w:val="00724EA1"/>
    <w:rsid w:val="00725F10"/>
    <w:rsid w:val="0072647E"/>
    <w:rsid w:val="00726C80"/>
    <w:rsid w:val="00726FC3"/>
    <w:rsid w:val="0072720F"/>
    <w:rsid w:val="007274CA"/>
    <w:rsid w:val="007275DB"/>
    <w:rsid w:val="00727E95"/>
    <w:rsid w:val="0073000E"/>
    <w:rsid w:val="007325BD"/>
    <w:rsid w:val="007326F5"/>
    <w:rsid w:val="00732816"/>
    <w:rsid w:val="00732A99"/>
    <w:rsid w:val="0073394C"/>
    <w:rsid w:val="00733A62"/>
    <w:rsid w:val="00733D89"/>
    <w:rsid w:val="0073416C"/>
    <w:rsid w:val="007343BA"/>
    <w:rsid w:val="007346CF"/>
    <w:rsid w:val="00734CF0"/>
    <w:rsid w:val="00735847"/>
    <w:rsid w:val="00736728"/>
    <w:rsid w:val="00736FC0"/>
    <w:rsid w:val="007371D0"/>
    <w:rsid w:val="00737933"/>
    <w:rsid w:val="00737C89"/>
    <w:rsid w:val="007409F7"/>
    <w:rsid w:val="00741151"/>
    <w:rsid w:val="0074148D"/>
    <w:rsid w:val="007423D1"/>
    <w:rsid w:val="0074243B"/>
    <w:rsid w:val="007427BF"/>
    <w:rsid w:val="007427D5"/>
    <w:rsid w:val="00742C87"/>
    <w:rsid w:val="00743ED0"/>
    <w:rsid w:val="00743F56"/>
    <w:rsid w:val="0074410C"/>
    <w:rsid w:val="00744895"/>
    <w:rsid w:val="00744D4D"/>
    <w:rsid w:val="00744DFB"/>
    <w:rsid w:val="0074549B"/>
    <w:rsid w:val="007459E3"/>
    <w:rsid w:val="007462C1"/>
    <w:rsid w:val="00746555"/>
    <w:rsid w:val="00746E04"/>
    <w:rsid w:val="0074757B"/>
    <w:rsid w:val="007476D9"/>
    <w:rsid w:val="00747B25"/>
    <w:rsid w:val="007505AF"/>
    <w:rsid w:val="00750F75"/>
    <w:rsid w:val="0075193D"/>
    <w:rsid w:val="00751C72"/>
    <w:rsid w:val="00751E34"/>
    <w:rsid w:val="00752444"/>
    <w:rsid w:val="00752D59"/>
    <w:rsid w:val="0075316F"/>
    <w:rsid w:val="007532DF"/>
    <w:rsid w:val="007535E6"/>
    <w:rsid w:val="007536C3"/>
    <w:rsid w:val="00753FEF"/>
    <w:rsid w:val="00754BC6"/>
    <w:rsid w:val="0075502D"/>
    <w:rsid w:val="0075633F"/>
    <w:rsid w:val="0075753B"/>
    <w:rsid w:val="00760CFE"/>
    <w:rsid w:val="00762592"/>
    <w:rsid w:val="00762959"/>
    <w:rsid w:val="007640E0"/>
    <w:rsid w:val="00764772"/>
    <w:rsid w:val="00765B55"/>
    <w:rsid w:val="00765DCA"/>
    <w:rsid w:val="00765E33"/>
    <w:rsid w:val="0076677A"/>
    <w:rsid w:val="00766825"/>
    <w:rsid w:val="007679D3"/>
    <w:rsid w:val="00767C80"/>
    <w:rsid w:val="0077009D"/>
    <w:rsid w:val="007706F6"/>
    <w:rsid w:val="00770823"/>
    <w:rsid w:val="00770D17"/>
    <w:rsid w:val="0077150E"/>
    <w:rsid w:val="0077179A"/>
    <w:rsid w:val="00772EF2"/>
    <w:rsid w:val="00772F87"/>
    <w:rsid w:val="00772F8D"/>
    <w:rsid w:val="00773651"/>
    <w:rsid w:val="007736E6"/>
    <w:rsid w:val="00773A52"/>
    <w:rsid w:val="00774023"/>
    <w:rsid w:val="0077427F"/>
    <w:rsid w:val="007745E5"/>
    <w:rsid w:val="00774748"/>
    <w:rsid w:val="00774BB8"/>
    <w:rsid w:val="00775796"/>
    <w:rsid w:val="00775AA2"/>
    <w:rsid w:val="007764E0"/>
    <w:rsid w:val="00776662"/>
    <w:rsid w:val="00776C44"/>
    <w:rsid w:val="0077707B"/>
    <w:rsid w:val="00777252"/>
    <w:rsid w:val="00777338"/>
    <w:rsid w:val="00777B0E"/>
    <w:rsid w:val="00777B2A"/>
    <w:rsid w:val="00777FB4"/>
    <w:rsid w:val="00780D28"/>
    <w:rsid w:val="00780D42"/>
    <w:rsid w:val="007811A1"/>
    <w:rsid w:val="00781A67"/>
    <w:rsid w:val="00782C7D"/>
    <w:rsid w:val="007833D8"/>
    <w:rsid w:val="00783D23"/>
    <w:rsid w:val="00783DF7"/>
    <w:rsid w:val="00784493"/>
    <w:rsid w:val="00784A01"/>
    <w:rsid w:val="007855C2"/>
    <w:rsid w:val="00786181"/>
    <w:rsid w:val="007862F3"/>
    <w:rsid w:val="0078652F"/>
    <w:rsid w:val="007867BB"/>
    <w:rsid w:val="00786E38"/>
    <w:rsid w:val="00787599"/>
    <w:rsid w:val="007875A5"/>
    <w:rsid w:val="00790403"/>
    <w:rsid w:val="007905CC"/>
    <w:rsid w:val="007907D4"/>
    <w:rsid w:val="007912B5"/>
    <w:rsid w:val="007912F9"/>
    <w:rsid w:val="00791671"/>
    <w:rsid w:val="00792814"/>
    <w:rsid w:val="00792B59"/>
    <w:rsid w:val="00792FA3"/>
    <w:rsid w:val="00793936"/>
    <w:rsid w:val="00794472"/>
    <w:rsid w:val="00794695"/>
    <w:rsid w:val="00794BDA"/>
    <w:rsid w:val="00795758"/>
    <w:rsid w:val="0079575A"/>
    <w:rsid w:val="00795A6E"/>
    <w:rsid w:val="00795BCE"/>
    <w:rsid w:val="00795C7F"/>
    <w:rsid w:val="00796309"/>
    <w:rsid w:val="007963C4"/>
    <w:rsid w:val="00796454"/>
    <w:rsid w:val="007968D2"/>
    <w:rsid w:val="00796E1F"/>
    <w:rsid w:val="0079757B"/>
    <w:rsid w:val="00797E5B"/>
    <w:rsid w:val="007A0325"/>
    <w:rsid w:val="007A0785"/>
    <w:rsid w:val="007A09BF"/>
    <w:rsid w:val="007A1212"/>
    <w:rsid w:val="007A1D7E"/>
    <w:rsid w:val="007A1E85"/>
    <w:rsid w:val="007A29E1"/>
    <w:rsid w:val="007A3D2A"/>
    <w:rsid w:val="007A4845"/>
    <w:rsid w:val="007A4888"/>
    <w:rsid w:val="007A50C0"/>
    <w:rsid w:val="007A5235"/>
    <w:rsid w:val="007A537B"/>
    <w:rsid w:val="007A55C8"/>
    <w:rsid w:val="007A5C60"/>
    <w:rsid w:val="007A63F3"/>
    <w:rsid w:val="007A6485"/>
    <w:rsid w:val="007A6555"/>
    <w:rsid w:val="007A6C21"/>
    <w:rsid w:val="007B041B"/>
    <w:rsid w:val="007B0D79"/>
    <w:rsid w:val="007B1075"/>
    <w:rsid w:val="007B14A0"/>
    <w:rsid w:val="007B154A"/>
    <w:rsid w:val="007B193D"/>
    <w:rsid w:val="007B1A52"/>
    <w:rsid w:val="007B2323"/>
    <w:rsid w:val="007B233C"/>
    <w:rsid w:val="007B2592"/>
    <w:rsid w:val="007B2593"/>
    <w:rsid w:val="007B37BE"/>
    <w:rsid w:val="007B3B65"/>
    <w:rsid w:val="007B4A25"/>
    <w:rsid w:val="007B4A6A"/>
    <w:rsid w:val="007B548F"/>
    <w:rsid w:val="007B554D"/>
    <w:rsid w:val="007B58E1"/>
    <w:rsid w:val="007B65C1"/>
    <w:rsid w:val="007B6619"/>
    <w:rsid w:val="007B6657"/>
    <w:rsid w:val="007B7985"/>
    <w:rsid w:val="007C0507"/>
    <w:rsid w:val="007C0693"/>
    <w:rsid w:val="007C08CE"/>
    <w:rsid w:val="007C0A33"/>
    <w:rsid w:val="007C1542"/>
    <w:rsid w:val="007C1D56"/>
    <w:rsid w:val="007C1E7F"/>
    <w:rsid w:val="007C1EB1"/>
    <w:rsid w:val="007C23A8"/>
    <w:rsid w:val="007C388D"/>
    <w:rsid w:val="007C4434"/>
    <w:rsid w:val="007C4AD9"/>
    <w:rsid w:val="007C513F"/>
    <w:rsid w:val="007C5879"/>
    <w:rsid w:val="007C5B9C"/>
    <w:rsid w:val="007C6355"/>
    <w:rsid w:val="007C6C5A"/>
    <w:rsid w:val="007C6CF0"/>
    <w:rsid w:val="007C73AD"/>
    <w:rsid w:val="007C780F"/>
    <w:rsid w:val="007D05BA"/>
    <w:rsid w:val="007D0893"/>
    <w:rsid w:val="007D098D"/>
    <w:rsid w:val="007D09EF"/>
    <w:rsid w:val="007D0EA3"/>
    <w:rsid w:val="007D1CD7"/>
    <w:rsid w:val="007D1E01"/>
    <w:rsid w:val="007D23BF"/>
    <w:rsid w:val="007D23C8"/>
    <w:rsid w:val="007D2B54"/>
    <w:rsid w:val="007D2E23"/>
    <w:rsid w:val="007D3432"/>
    <w:rsid w:val="007D3940"/>
    <w:rsid w:val="007D51EC"/>
    <w:rsid w:val="007D5715"/>
    <w:rsid w:val="007D5AAF"/>
    <w:rsid w:val="007D5EC4"/>
    <w:rsid w:val="007D5FDE"/>
    <w:rsid w:val="007D63BA"/>
    <w:rsid w:val="007D6982"/>
    <w:rsid w:val="007D6A4A"/>
    <w:rsid w:val="007D6F3A"/>
    <w:rsid w:val="007D75F2"/>
    <w:rsid w:val="007D7D94"/>
    <w:rsid w:val="007E0992"/>
    <w:rsid w:val="007E143C"/>
    <w:rsid w:val="007E1442"/>
    <w:rsid w:val="007E17CD"/>
    <w:rsid w:val="007E1B9A"/>
    <w:rsid w:val="007E20B8"/>
    <w:rsid w:val="007E3357"/>
    <w:rsid w:val="007E33A3"/>
    <w:rsid w:val="007E383E"/>
    <w:rsid w:val="007E3C43"/>
    <w:rsid w:val="007E49CA"/>
    <w:rsid w:val="007E4D37"/>
    <w:rsid w:val="007E53BA"/>
    <w:rsid w:val="007E613D"/>
    <w:rsid w:val="007E69EA"/>
    <w:rsid w:val="007E753F"/>
    <w:rsid w:val="007E7686"/>
    <w:rsid w:val="007E7DA5"/>
    <w:rsid w:val="007F00D7"/>
    <w:rsid w:val="007F02B1"/>
    <w:rsid w:val="007F0903"/>
    <w:rsid w:val="007F0E9D"/>
    <w:rsid w:val="007F1D09"/>
    <w:rsid w:val="007F1D2C"/>
    <w:rsid w:val="007F20B3"/>
    <w:rsid w:val="007F2B61"/>
    <w:rsid w:val="007F2C5E"/>
    <w:rsid w:val="007F4118"/>
    <w:rsid w:val="007F4600"/>
    <w:rsid w:val="007F4D03"/>
    <w:rsid w:val="007F53D4"/>
    <w:rsid w:val="007F58B5"/>
    <w:rsid w:val="007F5A67"/>
    <w:rsid w:val="007F5DE1"/>
    <w:rsid w:val="007F5F86"/>
    <w:rsid w:val="007F6C27"/>
    <w:rsid w:val="007F7126"/>
    <w:rsid w:val="007F77E3"/>
    <w:rsid w:val="007F79BC"/>
    <w:rsid w:val="008001EA"/>
    <w:rsid w:val="008003C8"/>
    <w:rsid w:val="00800A74"/>
    <w:rsid w:val="008017D6"/>
    <w:rsid w:val="00801822"/>
    <w:rsid w:val="00801B71"/>
    <w:rsid w:val="0080203E"/>
    <w:rsid w:val="0080257D"/>
    <w:rsid w:val="00802C69"/>
    <w:rsid w:val="00802C83"/>
    <w:rsid w:val="008037E6"/>
    <w:rsid w:val="00805210"/>
    <w:rsid w:val="0080522B"/>
    <w:rsid w:val="008052D8"/>
    <w:rsid w:val="00806023"/>
    <w:rsid w:val="0080616E"/>
    <w:rsid w:val="008062F6"/>
    <w:rsid w:val="008067EE"/>
    <w:rsid w:val="00807251"/>
    <w:rsid w:val="0080736D"/>
    <w:rsid w:val="00807EAD"/>
    <w:rsid w:val="008100A4"/>
    <w:rsid w:val="00810985"/>
    <w:rsid w:val="00810D13"/>
    <w:rsid w:val="00811442"/>
    <w:rsid w:val="0081144B"/>
    <w:rsid w:val="0081146C"/>
    <w:rsid w:val="00811E27"/>
    <w:rsid w:val="0081211B"/>
    <w:rsid w:val="00812D28"/>
    <w:rsid w:val="00813407"/>
    <w:rsid w:val="0081401C"/>
    <w:rsid w:val="008140EE"/>
    <w:rsid w:val="00814ADD"/>
    <w:rsid w:val="00815679"/>
    <w:rsid w:val="00815A69"/>
    <w:rsid w:val="0081611D"/>
    <w:rsid w:val="00816579"/>
    <w:rsid w:val="0081681E"/>
    <w:rsid w:val="00817912"/>
    <w:rsid w:val="00817AE1"/>
    <w:rsid w:val="00817C7D"/>
    <w:rsid w:val="00817D38"/>
    <w:rsid w:val="00820819"/>
    <w:rsid w:val="008208BB"/>
    <w:rsid w:val="008214CF"/>
    <w:rsid w:val="008218F9"/>
    <w:rsid w:val="00821C27"/>
    <w:rsid w:val="00822693"/>
    <w:rsid w:val="00822A22"/>
    <w:rsid w:val="00822C79"/>
    <w:rsid w:val="008235FF"/>
    <w:rsid w:val="00824110"/>
    <w:rsid w:val="00824527"/>
    <w:rsid w:val="00824EAC"/>
    <w:rsid w:val="008251B9"/>
    <w:rsid w:val="00825236"/>
    <w:rsid w:val="0082523E"/>
    <w:rsid w:val="00825515"/>
    <w:rsid w:val="00825751"/>
    <w:rsid w:val="00825B8F"/>
    <w:rsid w:val="00826115"/>
    <w:rsid w:val="00827B9F"/>
    <w:rsid w:val="008301FD"/>
    <w:rsid w:val="008307CE"/>
    <w:rsid w:val="00830DD6"/>
    <w:rsid w:val="00830E68"/>
    <w:rsid w:val="00830F86"/>
    <w:rsid w:val="0083128E"/>
    <w:rsid w:val="00831341"/>
    <w:rsid w:val="00831447"/>
    <w:rsid w:val="00831D3B"/>
    <w:rsid w:val="008325F4"/>
    <w:rsid w:val="00832E8E"/>
    <w:rsid w:val="0083303D"/>
    <w:rsid w:val="008343A5"/>
    <w:rsid w:val="0083480B"/>
    <w:rsid w:val="00834CCF"/>
    <w:rsid w:val="00834D14"/>
    <w:rsid w:val="008351B2"/>
    <w:rsid w:val="00835224"/>
    <w:rsid w:val="008353B1"/>
    <w:rsid w:val="0083568A"/>
    <w:rsid w:val="00835AC5"/>
    <w:rsid w:val="00835AFA"/>
    <w:rsid w:val="00835B40"/>
    <w:rsid w:val="00835E79"/>
    <w:rsid w:val="00835FFA"/>
    <w:rsid w:val="0083605C"/>
    <w:rsid w:val="0083605D"/>
    <w:rsid w:val="008363E4"/>
    <w:rsid w:val="008377D5"/>
    <w:rsid w:val="008378D3"/>
    <w:rsid w:val="00840683"/>
    <w:rsid w:val="008415DC"/>
    <w:rsid w:val="00841A55"/>
    <w:rsid w:val="00842044"/>
    <w:rsid w:val="00842516"/>
    <w:rsid w:val="008428C1"/>
    <w:rsid w:val="00842A24"/>
    <w:rsid w:val="00842EF3"/>
    <w:rsid w:val="00843D8B"/>
    <w:rsid w:val="0084434A"/>
    <w:rsid w:val="00844BE6"/>
    <w:rsid w:val="0084512E"/>
    <w:rsid w:val="00845EF0"/>
    <w:rsid w:val="0084638E"/>
    <w:rsid w:val="0084645A"/>
    <w:rsid w:val="008510E2"/>
    <w:rsid w:val="00851353"/>
    <w:rsid w:val="00851B25"/>
    <w:rsid w:val="008526E6"/>
    <w:rsid w:val="00852CD0"/>
    <w:rsid w:val="00852E22"/>
    <w:rsid w:val="00852E8D"/>
    <w:rsid w:val="00852F7E"/>
    <w:rsid w:val="00853150"/>
    <w:rsid w:val="0085365C"/>
    <w:rsid w:val="00853699"/>
    <w:rsid w:val="008539C9"/>
    <w:rsid w:val="00853ADB"/>
    <w:rsid w:val="00854DF1"/>
    <w:rsid w:val="0085533E"/>
    <w:rsid w:val="00855529"/>
    <w:rsid w:val="0085621F"/>
    <w:rsid w:val="0085661B"/>
    <w:rsid w:val="0085662E"/>
    <w:rsid w:val="00856A75"/>
    <w:rsid w:val="00856F87"/>
    <w:rsid w:val="008603F6"/>
    <w:rsid w:val="008604B4"/>
    <w:rsid w:val="00860B96"/>
    <w:rsid w:val="00860CC4"/>
    <w:rsid w:val="008612AD"/>
    <w:rsid w:val="0086244B"/>
    <w:rsid w:val="008624E9"/>
    <w:rsid w:val="0086308A"/>
    <w:rsid w:val="008632A4"/>
    <w:rsid w:val="0086338C"/>
    <w:rsid w:val="00863CB4"/>
    <w:rsid w:val="00863ED7"/>
    <w:rsid w:val="008643DE"/>
    <w:rsid w:val="008658A2"/>
    <w:rsid w:val="00866CA2"/>
    <w:rsid w:val="00867789"/>
    <w:rsid w:val="0086796F"/>
    <w:rsid w:val="00870A0F"/>
    <w:rsid w:val="00870BBC"/>
    <w:rsid w:val="00870C51"/>
    <w:rsid w:val="008719C3"/>
    <w:rsid w:val="00871F3B"/>
    <w:rsid w:val="00872AFB"/>
    <w:rsid w:val="00872DCE"/>
    <w:rsid w:val="0087347D"/>
    <w:rsid w:val="00873503"/>
    <w:rsid w:val="0087358B"/>
    <w:rsid w:val="00873831"/>
    <w:rsid w:val="00873CCE"/>
    <w:rsid w:val="00873DBE"/>
    <w:rsid w:val="008747EE"/>
    <w:rsid w:val="008749DF"/>
    <w:rsid w:val="0087504A"/>
    <w:rsid w:val="00875072"/>
    <w:rsid w:val="0087521B"/>
    <w:rsid w:val="00875345"/>
    <w:rsid w:val="0087601D"/>
    <w:rsid w:val="008765BE"/>
    <w:rsid w:val="00876D85"/>
    <w:rsid w:val="00877023"/>
    <w:rsid w:val="00877A35"/>
    <w:rsid w:val="008806E0"/>
    <w:rsid w:val="008807A9"/>
    <w:rsid w:val="00881066"/>
    <w:rsid w:val="0088107A"/>
    <w:rsid w:val="00881D03"/>
    <w:rsid w:val="008825BE"/>
    <w:rsid w:val="00882C04"/>
    <w:rsid w:val="00883CAE"/>
    <w:rsid w:val="0088414D"/>
    <w:rsid w:val="00884534"/>
    <w:rsid w:val="00885411"/>
    <w:rsid w:val="00885574"/>
    <w:rsid w:val="00885938"/>
    <w:rsid w:val="00886605"/>
    <w:rsid w:val="0088697A"/>
    <w:rsid w:val="00887057"/>
    <w:rsid w:val="008873FB"/>
    <w:rsid w:val="00887796"/>
    <w:rsid w:val="008879C6"/>
    <w:rsid w:val="008879FC"/>
    <w:rsid w:val="00890ADC"/>
    <w:rsid w:val="0089161F"/>
    <w:rsid w:val="00891E49"/>
    <w:rsid w:val="00892371"/>
    <w:rsid w:val="00892B0F"/>
    <w:rsid w:val="008931DA"/>
    <w:rsid w:val="008935C0"/>
    <w:rsid w:val="00893B68"/>
    <w:rsid w:val="00894323"/>
    <w:rsid w:val="0089458D"/>
    <w:rsid w:val="008951FA"/>
    <w:rsid w:val="00895613"/>
    <w:rsid w:val="00896355"/>
    <w:rsid w:val="00896553"/>
    <w:rsid w:val="0089679C"/>
    <w:rsid w:val="00896C37"/>
    <w:rsid w:val="00896E6F"/>
    <w:rsid w:val="008971AB"/>
    <w:rsid w:val="008977D5"/>
    <w:rsid w:val="00897C9F"/>
    <w:rsid w:val="00897F86"/>
    <w:rsid w:val="008A0303"/>
    <w:rsid w:val="008A0BA6"/>
    <w:rsid w:val="008A0C36"/>
    <w:rsid w:val="008A0CB5"/>
    <w:rsid w:val="008A15CC"/>
    <w:rsid w:val="008A1EA6"/>
    <w:rsid w:val="008A38C5"/>
    <w:rsid w:val="008A40A9"/>
    <w:rsid w:val="008A41C0"/>
    <w:rsid w:val="008A4840"/>
    <w:rsid w:val="008A52F0"/>
    <w:rsid w:val="008A67D7"/>
    <w:rsid w:val="008A6F27"/>
    <w:rsid w:val="008A799D"/>
    <w:rsid w:val="008A7C3C"/>
    <w:rsid w:val="008A7DE7"/>
    <w:rsid w:val="008B0313"/>
    <w:rsid w:val="008B0362"/>
    <w:rsid w:val="008B0545"/>
    <w:rsid w:val="008B11E3"/>
    <w:rsid w:val="008B208E"/>
    <w:rsid w:val="008B2932"/>
    <w:rsid w:val="008B38DF"/>
    <w:rsid w:val="008B3A91"/>
    <w:rsid w:val="008B3F52"/>
    <w:rsid w:val="008B4177"/>
    <w:rsid w:val="008B54DD"/>
    <w:rsid w:val="008B5C50"/>
    <w:rsid w:val="008B62E3"/>
    <w:rsid w:val="008B7049"/>
    <w:rsid w:val="008C021A"/>
    <w:rsid w:val="008C038C"/>
    <w:rsid w:val="008C0B9F"/>
    <w:rsid w:val="008C1DA2"/>
    <w:rsid w:val="008C2178"/>
    <w:rsid w:val="008C22E3"/>
    <w:rsid w:val="008C22FA"/>
    <w:rsid w:val="008C2379"/>
    <w:rsid w:val="008C3B6D"/>
    <w:rsid w:val="008C442D"/>
    <w:rsid w:val="008C4B15"/>
    <w:rsid w:val="008C4F42"/>
    <w:rsid w:val="008C5541"/>
    <w:rsid w:val="008C5689"/>
    <w:rsid w:val="008C59CD"/>
    <w:rsid w:val="008C5EEF"/>
    <w:rsid w:val="008C6D4D"/>
    <w:rsid w:val="008D027F"/>
    <w:rsid w:val="008D0D1D"/>
    <w:rsid w:val="008D13B4"/>
    <w:rsid w:val="008D1C19"/>
    <w:rsid w:val="008D21E0"/>
    <w:rsid w:val="008D245F"/>
    <w:rsid w:val="008D298B"/>
    <w:rsid w:val="008D2B1F"/>
    <w:rsid w:val="008D2C52"/>
    <w:rsid w:val="008D2DD7"/>
    <w:rsid w:val="008D30E5"/>
    <w:rsid w:val="008D3B10"/>
    <w:rsid w:val="008D4030"/>
    <w:rsid w:val="008D42AF"/>
    <w:rsid w:val="008D4C2F"/>
    <w:rsid w:val="008D4E0A"/>
    <w:rsid w:val="008D5F63"/>
    <w:rsid w:val="008D6460"/>
    <w:rsid w:val="008D6C4C"/>
    <w:rsid w:val="008D6FA1"/>
    <w:rsid w:val="008D730C"/>
    <w:rsid w:val="008E00EC"/>
    <w:rsid w:val="008E049A"/>
    <w:rsid w:val="008E06DF"/>
    <w:rsid w:val="008E1352"/>
    <w:rsid w:val="008E163A"/>
    <w:rsid w:val="008E17B6"/>
    <w:rsid w:val="008E1A01"/>
    <w:rsid w:val="008E1F37"/>
    <w:rsid w:val="008E2323"/>
    <w:rsid w:val="008E2545"/>
    <w:rsid w:val="008E289D"/>
    <w:rsid w:val="008E3879"/>
    <w:rsid w:val="008E44AF"/>
    <w:rsid w:val="008E48B6"/>
    <w:rsid w:val="008E4AD5"/>
    <w:rsid w:val="008E4DB1"/>
    <w:rsid w:val="008E5069"/>
    <w:rsid w:val="008E5957"/>
    <w:rsid w:val="008E5CA6"/>
    <w:rsid w:val="008E5D9B"/>
    <w:rsid w:val="008E64A7"/>
    <w:rsid w:val="008E688C"/>
    <w:rsid w:val="008E6DC0"/>
    <w:rsid w:val="008E79DE"/>
    <w:rsid w:val="008E7D6A"/>
    <w:rsid w:val="008F0435"/>
    <w:rsid w:val="008F0A06"/>
    <w:rsid w:val="008F1554"/>
    <w:rsid w:val="008F2752"/>
    <w:rsid w:val="008F2BAF"/>
    <w:rsid w:val="008F2E32"/>
    <w:rsid w:val="008F2F9B"/>
    <w:rsid w:val="008F32FB"/>
    <w:rsid w:val="008F3303"/>
    <w:rsid w:val="008F565D"/>
    <w:rsid w:val="008F61B2"/>
    <w:rsid w:val="008F762D"/>
    <w:rsid w:val="008F7B0C"/>
    <w:rsid w:val="009001F3"/>
    <w:rsid w:val="0090074A"/>
    <w:rsid w:val="00901105"/>
    <w:rsid w:val="0090113D"/>
    <w:rsid w:val="00901D26"/>
    <w:rsid w:val="00901E45"/>
    <w:rsid w:val="009026B9"/>
    <w:rsid w:val="00903C57"/>
    <w:rsid w:val="00903DB3"/>
    <w:rsid w:val="00903FFA"/>
    <w:rsid w:val="0090429A"/>
    <w:rsid w:val="009046A0"/>
    <w:rsid w:val="009046FA"/>
    <w:rsid w:val="00904AA8"/>
    <w:rsid w:val="00904B46"/>
    <w:rsid w:val="00904C61"/>
    <w:rsid w:val="00905161"/>
    <w:rsid w:val="009052E9"/>
    <w:rsid w:val="0090537F"/>
    <w:rsid w:val="0090582E"/>
    <w:rsid w:val="00906587"/>
    <w:rsid w:val="009070BC"/>
    <w:rsid w:val="00907CC4"/>
    <w:rsid w:val="00907E6C"/>
    <w:rsid w:val="009100FF"/>
    <w:rsid w:val="0091020B"/>
    <w:rsid w:val="00910323"/>
    <w:rsid w:val="00910D6B"/>
    <w:rsid w:val="0091158A"/>
    <w:rsid w:val="0091193A"/>
    <w:rsid w:val="00911A41"/>
    <w:rsid w:val="00912183"/>
    <w:rsid w:val="0091247B"/>
    <w:rsid w:val="009127A9"/>
    <w:rsid w:val="00912AE9"/>
    <w:rsid w:val="00912BD2"/>
    <w:rsid w:val="009131ED"/>
    <w:rsid w:val="009141FE"/>
    <w:rsid w:val="009145C9"/>
    <w:rsid w:val="00914B65"/>
    <w:rsid w:val="0091524A"/>
    <w:rsid w:val="0091527C"/>
    <w:rsid w:val="00916A05"/>
    <w:rsid w:val="009202D2"/>
    <w:rsid w:val="00920824"/>
    <w:rsid w:val="00920BF7"/>
    <w:rsid w:val="00920CCB"/>
    <w:rsid w:val="00921233"/>
    <w:rsid w:val="00921D38"/>
    <w:rsid w:val="00921E21"/>
    <w:rsid w:val="00921EA2"/>
    <w:rsid w:val="00921F20"/>
    <w:rsid w:val="0092270D"/>
    <w:rsid w:val="00925926"/>
    <w:rsid w:val="00925D39"/>
    <w:rsid w:val="009269DD"/>
    <w:rsid w:val="00927241"/>
    <w:rsid w:val="00930123"/>
    <w:rsid w:val="0093021F"/>
    <w:rsid w:val="009303A6"/>
    <w:rsid w:val="00930415"/>
    <w:rsid w:val="00930796"/>
    <w:rsid w:val="00930A32"/>
    <w:rsid w:val="00930EC8"/>
    <w:rsid w:val="00931839"/>
    <w:rsid w:val="00931AFA"/>
    <w:rsid w:val="00931CD1"/>
    <w:rsid w:val="00931D89"/>
    <w:rsid w:val="00931F17"/>
    <w:rsid w:val="0093248F"/>
    <w:rsid w:val="00932697"/>
    <w:rsid w:val="009329FF"/>
    <w:rsid w:val="00932EEB"/>
    <w:rsid w:val="0093307F"/>
    <w:rsid w:val="009331D8"/>
    <w:rsid w:val="0093334E"/>
    <w:rsid w:val="009333D9"/>
    <w:rsid w:val="009352BA"/>
    <w:rsid w:val="009357AE"/>
    <w:rsid w:val="00936278"/>
    <w:rsid w:val="009363D2"/>
    <w:rsid w:val="00936421"/>
    <w:rsid w:val="009374D5"/>
    <w:rsid w:val="009375C5"/>
    <w:rsid w:val="00940180"/>
    <w:rsid w:val="009401DD"/>
    <w:rsid w:val="009404B6"/>
    <w:rsid w:val="00940814"/>
    <w:rsid w:val="009409A0"/>
    <w:rsid w:val="00941091"/>
    <w:rsid w:val="0094214B"/>
    <w:rsid w:val="0094294B"/>
    <w:rsid w:val="00942B7E"/>
    <w:rsid w:val="00942B8D"/>
    <w:rsid w:val="009430D6"/>
    <w:rsid w:val="009432A3"/>
    <w:rsid w:val="0094367B"/>
    <w:rsid w:val="00943996"/>
    <w:rsid w:val="00944049"/>
    <w:rsid w:val="009440C5"/>
    <w:rsid w:val="009442C3"/>
    <w:rsid w:val="009446A6"/>
    <w:rsid w:val="00944D7A"/>
    <w:rsid w:val="0094507D"/>
    <w:rsid w:val="0094567F"/>
    <w:rsid w:val="009466E1"/>
    <w:rsid w:val="0094674F"/>
    <w:rsid w:val="00946B0F"/>
    <w:rsid w:val="00947014"/>
    <w:rsid w:val="0094711B"/>
    <w:rsid w:val="00947209"/>
    <w:rsid w:val="009473B3"/>
    <w:rsid w:val="00947E0B"/>
    <w:rsid w:val="00947F74"/>
    <w:rsid w:val="00950107"/>
    <w:rsid w:val="0095031D"/>
    <w:rsid w:val="009505A7"/>
    <w:rsid w:val="009509B1"/>
    <w:rsid w:val="00950EC5"/>
    <w:rsid w:val="0095128D"/>
    <w:rsid w:val="00951F14"/>
    <w:rsid w:val="00952224"/>
    <w:rsid w:val="009527F9"/>
    <w:rsid w:val="00952CA6"/>
    <w:rsid w:val="00952DC3"/>
    <w:rsid w:val="00953030"/>
    <w:rsid w:val="00953296"/>
    <w:rsid w:val="00953412"/>
    <w:rsid w:val="00953C48"/>
    <w:rsid w:val="00953C4D"/>
    <w:rsid w:val="00953D43"/>
    <w:rsid w:val="009540E9"/>
    <w:rsid w:val="009547C8"/>
    <w:rsid w:val="00954AD3"/>
    <w:rsid w:val="00955C66"/>
    <w:rsid w:val="0095632A"/>
    <w:rsid w:val="009569C0"/>
    <w:rsid w:val="00956B74"/>
    <w:rsid w:val="00956BD2"/>
    <w:rsid w:val="0096072A"/>
    <w:rsid w:val="00962125"/>
    <w:rsid w:val="009625FC"/>
    <w:rsid w:val="00962D70"/>
    <w:rsid w:val="00962F9A"/>
    <w:rsid w:val="0096344F"/>
    <w:rsid w:val="00963473"/>
    <w:rsid w:val="00963565"/>
    <w:rsid w:val="00963B91"/>
    <w:rsid w:val="009649CD"/>
    <w:rsid w:val="0096648E"/>
    <w:rsid w:val="00966517"/>
    <w:rsid w:val="00966981"/>
    <w:rsid w:val="009676F7"/>
    <w:rsid w:val="00967F8D"/>
    <w:rsid w:val="0097007A"/>
    <w:rsid w:val="0097020C"/>
    <w:rsid w:val="0097029D"/>
    <w:rsid w:val="0097032D"/>
    <w:rsid w:val="00971620"/>
    <w:rsid w:val="00972AB7"/>
    <w:rsid w:val="00972B5D"/>
    <w:rsid w:val="009732E3"/>
    <w:rsid w:val="00973BD5"/>
    <w:rsid w:val="00973FF5"/>
    <w:rsid w:val="0097400C"/>
    <w:rsid w:val="009742A8"/>
    <w:rsid w:val="00974798"/>
    <w:rsid w:val="009748E5"/>
    <w:rsid w:val="00974BF9"/>
    <w:rsid w:val="00974C1D"/>
    <w:rsid w:val="00974C40"/>
    <w:rsid w:val="0097583C"/>
    <w:rsid w:val="00975EC2"/>
    <w:rsid w:val="00976AC4"/>
    <w:rsid w:val="0097721D"/>
    <w:rsid w:val="00980230"/>
    <w:rsid w:val="0098121D"/>
    <w:rsid w:val="009820D7"/>
    <w:rsid w:val="00982DD9"/>
    <w:rsid w:val="009831A4"/>
    <w:rsid w:val="00983754"/>
    <w:rsid w:val="00983D51"/>
    <w:rsid w:val="00983D61"/>
    <w:rsid w:val="00983E41"/>
    <w:rsid w:val="00984AC5"/>
    <w:rsid w:val="00984B5F"/>
    <w:rsid w:val="00985D89"/>
    <w:rsid w:val="009861E3"/>
    <w:rsid w:val="009863D1"/>
    <w:rsid w:val="0098654B"/>
    <w:rsid w:val="00987B32"/>
    <w:rsid w:val="00987DD3"/>
    <w:rsid w:val="009901B5"/>
    <w:rsid w:val="00990298"/>
    <w:rsid w:val="009903B5"/>
    <w:rsid w:val="00990B44"/>
    <w:rsid w:val="00990C14"/>
    <w:rsid w:val="00992711"/>
    <w:rsid w:val="00993738"/>
    <w:rsid w:val="00993900"/>
    <w:rsid w:val="00994A34"/>
    <w:rsid w:val="00995055"/>
    <w:rsid w:val="0099591D"/>
    <w:rsid w:val="00995A0E"/>
    <w:rsid w:val="00996907"/>
    <w:rsid w:val="00996BCD"/>
    <w:rsid w:val="00996DFE"/>
    <w:rsid w:val="00997324"/>
    <w:rsid w:val="00997D52"/>
    <w:rsid w:val="00997E76"/>
    <w:rsid w:val="009A027D"/>
    <w:rsid w:val="009A02EA"/>
    <w:rsid w:val="009A042A"/>
    <w:rsid w:val="009A07BF"/>
    <w:rsid w:val="009A12E6"/>
    <w:rsid w:val="009A1A49"/>
    <w:rsid w:val="009A225B"/>
    <w:rsid w:val="009A2C50"/>
    <w:rsid w:val="009A2C69"/>
    <w:rsid w:val="009A364F"/>
    <w:rsid w:val="009A3685"/>
    <w:rsid w:val="009A3CF4"/>
    <w:rsid w:val="009A3D77"/>
    <w:rsid w:val="009A43B3"/>
    <w:rsid w:val="009A4693"/>
    <w:rsid w:val="009A4E92"/>
    <w:rsid w:val="009A5060"/>
    <w:rsid w:val="009A52D0"/>
    <w:rsid w:val="009A56CC"/>
    <w:rsid w:val="009A5A8C"/>
    <w:rsid w:val="009A60F5"/>
    <w:rsid w:val="009A7881"/>
    <w:rsid w:val="009B14C2"/>
    <w:rsid w:val="009B1764"/>
    <w:rsid w:val="009B22B9"/>
    <w:rsid w:val="009B2508"/>
    <w:rsid w:val="009B28E7"/>
    <w:rsid w:val="009B2A4E"/>
    <w:rsid w:val="009B2EDD"/>
    <w:rsid w:val="009B3773"/>
    <w:rsid w:val="009B4549"/>
    <w:rsid w:val="009B4867"/>
    <w:rsid w:val="009B4902"/>
    <w:rsid w:val="009B4B83"/>
    <w:rsid w:val="009B57DA"/>
    <w:rsid w:val="009B5C22"/>
    <w:rsid w:val="009B601F"/>
    <w:rsid w:val="009C027E"/>
    <w:rsid w:val="009C0A05"/>
    <w:rsid w:val="009C1D7A"/>
    <w:rsid w:val="009C204A"/>
    <w:rsid w:val="009C3884"/>
    <w:rsid w:val="009C44EB"/>
    <w:rsid w:val="009C44FC"/>
    <w:rsid w:val="009C478B"/>
    <w:rsid w:val="009C5156"/>
    <w:rsid w:val="009C5201"/>
    <w:rsid w:val="009C64EA"/>
    <w:rsid w:val="009C758C"/>
    <w:rsid w:val="009D015B"/>
    <w:rsid w:val="009D065C"/>
    <w:rsid w:val="009D0841"/>
    <w:rsid w:val="009D1399"/>
    <w:rsid w:val="009D13BC"/>
    <w:rsid w:val="009D1898"/>
    <w:rsid w:val="009D1F50"/>
    <w:rsid w:val="009D354C"/>
    <w:rsid w:val="009D35D3"/>
    <w:rsid w:val="009D3C31"/>
    <w:rsid w:val="009D47DF"/>
    <w:rsid w:val="009D4B84"/>
    <w:rsid w:val="009D4D3E"/>
    <w:rsid w:val="009D51F2"/>
    <w:rsid w:val="009D5C16"/>
    <w:rsid w:val="009D637E"/>
    <w:rsid w:val="009D64B8"/>
    <w:rsid w:val="009D69D4"/>
    <w:rsid w:val="009D6CC8"/>
    <w:rsid w:val="009D705C"/>
    <w:rsid w:val="009D71CA"/>
    <w:rsid w:val="009D7E36"/>
    <w:rsid w:val="009E00B4"/>
    <w:rsid w:val="009E0788"/>
    <w:rsid w:val="009E0D43"/>
    <w:rsid w:val="009E138B"/>
    <w:rsid w:val="009E1694"/>
    <w:rsid w:val="009E1BC6"/>
    <w:rsid w:val="009E2421"/>
    <w:rsid w:val="009E24EB"/>
    <w:rsid w:val="009E2944"/>
    <w:rsid w:val="009E3A9C"/>
    <w:rsid w:val="009E3BD8"/>
    <w:rsid w:val="009E3DDC"/>
    <w:rsid w:val="009E3EBB"/>
    <w:rsid w:val="009E4353"/>
    <w:rsid w:val="009E43E8"/>
    <w:rsid w:val="009E55B7"/>
    <w:rsid w:val="009E55C6"/>
    <w:rsid w:val="009E5743"/>
    <w:rsid w:val="009E5D1E"/>
    <w:rsid w:val="009E5F22"/>
    <w:rsid w:val="009E6B68"/>
    <w:rsid w:val="009E703B"/>
    <w:rsid w:val="009E79EE"/>
    <w:rsid w:val="009F02BF"/>
    <w:rsid w:val="009F0F62"/>
    <w:rsid w:val="009F147A"/>
    <w:rsid w:val="009F2898"/>
    <w:rsid w:val="009F29D6"/>
    <w:rsid w:val="009F3361"/>
    <w:rsid w:val="009F38A2"/>
    <w:rsid w:val="009F509A"/>
    <w:rsid w:val="009F53DC"/>
    <w:rsid w:val="009F5702"/>
    <w:rsid w:val="009F5A6A"/>
    <w:rsid w:val="009F63FF"/>
    <w:rsid w:val="009F7572"/>
    <w:rsid w:val="009F7A76"/>
    <w:rsid w:val="00A00499"/>
    <w:rsid w:val="00A012E2"/>
    <w:rsid w:val="00A013E7"/>
    <w:rsid w:val="00A01D62"/>
    <w:rsid w:val="00A01E68"/>
    <w:rsid w:val="00A022CC"/>
    <w:rsid w:val="00A02641"/>
    <w:rsid w:val="00A03C66"/>
    <w:rsid w:val="00A03FE0"/>
    <w:rsid w:val="00A04368"/>
    <w:rsid w:val="00A04891"/>
    <w:rsid w:val="00A04971"/>
    <w:rsid w:val="00A04F7E"/>
    <w:rsid w:val="00A058F1"/>
    <w:rsid w:val="00A05D11"/>
    <w:rsid w:val="00A06D46"/>
    <w:rsid w:val="00A06E71"/>
    <w:rsid w:val="00A0710E"/>
    <w:rsid w:val="00A071C2"/>
    <w:rsid w:val="00A07681"/>
    <w:rsid w:val="00A078E2"/>
    <w:rsid w:val="00A0798F"/>
    <w:rsid w:val="00A1072D"/>
    <w:rsid w:val="00A1088C"/>
    <w:rsid w:val="00A10F14"/>
    <w:rsid w:val="00A112FA"/>
    <w:rsid w:val="00A1134B"/>
    <w:rsid w:val="00A1222D"/>
    <w:rsid w:val="00A12313"/>
    <w:rsid w:val="00A12419"/>
    <w:rsid w:val="00A125AB"/>
    <w:rsid w:val="00A126B5"/>
    <w:rsid w:val="00A12BCA"/>
    <w:rsid w:val="00A135B7"/>
    <w:rsid w:val="00A14472"/>
    <w:rsid w:val="00A14B70"/>
    <w:rsid w:val="00A15124"/>
    <w:rsid w:val="00A15ED0"/>
    <w:rsid w:val="00A15F5C"/>
    <w:rsid w:val="00A15FCB"/>
    <w:rsid w:val="00A1607F"/>
    <w:rsid w:val="00A16629"/>
    <w:rsid w:val="00A1677E"/>
    <w:rsid w:val="00A16894"/>
    <w:rsid w:val="00A174E6"/>
    <w:rsid w:val="00A17777"/>
    <w:rsid w:val="00A17815"/>
    <w:rsid w:val="00A17DB0"/>
    <w:rsid w:val="00A201F2"/>
    <w:rsid w:val="00A20573"/>
    <w:rsid w:val="00A2121C"/>
    <w:rsid w:val="00A21430"/>
    <w:rsid w:val="00A21F8D"/>
    <w:rsid w:val="00A225FA"/>
    <w:rsid w:val="00A236DE"/>
    <w:rsid w:val="00A238E4"/>
    <w:rsid w:val="00A2483D"/>
    <w:rsid w:val="00A248E2"/>
    <w:rsid w:val="00A24A5F"/>
    <w:rsid w:val="00A250A9"/>
    <w:rsid w:val="00A25256"/>
    <w:rsid w:val="00A25C9F"/>
    <w:rsid w:val="00A25FA5"/>
    <w:rsid w:val="00A265CB"/>
    <w:rsid w:val="00A26C74"/>
    <w:rsid w:val="00A271BC"/>
    <w:rsid w:val="00A276C5"/>
    <w:rsid w:val="00A27FAF"/>
    <w:rsid w:val="00A27FB9"/>
    <w:rsid w:val="00A30306"/>
    <w:rsid w:val="00A30666"/>
    <w:rsid w:val="00A30768"/>
    <w:rsid w:val="00A30E6E"/>
    <w:rsid w:val="00A30E70"/>
    <w:rsid w:val="00A31790"/>
    <w:rsid w:val="00A317C0"/>
    <w:rsid w:val="00A32672"/>
    <w:rsid w:val="00A33B71"/>
    <w:rsid w:val="00A341E2"/>
    <w:rsid w:val="00A344BF"/>
    <w:rsid w:val="00A345CE"/>
    <w:rsid w:val="00A34AC1"/>
    <w:rsid w:val="00A3516A"/>
    <w:rsid w:val="00A35F76"/>
    <w:rsid w:val="00A3612E"/>
    <w:rsid w:val="00A36171"/>
    <w:rsid w:val="00A36B60"/>
    <w:rsid w:val="00A3759D"/>
    <w:rsid w:val="00A37652"/>
    <w:rsid w:val="00A37680"/>
    <w:rsid w:val="00A37784"/>
    <w:rsid w:val="00A404AE"/>
    <w:rsid w:val="00A40BEA"/>
    <w:rsid w:val="00A415C8"/>
    <w:rsid w:val="00A41DB1"/>
    <w:rsid w:val="00A42521"/>
    <w:rsid w:val="00A42563"/>
    <w:rsid w:val="00A42608"/>
    <w:rsid w:val="00A42647"/>
    <w:rsid w:val="00A427F6"/>
    <w:rsid w:val="00A42823"/>
    <w:rsid w:val="00A43019"/>
    <w:rsid w:val="00A43395"/>
    <w:rsid w:val="00A43B00"/>
    <w:rsid w:val="00A43CB8"/>
    <w:rsid w:val="00A44B96"/>
    <w:rsid w:val="00A44DBD"/>
    <w:rsid w:val="00A4578C"/>
    <w:rsid w:val="00A45A21"/>
    <w:rsid w:val="00A478A7"/>
    <w:rsid w:val="00A47C4B"/>
    <w:rsid w:val="00A503AF"/>
    <w:rsid w:val="00A5101F"/>
    <w:rsid w:val="00A51159"/>
    <w:rsid w:val="00A51847"/>
    <w:rsid w:val="00A52089"/>
    <w:rsid w:val="00A527E8"/>
    <w:rsid w:val="00A52ACD"/>
    <w:rsid w:val="00A52CA5"/>
    <w:rsid w:val="00A52EE9"/>
    <w:rsid w:val="00A53070"/>
    <w:rsid w:val="00A534BF"/>
    <w:rsid w:val="00A542C2"/>
    <w:rsid w:val="00A54533"/>
    <w:rsid w:val="00A54B98"/>
    <w:rsid w:val="00A55FBB"/>
    <w:rsid w:val="00A56C24"/>
    <w:rsid w:val="00A5721F"/>
    <w:rsid w:val="00A5774F"/>
    <w:rsid w:val="00A57F1E"/>
    <w:rsid w:val="00A60CC7"/>
    <w:rsid w:val="00A61352"/>
    <w:rsid w:val="00A6137D"/>
    <w:rsid w:val="00A615C0"/>
    <w:rsid w:val="00A62803"/>
    <w:rsid w:val="00A62DF9"/>
    <w:rsid w:val="00A6421C"/>
    <w:rsid w:val="00A64938"/>
    <w:rsid w:val="00A64E26"/>
    <w:rsid w:val="00A65E40"/>
    <w:rsid w:val="00A660F0"/>
    <w:rsid w:val="00A712CB"/>
    <w:rsid w:val="00A715B5"/>
    <w:rsid w:val="00A715FD"/>
    <w:rsid w:val="00A735BA"/>
    <w:rsid w:val="00A73E05"/>
    <w:rsid w:val="00A74639"/>
    <w:rsid w:val="00A74C01"/>
    <w:rsid w:val="00A75536"/>
    <w:rsid w:val="00A75AD4"/>
    <w:rsid w:val="00A75D90"/>
    <w:rsid w:val="00A76CA0"/>
    <w:rsid w:val="00A76EA1"/>
    <w:rsid w:val="00A7747F"/>
    <w:rsid w:val="00A800CD"/>
    <w:rsid w:val="00A8075E"/>
    <w:rsid w:val="00A80C46"/>
    <w:rsid w:val="00A80D52"/>
    <w:rsid w:val="00A81153"/>
    <w:rsid w:val="00A81189"/>
    <w:rsid w:val="00A811C1"/>
    <w:rsid w:val="00A81D0A"/>
    <w:rsid w:val="00A822DA"/>
    <w:rsid w:val="00A823D3"/>
    <w:rsid w:val="00A82626"/>
    <w:rsid w:val="00A8272E"/>
    <w:rsid w:val="00A82A9A"/>
    <w:rsid w:val="00A82FE5"/>
    <w:rsid w:val="00A84348"/>
    <w:rsid w:val="00A8498B"/>
    <w:rsid w:val="00A84D48"/>
    <w:rsid w:val="00A85191"/>
    <w:rsid w:val="00A85241"/>
    <w:rsid w:val="00A8532F"/>
    <w:rsid w:val="00A85B8B"/>
    <w:rsid w:val="00A85CF9"/>
    <w:rsid w:val="00A8605E"/>
    <w:rsid w:val="00A8672A"/>
    <w:rsid w:val="00A86A07"/>
    <w:rsid w:val="00A86C2C"/>
    <w:rsid w:val="00A87051"/>
    <w:rsid w:val="00A874D1"/>
    <w:rsid w:val="00A90F49"/>
    <w:rsid w:val="00A91068"/>
    <w:rsid w:val="00A911BE"/>
    <w:rsid w:val="00A91A74"/>
    <w:rsid w:val="00A93521"/>
    <w:rsid w:val="00A94797"/>
    <w:rsid w:val="00A947F0"/>
    <w:rsid w:val="00A95785"/>
    <w:rsid w:val="00A97F5C"/>
    <w:rsid w:val="00AA00A9"/>
    <w:rsid w:val="00AA0494"/>
    <w:rsid w:val="00AA1116"/>
    <w:rsid w:val="00AA1A8E"/>
    <w:rsid w:val="00AA2126"/>
    <w:rsid w:val="00AA22C3"/>
    <w:rsid w:val="00AA29CA"/>
    <w:rsid w:val="00AA30D4"/>
    <w:rsid w:val="00AA31DF"/>
    <w:rsid w:val="00AA35A7"/>
    <w:rsid w:val="00AA4466"/>
    <w:rsid w:val="00AA504E"/>
    <w:rsid w:val="00AA53DF"/>
    <w:rsid w:val="00AA69B7"/>
    <w:rsid w:val="00AA69F6"/>
    <w:rsid w:val="00AA7094"/>
    <w:rsid w:val="00AB00A6"/>
    <w:rsid w:val="00AB18BA"/>
    <w:rsid w:val="00AB1CC7"/>
    <w:rsid w:val="00AB1CEC"/>
    <w:rsid w:val="00AB263E"/>
    <w:rsid w:val="00AB396D"/>
    <w:rsid w:val="00AB4BA0"/>
    <w:rsid w:val="00AB4F9F"/>
    <w:rsid w:val="00AB6D23"/>
    <w:rsid w:val="00AC020F"/>
    <w:rsid w:val="00AC100F"/>
    <w:rsid w:val="00AC1620"/>
    <w:rsid w:val="00AC1D21"/>
    <w:rsid w:val="00AC26E6"/>
    <w:rsid w:val="00AC2B1B"/>
    <w:rsid w:val="00AC2E9A"/>
    <w:rsid w:val="00AC2F13"/>
    <w:rsid w:val="00AC3828"/>
    <w:rsid w:val="00AC3C6E"/>
    <w:rsid w:val="00AC3D22"/>
    <w:rsid w:val="00AC3D76"/>
    <w:rsid w:val="00AC3EB0"/>
    <w:rsid w:val="00AC4575"/>
    <w:rsid w:val="00AC4A38"/>
    <w:rsid w:val="00AC591E"/>
    <w:rsid w:val="00AC5BEB"/>
    <w:rsid w:val="00AC6C78"/>
    <w:rsid w:val="00AC6CA7"/>
    <w:rsid w:val="00AC6D1F"/>
    <w:rsid w:val="00AC6E4E"/>
    <w:rsid w:val="00AC7203"/>
    <w:rsid w:val="00AC747E"/>
    <w:rsid w:val="00AC7688"/>
    <w:rsid w:val="00AD027F"/>
    <w:rsid w:val="00AD0E70"/>
    <w:rsid w:val="00AD0F3A"/>
    <w:rsid w:val="00AD1227"/>
    <w:rsid w:val="00AD1BB2"/>
    <w:rsid w:val="00AD1F68"/>
    <w:rsid w:val="00AD23D5"/>
    <w:rsid w:val="00AD24F4"/>
    <w:rsid w:val="00AD290E"/>
    <w:rsid w:val="00AD2ABD"/>
    <w:rsid w:val="00AD2BF5"/>
    <w:rsid w:val="00AD321E"/>
    <w:rsid w:val="00AD3C90"/>
    <w:rsid w:val="00AD3E16"/>
    <w:rsid w:val="00AD49CD"/>
    <w:rsid w:val="00AD4DE3"/>
    <w:rsid w:val="00AD5A12"/>
    <w:rsid w:val="00AD5B7F"/>
    <w:rsid w:val="00AD6108"/>
    <w:rsid w:val="00AD63B8"/>
    <w:rsid w:val="00AD6691"/>
    <w:rsid w:val="00AD68F6"/>
    <w:rsid w:val="00AD6DFE"/>
    <w:rsid w:val="00AD6FC5"/>
    <w:rsid w:val="00AD705C"/>
    <w:rsid w:val="00AD725E"/>
    <w:rsid w:val="00AD7426"/>
    <w:rsid w:val="00AD746E"/>
    <w:rsid w:val="00AD7BA1"/>
    <w:rsid w:val="00AD7DB0"/>
    <w:rsid w:val="00AD7E5A"/>
    <w:rsid w:val="00AE0607"/>
    <w:rsid w:val="00AE0DB7"/>
    <w:rsid w:val="00AE1B12"/>
    <w:rsid w:val="00AE23E4"/>
    <w:rsid w:val="00AE2713"/>
    <w:rsid w:val="00AE28F5"/>
    <w:rsid w:val="00AE3143"/>
    <w:rsid w:val="00AE5694"/>
    <w:rsid w:val="00AE5859"/>
    <w:rsid w:val="00AE680B"/>
    <w:rsid w:val="00AE6D00"/>
    <w:rsid w:val="00AF0275"/>
    <w:rsid w:val="00AF09E0"/>
    <w:rsid w:val="00AF16C9"/>
    <w:rsid w:val="00AF1D37"/>
    <w:rsid w:val="00AF1E9F"/>
    <w:rsid w:val="00AF21F6"/>
    <w:rsid w:val="00AF2BB9"/>
    <w:rsid w:val="00AF2D90"/>
    <w:rsid w:val="00AF3365"/>
    <w:rsid w:val="00AF33CD"/>
    <w:rsid w:val="00AF3638"/>
    <w:rsid w:val="00AF36B7"/>
    <w:rsid w:val="00AF3896"/>
    <w:rsid w:val="00AF38B7"/>
    <w:rsid w:val="00AF3C81"/>
    <w:rsid w:val="00AF450B"/>
    <w:rsid w:val="00AF5175"/>
    <w:rsid w:val="00AF5296"/>
    <w:rsid w:val="00AF52BF"/>
    <w:rsid w:val="00AF5A24"/>
    <w:rsid w:val="00AF5EA5"/>
    <w:rsid w:val="00AF6CA2"/>
    <w:rsid w:val="00AF757D"/>
    <w:rsid w:val="00AF7B1F"/>
    <w:rsid w:val="00B004B7"/>
    <w:rsid w:val="00B004EC"/>
    <w:rsid w:val="00B0095A"/>
    <w:rsid w:val="00B00A99"/>
    <w:rsid w:val="00B00F7D"/>
    <w:rsid w:val="00B01707"/>
    <w:rsid w:val="00B01DAE"/>
    <w:rsid w:val="00B026B1"/>
    <w:rsid w:val="00B03128"/>
    <w:rsid w:val="00B035E3"/>
    <w:rsid w:val="00B04088"/>
    <w:rsid w:val="00B05A68"/>
    <w:rsid w:val="00B05C27"/>
    <w:rsid w:val="00B05F55"/>
    <w:rsid w:val="00B06B23"/>
    <w:rsid w:val="00B06CE7"/>
    <w:rsid w:val="00B072FF"/>
    <w:rsid w:val="00B07625"/>
    <w:rsid w:val="00B1032E"/>
    <w:rsid w:val="00B10579"/>
    <w:rsid w:val="00B1061B"/>
    <w:rsid w:val="00B107B6"/>
    <w:rsid w:val="00B10AF2"/>
    <w:rsid w:val="00B10D7B"/>
    <w:rsid w:val="00B10DB9"/>
    <w:rsid w:val="00B113B5"/>
    <w:rsid w:val="00B1264D"/>
    <w:rsid w:val="00B12DDB"/>
    <w:rsid w:val="00B14104"/>
    <w:rsid w:val="00B16A4F"/>
    <w:rsid w:val="00B1716A"/>
    <w:rsid w:val="00B172E2"/>
    <w:rsid w:val="00B173A6"/>
    <w:rsid w:val="00B1768A"/>
    <w:rsid w:val="00B20949"/>
    <w:rsid w:val="00B20A9E"/>
    <w:rsid w:val="00B20CE7"/>
    <w:rsid w:val="00B229FC"/>
    <w:rsid w:val="00B22AF9"/>
    <w:rsid w:val="00B23696"/>
    <w:rsid w:val="00B23A2C"/>
    <w:rsid w:val="00B253D4"/>
    <w:rsid w:val="00B25895"/>
    <w:rsid w:val="00B26727"/>
    <w:rsid w:val="00B26794"/>
    <w:rsid w:val="00B270F6"/>
    <w:rsid w:val="00B27126"/>
    <w:rsid w:val="00B275F6"/>
    <w:rsid w:val="00B2793B"/>
    <w:rsid w:val="00B3080C"/>
    <w:rsid w:val="00B309E1"/>
    <w:rsid w:val="00B30AFA"/>
    <w:rsid w:val="00B32471"/>
    <w:rsid w:val="00B32A8A"/>
    <w:rsid w:val="00B32D97"/>
    <w:rsid w:val="00B32DCF"/>
    <w:rsid w:val="00B33037"/>
    <w:rsid w:val="00B34E3D"/>
    <w:rsid w:val="00B3534C"/>
    <w:rsid w:val="00B356E4"/>
    <w:rsid w:val="00B36FE2"/>
    <w:rsid w:val="00B3738E"/>
    <w:rsid w:val="00B37AAC"/>
    <w:rsid w:val="00B37C75"/>
    <w:rsid w:val="00B37F78"/>
    <w:rsid w:val="00B40248"/>
    <w:rsid w:val="00B408B4"/>
    <w:rsid w:val="00B408BD"/>
    <w:rsid w:val="00B40B96"/>
    <w:rsid w:val="00B41027"/>
    <w:rsid w:val="00B410F8"/>
    <w:rsid w:val="00B41214"/>
    <w:rsid w:val="00B417DF"/>
    <w:rsid w:val="00B41D0C"/>
    <w:rsid w:val="00B42E2C"/>
    <w:rsid w:val="00B42ED4"/>
    <w:rsid w:val="00B432C3"/>
    <w:rsid w:val="00B439C9"/>
    <w:rsid w:val="00B43CBF"/>
    <w:rsid w:val="00B44809"/>
    <w:rsid w:val="00B457C2"/>
    <w:rsid w:val="00B457DC"/>
    <w:rsid w:val="00B45C10"/>
    <w:rsid w:val="00B462F3"/>
    <w:rsid w:val="00B465FB"/>
    <w:rsid w:val="00B46731"/>
    <w:rsid w:val="00B467A4"/>
    <w:rsid w:val="00B468A9"/>
    <w:rsid w:val="00B46EE6"/>
    <w:rsid w:val="00B47323"/>
    <w:rsid w:val="00B47809"/>
    <w:rsid w:val="00B50C88"/>
    <w:rsid w:val="00B51774"/>
    <w:rsid w:val="00B51866"/>
    <w:rsid w:val="00B5190D"/>
    <w:rsid w:val="00B520DD"/>
    <w:rsid w:val="00B53113"/>
    <w:rsid w:val="00B53DED"/>
    <w:rsid w:val="00B53E1C"/>
    <w:rsid w:val="00B55C14"/>
    <w:rsid w:val="00B56B50"/>
    <w:rsid w:val="00B57188"/>
    <w:rsid w:val="00B605F9"/>
    <w:rsid w:val="00B60775"/>
    <w:rsid w:val="00B60C83"/>
    <w:rsid w:val="00B60D6C"/>
    <w:rsid w:val="00B61AB5"/>
    <w:rsid w:val="00B61CA8"/>
    <w:rsid w:val="00B62379"/>
    <w:rsid w:val="00B62B7C"/>
    <w:rsid w:val="00B62CC0"/>
    <w:rsid w:val="00B6368F"/>
    <w:rsid w:val="00B637A8"/>
    <w:rsid w:val="00B648B2"/>
    <w:rsid w:val="00B649E0"/>
    <w:rsid w:val="00B64E93"/>
    <w:rsid w:val="00B65A4A"/>
    <w:rsid w:val="00B65E35"/>
    <w:rsid w:val="00B674D3"/>
    <w:rsid w:val="00B678B1"/>
    <w:rsid w:val="00B678E6"/>
    <w:rsid w:val="00B67C34"/>
    <w:rsid w:val="00B70606"/>
    <w:rsid w:val="00B70981"/>
    <w:rsid w:val="00B70C06"/>
    <w:rsid w:val="00B70C31"/>
    <w:rsid w:val="00B71F54"/>
    <w:rsid w:val="00B7207F"/>
    <w:rsid w:val="00B744CE"/>
    <w:rsid w:val="00B74D14"/>
    <w:rsid w:val="00B750C6"/>
    <w:rsid w:val="00B756A5"/>
    <w:rsid w:val="00B7577D"/>
    <w:rsid w:val="00B75E20"/>
    <w:rsid w:val="00B75E70"/>
    <w:rsid w:val="00B762B5"/>
    <w:rsid w:val="00B765C6"/>
    <w:rsid w:val="00B7683C"/>
    <w:rsid w:val="00B76956"/>
    <w:rsid w:val="00B76CCD"/>
    <w:rsid w:val="00B773C0"/>
    <w:rsid w:val="00B77897"/>
    <w:rsid w:val="00B80128"/>
    <w:rsid w:val="00B80D64"/>
    <w:rsid w:val="00B815A2"/>
    <w:rsid w:val="00B82020"/>
    <w:rsid w:val="00B820D9"/>
    <w:rsid w:val="00B821C9"/>
    <w:rsid w:val="00B82856"/>
    <w:rsid w:val="00B82D27"/>
    <w:rsid w:val="00B82D48"/>
    <w:rsid w:val="00B83587"/>
    <w:rsid w:val="00B83E83"/>
    <w:rsid w:val="00B83EDE"/>
    <w:rsid w:val="00B84D82"/>
    <w:rsid w:val="00B84F59"/>
    <w:rsid w:val="00B84FB7"/>
    <w:rsid w:val="00B85AB3"/>
    <w:rsid w:val="00B865BF"/>
    <w:rsid w:val="00B8687A"/>
    <w:rsid w:val="00B868ED"/>
    <w:rsid w:val="00B86B73"/>
    <w:rsid w:val="00B86CB1"/>
    <w:rsid w:val="00B8719C"/>
    <w:rsid w:val="00B8734D"/>
    <w:rsid w:val="00B87E28"/>
    <w:rsid w:val="00B90017"/>
    <w:rsid w:val="00B905EB"/>
    <w:rsid w:val="00B90B4A"/>
    <w:rsid w:val="00B90D62"/>
    <w:rsid w:val="00B91AC8"/>
    <w:rsid w:val="00B91AE0"/>
    <w:rsid w:val="00B91B78"/>
    <w:rsid w:val="00B931BD"/>
    <w:rsid w:val="00B940E0"/>
    <w:rsid w:val="00B94FF2"/>
    <w:rsid w:val="00B976F1"/>
    <w:rsid w:val="00B97FBE"/>
    <w:rsid w:val="00BA05FE"/>
    <w:rsid w:val="00BA07A8"/>
    <w:rsid w:val="00BA0A4D"/>
    <w:rsid w:val="00BA0D9A"/>
    <w:rsid w:val="00BA0E36"/>
    <w:rsid w:val="00BA10B4"/>
    <w:rsid w:val="00BA159D"/>
    <w:rsid w:val="00BA1F52"/>
    <w:rsid w:val="00BA2D74"/>
    <w:rsid w:val="00BA4B9D"/>
    <w:rsid w:val="00BA53CC"/>
    <w:rsid w:val="00BA563C"/>
    <w:rsid w:val="00BA5677"/>
    <w:rsid w:val="00BA598C"/>
    <w:rsid w:val="00BA5AB7"/>
    <w:rsid w:val="00BA639F"/>
    <w:rsid w:val="00BA6DAB"/>
    <w:rsid w:val="00BA7A2F"/>
    <w:rsid w:val="00BA7B37"/>
    <w:rsid w:val="00BB06D1"/>
    <w:rsid w:val="00BB1419"/>
    <w:rsid w:val="00BB1E37"/>
    <w:rsid w:val="00BB2AA5"/>
    <w:rsid w:val="00BB2D37"/>
    <w:rsid w:val="00BB30C0"/>
    <w:rsid w:val="00BB3155"/>
    <w:rsid w:val="00BB3289"/>
    <w:rsid w:val="00BB36DD"/>
    <w:rsid w:val="00BB468B"/>
    <w:rsid w:val="00BB4F3A"/>
    <w:rsid w:val="00BB60AE"/>
    <w:rsid w:val="00BB659F"/>
    <w:rsid w:val="00BB6F7D"/>
    <w:rsid w:val="00BB7610"/>
    <w:rsid w:val="00BB7DCD"/>
    <w:rsid w:val="00BC00A4"/>
    <w:rsid w:val="00BC0164"/>
    <w:rsid w:val="00BC0745"/>
    <w:rsid w:val="00BC0B37"/>
    <w:rsid w:val="00BC1E50"/>
    <w:rsid w:val="00BC29A9"/>
    <w:rsid w:val="00BC3037"/>
    <w:rsid w:val="00BC351A"/>
    <w:rsid w:val="00BC47E5"/>
    <w:rsid w:val="00BC486A"/>
    <w:rsid w:val="00BC4E47"/>
    <w:rsid w:val="00BC51E3"/>
    <w:rsid w:val="00BC6BB2"/>
    <w:rsid w:val="00BC6E17"/>
    <w:rsid w:val="00BC6F62"/>
    <w:rsid w:val="00BC7155"/>
    <w:rsid w:val="00BC7350"/>
    <w:rsid w:val="00BC77A4"/>
    <w:rsid w:val="00BC7B1F"/>
    <w:rsid w:val="00BD1DF8"/>
    <w:rsid w:val="00BD2155"/>
    <w:rsid w:val="00BD3EE8"/>
    <w:rsid w:val="00BD4C2E"/>
    <w:rsid w:val="00BD52B0"/>
    <w:rsid w:val="00BD56CD"/>
    <w:rsid w:val="00BD56EF"/>
    <w:rsid w:val="00BD57E9"/>
    <w:rsid w:val="00BD62F3"/>
    <w:rsid w:val="00BD6784"/>
    <w:rsid w:val="00BD6BB7"/>
    <w:rsid w:val="00BD6EA8"/>
    <w:rsid w:val="00BD72A1"/>
    <w:rsid w:val="00BD7AA4"/>
    <w:rsid w:val="00BD7BB3"/>
    <w:rsid w:val="00BE0344"/>
    <w:rsid w:val="00BE091A"/>
    <w:rsid w:val="00BE0BCD"/>
    <w:rsid w:val="00BE0CB1"/>
    <w:rsid w:val="00BE0F1B"/>
    <w:rsid w:val="00BE1218"/>
    <w:rsid w:val="00BE1BC8"/>
    <w:rsid w:val="00BE1C8D"/>
    <w:rsid w:val="00BE22F8"/>
    <w:rsid w:val="00BE23A6"/>
    <w:rsid w:val="00BE30B5"/>
    <w:rsid w:val="00BE3223"/>
    <w:rsid w:val="00BE3384"/>
    <w:rsid w:val="00BE3506"/>
    <w:rsid w:val="00BE3D67"/>
    <w:rsid w:val="00BE4BCD"/>
    <w:rsid w:val="00BE58F1"/>
    <w:rsid w:val="00BE59A2"/>
    <w:rsid w:val="00BE5FB4"/>
    <w:rsid w:val="00BE6AA6"/>
    <w:rsid w:val="00BE7275"/>
    <w:rsid w:val="00BE7465"/>
    <w:rsid w:val="00BE7816"/>
    <w:rsid w:val="00BE7903"/>
    <w:rsid w:val="00BE7912"/>
    <w:rsid w:val="00BE7935"/>
    <w:rsid w:val="00BE7C17"/>
    <w:rsid w:val="00BF007F"/>
    <w:rsid w:val="00BF0B71"/>
    <w:rsid w:val="00BF1DE7"/>
    <w:rsid w:val="00BF20CE"/>
    <w:rsid w:val="00BF2658"/>
    <w:rsid w:val="00BF2B56"/>
    <w:rsid w:val="00BF2E89"/>
    <w:rsid w:val="00BF3778"/>
    <w:rsid w:val="00BF3D5A"/>
    <w:rsid w:val="00BF4018"/>
    <w:rsid w:val="00BF5548"/>
    <w:rsid w:val="00BF5805"/>
    <w:rsid w:val="00BF5ACD"/>
    <w:rsid w:val="00BF6F59"/>
    <w:rsid w:val="00BF7017"/>
    <w:rsid w:val="00BF74EC"/>
    <w:rsid w:val="00BF7E61"/>
    <w:rsid w:val="00BF7EB2"/>
    <w:rsid w:val="00C0004F"/>
    <w:rsid w:val="00C00391"/>
    <w:rsid w:val="00C006B8"/>
    <w:rsid w:val="00C0113A"/>
    <w:rsid w:val="00C013A8"/>
    <w:rsid w:val="00C02595"/>
    <w:rsid w:val="00C02627"/>
    <w:rsid w:val="00C0426C"/>
    <w:rsid w:val="00C04295"/>
    <w:rsid w:val="00C0445B"/>
    <w:rsid w:val="00C04AF9"/>
    <w:rsid w:val="00C04B3D"/>
    <w:rsid w:val="00C05838"/>
    <w:rsid w:val="00C05BC5"/>
    <w:rsid w:val="00C05C12"/>
    <w:rsid w:val="00C05C36"/>
    <w:rsid w:val="00C06B5A"/>
    <w:rsid w:val="00C06D63"/>
    <w:rsid w:val="00C074E4"/>
    <w:rsid w:val="00C0790A"/>
    <w:rsid w:val="00C1036E"/>
    <w:rsid w:val="00C10617"/>
    <w:rsid w:val="00C10997"/>
    <w:rsid w:val="00C109F5"/>
    <w:rsid w:val="00C116F1"/>
    <w:rsid w:val="00C1179D"/>
    <w:rsid w:val="00C11881"/>
    <w:rsid w:val="00C12330"/>
    <w:rsid w:val="00C12A01"/>
    <w:rsid w:val="00C12AAB"/>
    <w:rsid w:val="00C12C93"/>
    <w:rsid w:val="00C136B5"/>
    <w:rsid w:val="00C137BB"/>
    <w:rsid w:val="00C13B40"/>
    <w:rsid w:val="00C14167"/>
    <w:rsid w:val="00C1429C"/>
    <w:rsid w:val="00C1451E"/>
    <w:rsid w:val="00C15398"/>
    <w:rsid w:val="00C165D6"/>
    <w:rsid w:val="00C1684E"/>
    <w:rsid w:val="00C16F87"/>
    <w:rsid w:val="00C17E50"/>
    <w:rsid w:val="00C20B81"/>
    <w:rsid w:val="00C21803"/>
    <w:rsid w:val="00C21EAE"/>
    <w:rsid w:val="00C23137"/>
    <w:rsid w:val="00C23630"/>
    <w:rsid w:val="00C24413"/>
    <w:rsid w:val="00C24613"/>
    <w:rsid w:val="00C24715"/>
    <w:rsid w:val="00C24A45"/>
    <w:rsid w:val="00C26C6E"/>
    <w:rsid w:val="00C276FB"/>
    <w:rsid w:val="00C31408"/>
    <w:rsid w:val="00C31831"/>
    <w:rsid w:val="00C318AB"/>
    <w:rsid w:val="00C31D0A"/>
    <w:rsid w:val="00C328F4"/>
    <w:rsid w:val="00C33255"/>
    <w:rsid w:val="00C334FE"/>
    <w:rsid w:val="00C33612"/>
    <w:rsid w:val="00C33E1C"/>
    <w:rsid w:val="00C33FF8"/>
    <w:rsid w:val="00C34303"/>
    <w:rsid w:val="00C34469"/>
    <w:rsid w:val="00C34BA1"/>
    <w:rsid w:val="00C362CA"/>
    <w:rsid w:val="00C368FE"/>
    <w:rsid w:val="00C376B4"/>
    <w:rsid w:val="00C400CF"/>
    <w:rsid w:val="00C40C41"/>
    <w:rsid w:val="00C41007"/>
    <w:rsid w:val="00C411BC"/>
    <w:rsid w:val="00C4152F"/>
    <w:rsid w:val="00C41CB4"/>
    <w:rsid w:val="00C42900"/>
    <w:rsid w:val="00C435AA"/>
    <w:rsid w:val="00C43962"/>
    <w:rsid w:val="00C43B20"/>
    <w:rsid w:val="00C4421A"/>
    <w:rsid w:val="00C45155"/>
    <w:rsid w:val="00C45622"/>
    <w:rsid w:val="00C466BD"/>
    <w:rsid w:val="00C4670D"/>
    <w:rsid w:val="00C4679E"/>
    <w:rsid w:val="00C46BB7"/>
    <w:rsid w:val="00C47264"/>
    <w:rsid w:val="00C478D5"/>
    <w:rsid w:val="00C4796E"/>
    <w:rsid w:val="00C47B85"/>
    <w:rsid w:val="00C47E49"/>
    <w:rsid w:val="00C50586"/>
    <w:rsid w:val="00C5078E"/>
    <w:rsid w:val="00C50B7B"/>
    <w:rsid w:val="00C50CB2"/>
    <w:rsid w:val="00C50F93"/>
    <w:rsid w:val="00C510A8"/>
    <w:rsid w:val="00C51308"/>
    <w:rsid w:val="00C51FDF"/>
    <w:rsid w:val="00C53457"/>
    <w:rsid w:val="00C5346D"/>
    <w:rsid w:val="00C534F2"/>
    <w:rsid w:val="00C53839"/>
    <w:rsid w:val="00C5453B"/>
    <w:rsid w:val="00C54710"/>
    <w:rsid w:val="00C54E9D"/>
    <w:rsid w:val="00C5588D"/>
    <w:rsid w:val="00C55C5D"/>
    <w:rsid w:val="00C55F6D"/>
    <w:rsid w:val="00C56453"/>
    <w:rsid w:val="00C565E2"/>
    <w:rsid w:val="00C566C1"/>
    <w:rsid w:val="00C56BB0"/>
    <w:rsid w:val="00C571F2"/>
    <w:rsid w:val="00C574F2"/>
    <w:rsid w:val="00C57C48"/>
    <w:rsid w:val="00C611EE"/>
    <w:rsid w:val="00C61D14"/>
    <w:rsid w:val="00C61EB4"/>
    <w:rsid w:val="00C63079"/>
    <w:rsid w:val="00C63CEE"/>
    <w:rsid w:val="00C63D46"/>
    <w:rsid w:val="00C64EA7"/>
    <w:rsid w:val="00C663C2"/>
    <w:rsid w:val="00C66BCA"/>
    <w:rsid w:val="00C7126A"/>
    <w:rsid w:val="00C713F7"/>
    <w:rsid w:val="00C71492"/>
    <w:rsid w:val="00C7159C"/>
    <w:rsid w:val="00C71887"/>
    <w:rsid w:val="00C718D1"/>
    <w:rsid w:val="00C71997"/>
    <w:rsid w:val="00C72B02"/>
    <w:rsid w:val="00C733ED"/>
    <w:rsid w:val="00C73B7E"/>
    <w:rsid w:val="00C73E74"/>
    <w:rsid w:val="00C7437B"/>
    <w:rsid w:val="00C7443E"/>
    <w:rsid w:val="00C74F49"/>
    <w:rsid w:val="00C755EC"/>
    <w:rsid w:val="00C75A6B"/>
    <w:rsid w:val="00C7634E"/>
    <w:rsid w:val="00C76920"/>
    <w:rsid w:val="00C77241"/>
    <w:rsid w:val="00C772D0"/>
    <w:rsid w:val="00C77E23"/>
    <w:rsid w:val="00C80089"/>
    <w:rsid w:val="00C81294"/>
    <w:rsid w:val="00C812B7"/>
    <w:rsid w:val="00C819EB"/>
    <w:rsid w:val="00C82437"/>
    <w:rsid w:val="00C826A4"/>
    <w:rsid w:val="00C82814"/>
    <w:rsid w:val="00C82A3B"/>
    <w:rsid w:val="00C83569"/>
    <w:rsid w:val="00C83630"/>
    <w:rsid w:val="00C83A27"/>
    <w:rsid w:val="00C83E8F"/>
    <w:rsid w:val="00C8455A"/>
    <w:rsid w:val="00C85B8E"/>
    <w:rsid w:val="00C85E15"/>
    <w:rsid w:val="00C85F1B"/>
    <w:rsid w:val="00C86170"/>
    <w:rsid w:val="00C8667C"/>
    <w:rsid w:val="00C86DA6"/>
    <w:rsid w:val="00C87029"/>
    <w:rsid w:val="00C87145"/>
    <w:rsid w:val="00C87681"/>
    <w:rsid w:val="00C90F63"/>
    <w:rsid w:val="00C91475"/>
    <w:rsid w:val="00C918B6"/>
    <w:rsid w:val="00C91947"/>
    <w:rsid w:val="00C92181"/>
    <w:rsid w:val="00C92217"/>
    <w:rsid w:val="00C92E1E"/>
    <w:rsid w:val="00C9341A"/>
    <w:rsid w:val="00C93EBC"/>
    <w:rsid w:val="00C94762"/>
    <w:rsid w:val="00C947DC"/>
    <w:rsid w:val="00C951D8"/>
    <w:rsid w:val="00C958E6"/>
    <w:rsid w:val="00C9716B"/>
    <w:rsid w:val="00C97791"/>
    <w:rsid w:val="00C97A61"/>
    <w:rsid w:val="00CA0831"/>
    <w:rsid w:val="00CA0FD7"/>
    <w:rsid w:val="00CA1A73"/>
    <w:rsid w:val="00CA1BF3"/>
    <w:rsid w:val="00CA21BE"/>
    <w:rsid w:val="00CA2684"/>
    <w:rsid w:val="00CA2E7B"/>
    <w:rsid w:val="00CA3A3B"/>
    <w:rsid w:val="00CA492B"/>
    <w:rsid w:val="00CA5694"/>
    <w:rsid w:val="00CA5ADB"/>
    <w:rsid w:val="00CA61F9"/>
    <w:rsid w:val="00CA64A0"/>
    <w:rsid w:val="00CA681E"/>
    <w:rsid w:val="00CA6C4B"/>
    <w:rsid w:val="00CA6E1C"/>
    <w:rsid w:val="00CA6F39"/>
    <w:rsid w:val="00CA71D5"/>
    <w:rsid w:val="00CA7D63"/>
    <w:rsid w:val="00CB015C"/>
    <w:rsid w:val="00CB06A1"/>
    <w:rsid w:val="00CB0DA7"/>
    <w:rsid w:val="00CB17B7"/>
    <w:rsid w:val="00CB1ADD"/>
    <w:rsid w:val="00CB1CF6"/>
    <w:rsid w:val="00CB1FF1"/>
    <w:rsid w:val="00CB2464"/>
    <w:rsid w:val="00CB24D6"/>
    <w:rsid w:val="00CB2785"/>
    <w:rsid w:val="00CB385B"/>
    <w:rsid w:val="00CB3D04"/>
    <w:rsid w:val="00CB3F20"/>
    <w:rsid w:val="00CB51EA"/>
    <w:rsid w:val="00CB54C2"/>
    <w:rsid w:val="00CB5561"/>
    <w:rsid w:val="00CB59BF"/>
    <w:rsid w:val="00CB5E1D"/>
    <w:rsid w:val="00CB6510"/>
    <w:rsid w:val="00CB6551"/>
    <w:rsid w:val="00CB6A2C"/>
    <w:rsid w:val="00CB6D81"/>
    <w:rsid w:val="00CB7103"/>
    <w:rsid w:val="00CB7970"/>
    <w:rsid w:val="00CC06FF"/>
    <w:rsid w:val="00CC086D"/>
    <w:rsid w:val="00CC0AC4"/>
    <w:rsid w:val="00CC1085"/>
    <w:rsid w:val="00CC199E"/>
    <w:rsid w:val="00CC2068"/>
    <w:rsid w:val="00CC2198"/>
    <w:rsid w:val="00CC2355"/>
    <w:rsid w:val="00CC23FB"/>
    <w:rsid w:val="00CC2C1A"/>
    <w:rsid w:val="00CC331B"/>
    <w:rsid w:val="00CC3860"/>
    <w:rsid w:val="00CC429F"/>
    <w:rsid w:val="00CC559C"/>
    <w:rsid w:val="00CC5794"/>
    <w:rsid w:val="00CC6D5D"/>
    <w:rsid w:val="00CC79C7"/>
    <w:rsid w:val="00CD0635"/>
    <w:rsid w:val="00CD0831"/>
    <w:rsid w:val="00CD0A7D"/>
    <w:rsid w:val="00CD0C36"/>
    <w:rsid w:val="00CD0CC7"/>
    <w:rsid w:val="00CD0F3C"/>
    <w:rsid w:val="00CD0F97"/>
    <w:rsid w:val="00CD1518"/>
    <w:rsid w:val="00CD1767"/>
    <w:rsid w:val="00CD18D2"/>
    <w:rsid w:val="00CD1E0E"/>
    <w:rsid w:val="00CD2AA1"/>
    <w:rsid w:val="00CD2CAD"/>
    <w:rsid w:val="00CD35D9"/>
    <w:rsid w:val="00CD483E"/>
    <w:rsid w:val="00CD4A64"/>
    <w:rsid w:val="00CD52A6"/>
    <w:rsid w:val="00CD5601"/>
    <w:rsid w:val="00CD57D6"/>
    <w:rsid w:val="00CD5843"/>
    <w:rsid w:val="00CD5F8F"/>
    <w:rsid w:val="00CD6228"/>
    <w:rsid w:val="00CD6612"/>
    <w:rsid w:val="00CD7BC9"/>
    <w:rsid w:val="00CE03BD"/>
    <w:rsid w:val="00CE09B0"/>
    <w:rsid w:val="00CE1122"/>
    <w:rsid w:val="00CE13E6"/>
    <w:rsid w:val="00CE174E"/>
    <w:rsid w:val="00CE19A0"/>
    <w:rsid w:val="00CE2E27"/>
    <w:rsid w:val="00CE369E"/>
    <w:rsid w:val="00CE3923"/>
    <w:rsid w:val="00CE3DC7"/>
    <w:rsid w:val="00CE3E2D"/>
    <w:rsid w:val="00CE4633"/>
    <w:rsid w:val="00CE483E"/>
    <w:rsid w:val="00CE538B"/>
    <w:rsid w:val="00CE541A"/>
    <w:rsid w:val="00CE6D73"/>
    <w:rsid w:val="00CE7DCD"/>
    <w:rsid w:val="00CE7E33"/>
    <w:rsid w:val="00CF0102"/>
    <w:rsid w:val="00CF0337"/>
    <w:rsid w:val="00CF0AAD"/>
    <w:rsid w:val="00CF1D2D"/>
    <w:rsid w:val="00CF25DF"/>
    <w:rsid w:val="00CF2669"/>
    <w:rsid w:val="00CF2EAC"/>
    <w:rsid w:val="00CF302B"/>
    <w:rsid w:val="00CF3039"/>
    <w:rsid w:val="00CF3141"/>
    <w:rsid w:val="00CF3500"/>
    <w:rsid w:val="00CF3D2F"/>
    <w:rsid w:val="00CF3DC8"/>
    <w:rsid w:val="00CF3F53"/>
    <w:rsid w:val="00CF4871"/>
    <w:rsid w:val="00CF48A4"/>
    <w:rsid w:val="00CF4C39"/>
    <w:rsid w:val="00CF4D3D"/>
    <w:rsid w:val="00CF54F5"/>
    <w:rsid w:val="00CF68AE"/>
    <w:rsid w:val="00CF692D"/>
    <w:rsid w:val="00CF6C8E"/>
    <w:rsid w:val="00CF6E31"/>
    <w:rsid w:val="00D000AF"/>
    <w:rsid w:val="00D009E7"/>
    <w:rsid w:val="00D00C09"/>
    <w:rsid w:val="00D0110D"/>
    <w:rsid w:val="00D01119"/>
    <w:rsid w:val="00D01246"/>
    <w:rsid w:val="00D017C9"/>
    <w:rsid w:val="00D023E1"/>
    <w:rsid w:val="00D02765"/>
    <w:rsid w:val="00D031E8"/>
    <w:rsid w:val="00D0360F"/>
    <w:rsid w:val="00D03739"/>
    <w:rsid w:val="00D03A78"/>
    <w:rsid w:val="00D04CA0"/>
    <w:rsid w:val="00D04CB1"/>
    <w:rsid w:val="00D04DED"/>
    <w:rsid w:val="00D056B0"/>
    <w:rsid w:val="00D06CE7"/>
    <w:rsid w:val="00D06F3E"/>
    <w:rsid w:val="00D074BD"/>
    <w:rsid w:val="00D07950"/>
    <w:rsid w:val="00D103A9"/>
    <w:rsid w:val="00D10672"/>
    <w:rsid w:val="00D10F6F"/>
    <w:rsid w:val="00D11018"/>
    <w:rsid w:val="00D1150C"/>
    <w:rsid w:val="00D115B8"/>
    <w:rsid w:val="00D120B3"/>
    <w:rsid w:val="00D122CB"/>
    <w:rsid w:val="00D12BE8"/>
    <w:rsid w:val="00D12C65"/>
    <w:rsid w:val="00D1307F"/>
    <w:rsid w:val="00D130D0"/>
    <w:rsid w:val="00D132FA"/>
    <w:rsid w:val="00D134CF"/>
    <w:rsid w:val="00D136D7"/>
    <w:rsid w:val="00D13A9C"/>
    <w:rsid w:val="00D1401D"/>
    <w:rsid w:val="00D14113"/>
    <w:rsid w:val="00D14147"/>
    <w:rsid w:val="00D1436F"/>
    <w:rsid w:val="00D14515"/>
    <w:rsid w:val="00D14A5E"/>
    <w:rsid w:val="00D14BDB"/>
    <w:rsid w:val="00D14F12"/>
    <w:rsid w:val="00D15EE9"/>
    <w:rsid w:val="00D16011"/>
    <w:rsid w:val="00D162B5"/>
    <w:rsid w:val="00D16C91"/>
    <w:rsid w:val="00D2054E"/>
    <w:rsid w:val="00D20779"/>
    <w:rsid w:val="00D20C31"/>
    <w:rsid w:val="00D20E77"/>
    <w:rsid w:val="00D21733"/>
    <w:rsid w:val="00D21C07"/>
    <w:rsid w:val="00D22549"/>
    <w:rsid w:val="00D23277"/>
    <w:rsid w:val="00D23685"/>
    <w:rsid w:val="00D23EC6"/>
    <w:rsid w:val="00D24CD2"/>
    <w:rsid w:val="00D24D7B"/>
    <w:rsid w:val="00D253E7"/>
    <w:rsid w:val="00D25732"/>
    <w:rsid w:val="00D25CFC"/>
    <w:rsid w:val="00D261FB"/>
    <w:rsid w:val="00D26297"/>
    <w:rsid w:val="00D262A8"/>
    <w:rsid w:val="00D266C2"/>
    <w:rsid w:val="00D266C4"/>
    <w:rsid w:val="00D26A2D"/>
    <w:rsid w:val="00D27D28"/>
    <w:rsid w:val="00D3065D"/>
    <w:rsid w:val="00D3081D"/>
    <w:rsid w:val="00D30954"/>
    <w:rsid w:val="00D3153F"/>
    <w:rsid w:val="00D3268E"/>
    <w:rsid w:val="00D32D46"/>
    <w:rsid w:val="00D33012"/>
    <w:rsid w:val="00D34009"/>
    <w:rsid w:val="00D35D95"/>
    <w:rsid w:val="00D36047"/>
    <w:rsid w:val="00D3653D"/>
    <w:rsid w:val="00D365EC"/>
    <w:rsid w:val="00D378FD"/>
    <w:rsid w:val="00D37AE0"/>
    <w:rsid w:val="00D37FAA"/>
    <w:rsid w:val="00D401B2"/>
    <w:rsid w:val="00D40316"/>
    <w:rsid w:val="00D40762"/>
    <w:rsid w:val="00D40A84"/>
    <w:rsid w:val="00D40AEE"/>
    <w:rsid w:val="00D40DA0"/>
    <w:rsid w:val="00D42F2D"/>
    <w:rsid w:val="00D43044"/>
    <w:rsid w:val="00D438EE"/>
    <w:rsid w:val="00D441C0"/>
    <w:rsid w:val="00D45467"/>
    <w:rsid w:val="00D454BB"/>
    <w:rsid w:val="00D4690C"/>
    <w:rsid w:val="00D46C28"/>
    <w:rsid w:val="00D47218"/>
    <w:rsid w:val="00D47B17"/>
    <w:rsid w:val="00D47BD7"/>
    <w:rsid w:val="00D50098"/>
    <w:rsid w:val="00D5018A"/>
    <w:rsid w:val="00D511D2"/>
    <w:rsid w:val="00D51600"/>
    <w:rsid w:val="00D52FDE"/>
    <w:rsid w:val="00D537D3"/>
    <w:rsid w:val="00D53C35"/>
    <w:rsid w:val="00D53C7E"/>
    <w:rsid w:val="00D5495A"/>
    <w:rsid w:val="00D55660"/>
    <w:rsid w:val="00D5593C"/>
    <w:rsid w:val="00D560DB"/>
    <w:rsid w:val="00D56303"/>
    <w:rsid w:val="00D56C5B"/>
    <w:rsid w:val="00D60160"/>
    <w:rsid w:val="00D6044D"/>
    <w:rsid w:val="00D604DB"/>
    <w:rsid w:val="00D60E62"/>
    <w:rsid w:val="00D6135E"/>
    <w:rsid w:val="00D6238D"/>
    <w:rsid w:val="00D63D3C"/>
    <w:rsid w:val="00D63E9A"/>
    <w:rsid w:val="00D63ECC"/>
    <w:rsid w:val="00D64011"/>
    <w:rsid w:val="00D651F8"/>
    <w:rsid w:val="00D6542E"/>
    <w:rsid w:val="00D6698D"/>
    <w:rsid w:val="00D669A4"/>
    <w:rsid w:val="00D66C46"/>
    <w:rsid w:val="00D66C7E"/>
    <w:rsid w:val="00D67191"/>
    <w:rsid w:val="00D672EA"/>
    <w:rsid w:val="00D67BA7"/>
    <w:rsid w:val="00D70112"/>
    <w:rsid w:val="00D7013A"/>
    <w:rsid w:val="00D7039E"/>
    <w:rsid w:val="00D704DE"/>
    <w:rsid w:val="00D71207"/>
    <w:rsid w:val="00D72385"/>
    <w:rsid w:val="00D7251D"/>
    <w:rsid w:val="00D7272A"/>
    <w:rsid w:val="00D7293A"/>
    <w:rsid w:val="00D729ED"/>
    <w:rsid w:val="00D72C28"/>
    <w:rsid w:val="00D72E2E"/>
    <w:rsid w:val="00D7321F"/>
    <w:rsid w:val="00D732CF"/>
    <w:rsid w:val="00D73517"/>
    <w:rsid w:val="00D73B28"/>
    <w:rsid w:val="00D73C01"/>
    <w:rsid w:val="00D77566"/>
    <w:rsid w:val="00D77639"/>
    <w:rsid w:val="00D77657"/>
    <w:rsid w:val="00D777B0"/>
    <w:rsid w:val="00D77E3B"/>
    <w:rsid w:val="00D808A4"/>
    <w:rsid w:val="00D814F3"/>
    <w:rsid w:val="00D8196B"/>
    <w:rsid w:val="00D82F7E"/>
    <w:rsid w:val="00D8320B"/>
    <w:rsid w:val="00D848C1"/>
    <w:rsid w:val="00D84A21"/>
    <w:rsid w:val="00D84B97"/>
    <w:rsid w:val="00D84DC0"/>
    <w:rsid w:val="00D857B5"/>
    <w:rsid w:val="00D860E2"/>
    <w:rsid w:val="00D86849"/>
    <w:rsid w:val="00D870F9"/>
    <w:rsid w:val="00D872A0"/>
    <w:rsid w:val="00D8738B"/>
    <w:rsid w:val="00D9080C"/>
    <w:rsid w:val="00D90970"/>
    <w:rsid w:val="00D90B78"/>
    <w:rsid w:val="00D914C9"/>
    <w:rsid w:val="00D914F7"/>
    <w:rsid w:val="00D917EE"/>
    <w:rsid w:val="00D918B2"/>
    <w:rsid w:val="00D91ADF"/>
    <w:rsid w:val="00D91B9E"/>
    <w:rsid w:val="00D91BEC"/>
    <w:rsid w:val="00D91C49"/>
    <w:rsid w:val="00D9251A"/>
    <w:rsid w:val="00D9332F"/>
    <w:rsid w:val="00D93DED"/>
    <w:rsid w:val="00D93EF8"/>
    <w:rsid w:val="00D94EFC"/>
    <w:rsid w:val="00D95A10"/>
    <w:rsid w:val="00D95A80"/>
    <w:rsid w:val="00D95ED3"/>
    <w:rsid w:val="00D96008"/>
    <w:rsid w:val="00D963CD"/>
    <w:rsid w:val="00D96D5C"/>
    <w:rsid w:val="00D96DF3"/>
    <w:rsid w:val="00D977BA"/>
    <w:rsid w:val="00D97D76"/>
    <w:rsid w:val="00DA03AF"/>
    <w:rsid w:val="00DA086C"/>
    <w:rsid w:val="00DA0F75"/>
    <w:rsid w:val="00DA1092"/>
    <w:rsid w:val="00DA157F"/>
    <w:rsid w:val="00DA177C"/>
    <w:rsid w:val="00DA1B4B"/>
    <w:rsid w:val="00DA350A"/>
    <w:rsid w:val="00DA3E34"/>
    <w:rsid w:val="00DA46E8"/>
    <w:rsid w:val="00DA48BC"/>
    <w:rsid w:val="00DA4BC8"/>
    <w:rsid w:val="00DA4CF9"/>
    <w:rsid w:val="00DA4EC5"/>
    <w:rsid w:val="00DA5BD6"/>
    <w:rsid w:val="00DA5D1F"/>
    <w:rsid w:val="00DA6415"/>
    <w:rsid w:val="00DA6A79"/>
    <w:rsid w:val="00DA6B5E"/>
    <w:rsid w:val="00DA6C14"/>
    <w:rsid w:val="00DA6F0F"/>
    <w:rsid w:val="00DA6FB7"/>
    <w:rsid w:val="00DA7009"/>
    <w:rsid w:val="00DA7255"/>
    <w:rsid w:val="00DA7562"/>
    <w:rsid w:val="00DA7587"/>
    <w:rsid w:val="00DA7EE4"/>
    <w:rsid w:val="00DB0B67"/>
    <w:rsid w:val="00DB0E8F"/>
    <w:rsid w:val="00DB0F97"/>
    <w:rsid w:val="00DB1314"/>
    <w:rsid w:val="00DB1EB4"/>
    <w:rsid w:val="00DB26AA"/>
    <w:rsid w:val="00DB2BE0"/>
    <w:rsid w:val="00DB3648"/>
    <w:rsid w:val="00DB365F"/>
    <w:rsid w:val="00DB3D2A"/>
    <w:rsid w:val="00DB4741"/>
    <w:rsid w:val="00DB47CC"/>
    <w:rsid w:val="00DB49AA"/>
    <w:rsid w:val="00DB57A0"/>
    <w:rsid w:val="00DB58E3"/>
    <w:rsid w:val="00DB670A"/>
    <w:rsid w:val="00DB6FE3"/>
    <w:rsid w:val="00DB7EA6"/>
    <w:rsid w:val="00DB7FD1"/>
    <w:rsid w:val="00DC0218"/>
    <w:rsid w:val="00DC0251"/>
    <w:rsid w:val="00DC0AE7"/>
    <w:rsid w:val="00DC108B"/>
    <w:rsid w:val="00DC113B"/>
    <w:rsid w:val="00DC174E"/>
    <w:rsid w:val="00DC1EE5"/>
    <w:rsid w:val="00DC23B3"/>
    <w:rsid w:val="00DC32B1"/>
    <w:rsid w:val="00DC337A"/>
    <w:rsid w:val="00DC37A6"/>
    <w:rsid w:val="00DC39FF"/>
    <w:rsid w:val="00DC3BB8"/>
    <w:rsid w:val="00DC4080"/>
    <w:rsid w:val="00DC484C"/>
    <w:rsid w:val="00DC527A"/>
    <w:rsid w:val="00DC52C1"/>
    <w:rsid w:val="00DC57DF"/>
    <w:rsid w:val="00DC58E6"/>
    <w:rsid w:val="00DC6008"/>
    <w:rsid w:val="00DC6294"/>
    <w:rsid w:val="00DC6999"/>
    <w:rsid w:val="00DC6AD1"/>
    <w:rsid w:val="00DC6C77"/>
    <w:rsid w:val="00DC7448"/>
    <w:rsid w:val="00DC77B8"/>
    <w:rsid w:val="00DC7BDD"/>
    <w:rsid w:val="00DD0BA7"/>
    <w:rsid w:val="00DD1154"/>
    <w:rsid w:val="00DD176F"/>
    <w:rsid w:val="00DD1AB9"/>
    <w:rsid w:val="00DD233A"/>
    <w:rsid w:val="00DD2A9A"/>
    <w:rsid w:val="00DD2D4F"/>
    <w:rsid w:val="00DD2FB9"/>
    <w:rsid w:val="00DD3B11"/>
    <w:rsid w:val="00DD4602"/>
    <w:rsid w:val="00DD4A63"/>
    <w:rsid w:val="00DD4F29"/>
    <w:rsid w:val="00DD51E5"/>
    <w:rsid w:val="00DD5251"/>
    <w:rsid w:val="00DD5CE5"/>
    <w:rsid w:val="00DD64DF"/>
    <w:rsid w:val="00DD66C4"/>
    <w:rsid w:val="00DD712B"/>
    <w:rsid w:val="00DD7CB9"/>
    <w:rsid w:val="00DD7F17"/>
    <w:rsid w:val="00DE0A7B"/>
    <w:rsid w:val="00DE0A8C"/>
    <w:rsid w:val="00DE0D6B"/>
    <w:rsid w:val="00DE1B89"/>
    <w:rsid w:val="00DE1CD4"/>
    <w:rsid w:val="00DE23B8"/>
    <w:rsid w:val="00DE24D9"/>
    <w:rsid w:val="00DE26F6"/>
    <w:rsid w:val="00DE27FA"/>
    <w:rsid w:val="00DE3491"/>
    <w:rsid w:val="00DE37C9"/>
    <w:rsid w:val="00DE38F2"/>
    <w:rsid w:val="00DE4295"/>
    <w:rsid w:val="00DE4D4F"/>
    <w:rsid w:val="00DE503E"/>
    <w:rsid w:val="00DE5120"/>
    <w:rsid w:val="00DE5EEF"/>
    <w:rsid w:val="00DE6057"/>
    <w:rsid w:val="00DE62F8"/>
    <w:rsid w:val="00DE69D2"/>
    <w:rsid w:val="00DE6CC8"/>
    <w:rsid w:val="00DE72EA"/>
    <w:rsid w:val="00DE74FD"/>
    <w:rsid w:val="00DE756E"/>
    <w:rsid w:val="00DE7BE1"/>
    <w:rsid w:val="00DE7C86"/>
    <w:rsid w:val="00DF0080"/>
    <w:rsid w:val="00DF060B"/>
    <w:rsid w:val="00DF0728"/>
    <w:rsid w:val="00DF0DF1"/>
    <w:rsid w:val="00DF1075"/>
    <w:rsid w:val="00DF15A2"/>
    <w:rsid w:val="00DF1B8B"/>
    <w:rsid w:val="00DF1B90"/>
    <w:rsid w:val="00DF1DE1"/>
    <w:rsid w:val="00DF22D8"/>
    <w:rsid w:val="00DF2C25"/>
    <w:rsid w:val="00DF2F9B"/>
    <w:rsid w:val="00DF3743"/>
    <w:rsid w:val="00DF3DF0"/>
    <w:rsid w:val="00DF3EE2"/>
    <w:rsid w:val="00DF45DB"/>
    <w:rsid w:val="00DF4C22"/>
    <w:rsid w:val="00DF50B0"/>
    <w:rsid w:val="00DF5436"/>
    <w:rsid w:val="00DF554F"/>
    <w:rsid w:val="00DF5CCB"/>
    <w:rsid w:val="00DF5F3E"/>
    <w:rsid w:val="00DF63BF"/>
    <w:rsid w:val="00DF6455"/>
    <w:rsid w:val="00DF6A76"/>
    <w:rsid w:val="00DF7CD3"/>
    <w:rsid w:val="00DF7F60"/>
    <w:rsid w:val="00E0011E"/>
    <w:rsid w:val="00E0065B"/>
    <w:rsid w:val="00E0092D"/>
    <w:rsid w:val="00E00B0F"/>
    <w:rsid w:val="00E013FE"/>
    <w:rsid w:val="00E0177F"/>
    <w:rsid w:val="00E01BC2"/>
    <w:rsid w:val="00E031DE"/>
    <w:rsid w:val="00E03813"/>
    <w:rsid w:val="00E03EEB"/>
    <w:rsid w:val="00E044AF"/>
    <w:rsid w:val="00E049B5"/>
    <w:rsid w:val="00E053E3"/>
    <w:rsid w:val="00E055E0"/>
    <w:rsid w:val="00E05D58"/>
    <w:rsid w:val="00E06D64"/>
    <w:rsid w:val="00E0711C"/>
    <w:rsid w:val="00E077EB"/>
    <w:rsid w:val="00E10B07"/>
    <w:rsid w:val="00E10BA2"/>
    <w:rsid w:val="00E10BD9"/>
    <w:rsid w:val="00E11766"/>
    <w:rsid w:val="00E117FA"/>
    <w:rsid w:val="00E11950"/>
    <w:rsid w:val="00E12A72"/>
    <w:rsid w:val="00E139D3"/>
    <w:rsid w:val="00E14222"/>
    <w:rsid w:val="00E157AD"/>
    <w:rsid w:val="00E1580B"/>
    <w:rsid w:val="00E15AEE"/>
    <w:rsid w:val="00E15C17"/>
    <w:rsid w:val="00E17886"/>
    <w:rsid w:val="00E178B3"/>
    <w:rsid w:val="00E202B1"/>
    <w:rsid w:val="00E202ED"/>
    <w:rsid w:val="00E20B43"/>
    <w:rsid w:val="00E21603"/>
    <w:rsid w:val="00E2169C"/>
    <w:rsid w:val="00E227DE"/>
    <w:rsid w:val="00E230CF"/>
    <w:rsid w:val="00E24B36"/>
    <w:rsid w:val="00E251D3"/>
    <w:rsid w:val="00E255FC"/>
    <w:rsid w:val="00E25CE7"/>
    <w:rsid w:val="00E265F3"/>
    <w:rsid w:val="00E26946"/>
    <w:rsid w:val="00E269FA"/>
    <w:rsid w:val="00E26DFF"/>
    <w:rsid w:val="00E27397"/>
    <w:rsid w:val="00E305C7"/>
    <w:rsid w:val="00E30A27"/>
    <w:rsid w:val="00E30C7C"/>
    <w:rsid w:val="00E3149B"/>
    <w:rsid w:val="00E31828"/>
    <w:rsid w:val="00E31EE1"/>
    <w:rsid w:val="00E3310D"/>
    <w:rsid w:val="00E33CD6"/>
    <w:rsid w:val="00E3485D"/>
    <w:rsid w:val="00E36C9B"/>
    <w:rsid w:val="00E37281"/>
    <w:rsid w:val="00E37312"/>
    <w:rsid w:val="00E3791D"/>
    <w:rsid w:val="00E37A88"/>
    <w:rsid w:val="00E37B2F"/>
    <w:rsid w:val="00E403D4"/>
    <w:rsid w:val="00E40652"/>
    <w:rsid w:val="00E406F5"/>
    <w:rsid w:val="00E40ABB"/>
    <w:rsid w:val="00E40AE4"/>
    <w:rsid w:val="00E40BF5"/>
    <w:rsid w:val="00E414D7"/>
    <w:rsid w:val="00E41A0E"/>
    <w:rsid w:val="00E42378"/>
    <w:rsid w:val="00E42564"/>
    <w:rsid w:val="00E429DC"/>
    <w:rsid w:val="00E42FC6"/>
    <w:rsid w:val="00E43AE4"/>
    <w:rsid w:val="00E43CD7"/>
    <w:rsid w:val="00E43ECA"/>
    <w:rsid w:val="00E453B0"/>
    <w:rsid w:val="00E454C7"/>
    <w:rsid w:val="00E457B4"/>
    <w:rsid w:val="00E45D81"/>
    <w:rsid w:val="00E461F7"/>
    <w:rsid w:val="00E46973"/>
    <w:rsid w:val="00E46F99"/>
    <w:rsid w:val="00E470CD"/>
    <w:rsid w:val="00E47366"/>
    <w:rsid w:val="00E47373"/>
    <w:rsid w:val="00E47AEB"/>
    <w:rsid w:val="00E47BB7"/>
    <w:rsid w:val="00E47C37"/>
    <w:rsid w:val="00E47DBF"/>
    <w:rsid w:val="00E50CC2"/>
    <w:rsid w:val="00E5195E"/>
    <w:rsid w:val="00E51F77"/>
    <w:rsid w:val="00E5246B"/>
    <w:rsid w:val="00E524BC"/>
    <w:rsid w:val="00E5374F"/>
    <w:rsid w:val="00E53D4F"/>
    <w:rsid w:val="00E54C1F"/>
    <w:rsid w:val="00E55991"/>
    <w:rsid w:val="00E561CF"/>
    <w:rsid w:val="00E565BB"/>
    <w:rsid w:val="00E56859"/>
    <w:rsid w:val="00E56B29"/>
    <w:rsid w:val="00E5719C"/>
    <w:rsid w:val="00E574A9"/>
    <w:rsid w:val="00E57ADE"/>
    <w:rsid w:val="00E602B3"/>
    <w:rsid w:val="00E60BE6"/>
    <w:rsid w:val="00E60CC4"/>
    <w:rsid w:val="00E61115"/>
    <w:rsid w:val="00E612A4"/>
    <w:rsid w:val="00E61622"/>
    <w:rsid w:val="00E61839"/>
    <w:rsid w:val="00E61AF4"/>
    <w:rsid w:val="00E61EEE"/>
    <w:rsid w:val="00E634C1"/>
    <w:rsid w:val="00E63C29"/>
    <w:rsid w:val="00E64497"/>
    <w:rsid w:val="00E64AA0"/>
    <w:rsid w:val="00E65343"/>
    <w:rsid w:val="00E65F53"/>
    <w:rsid w:val="00E66340"/>
    <w:rsid w:val="00E663BA"/>
    <w:rsid w:val="00E66482"/>
    <w:rsid w:val="00E66989"/>
    <w:rsid w:val="00E66C22"/>
    <w:rsid w:val="00E66CBB"/>
    <w:rsid w:val="00E6710D"/>
    <w:rsid w:val="00E67376"/>
    <w:rsid w:val="00E679C1"/>
    <w:rsid w:val="00E67A58"/>
    <w:rsid w:val="00E70E2D"/>
    <w:rsid w:val="00E710FE"/>
    <w:rsid w:val="00E71351"/>
    <w:rsid w:val="00E718E2"/>
    <w:rsid w:val="00E71E4D"/>
    <w:rsid w:val="00E7225E"/>
    <w:rsid w:val="00E72520"/>
    <w:rsid w:val="00E725AA"/>
    <w:rsid w:val="00E727DE"/>
    <w:rsid w:val="00E72AAE"/>
    <w:rsid w:val="00E73061"/>
    <w:rsid w:val="00E73289"/>
    <w:rsid w:val="00E738F4"/>
    <w:rsid w:val="00E73B25"/>
    <w:rsid w:val="00E73B69"/>
    <w:rsid w:val="00E740B2"/>
    <w:rsid w:val="00E74739"/>
    <w:rsid w:val="00E74866"/>
    <w:rsid w:val="00E74BC2"/>
    <w:rsid w:val="00E75F4B"/>
    <w:rsid w:val="00E76254"/>
    <w:rsid w:val="00E76D0E"/>
    <w:rsid w:val="00E76F2E"/>
    <w:rsid w:val="00E77272"/>
    <w:rsid w:val="00E7779E"/>
    <w:rsid w:val="00E77A67"/>
    <w:rsid w:val="00E8039A"/>
    <w:rsid w:val="00E815D9"/>
    <w:rsid w:val="00E816D0"/>
    <w:rsid w:val="00E8187B"/>
    <w:rsid w:val="00E81973"/>
    <w:rsid w:val="00E81983"/>
    <w:rsid w:val="00E819C8"/>
    <w:rsid w:val="00E81B53"/>
    <w:rsid w:val="00E8311F"/>
    <w:rsid w:val="00E83190"/>
    <w:rsid w:val="00E831E5"/>
    <w:rsid w:val="00E8356F"/>
    <w:rsid w:val="00E849E0"/>
    <w:rsid w:val="00E857D0"/>
    <w:rsid w:val="00E85A79"/>
    <w:rsid w:val="00E8605C"/>
    <w:rsid w:val="00E8648F"/>
    <w:rsid w:val="00E8689C"/>
    <w:rsid w:val="00E87D26"/>
    <w:rsid w:val="00E9053D"/>
    <w:rsid w:val="00E90B6B"/>
    <w:rsid w:val="00E91641"/>
    <w:rsid w:val="00E9385D"/>
    <w:rsid w:val="00E93C37"/>
    <w:rsid w:val="00E93DFF"/>
    <w:rsid w:val="00E94585"/>
    <w:rsid w:val="00E962E6"/>
    <w:rsid w:val="00E96B09"/>
    <w:rsid w:val="00E9770D"/>
    <w:rsid w:val="00EA029B"/>
    <w:rsid w:val="00EA0544"/>
    <w:rsid w:val="00EA06FE"/>
    <w:rsid w:val="00EA0CF3"/>
    <w:rsid w:val="00EA0FF4"/>
    <w:rsid w:val="00EA1CA3"/>
    <w:rsid w:val="00EA1F27"/>
    <w:rsid w:val="00EA212B"/>
    <w:rsid w:val="00EA29AC"/>
    <w:rsid w:val="00EA3347"/>
    <w:rsid w:val="00EA33DC"/>
    <w:rsid w:val="00EA3428"/>
    <w:rsid w:val="00EA3943"/>
    <w:rsid w:val="00EA3DB2"/>
    <w:rsid w:val="00EA4AD8"/>
    <w:rsid w:val="00EA4D57"/>
    <w:rsid w:val="00EA564D"/>
    <w:rsid w:val="00EA639C"/>
    <w:rsid w:val="00EA66F9"/>
    <w:rsid w:val="00EA674F"/>
    <w:rsid w:val="00EA6C44"/>
    <w:rsid w:val="00EA7878"/>
    <w:rsid w:val="00EA7AE8"/>
    <w:rsid w:val="00EA7B2B"/>
    <w:rsid w:val="00EB0856"/>
    <w:rsid w:val="00EB1143"/>
    <w:rsid w:val="00EB1F8A"/>
    <w:rsid w:val="00EB2301"/>
    <w:rsid w:val="00EB256F"/>
    <w:rsid w:val="00EB281F"/>
    <w:rsid w:val="00EB2B45"/>
    <w:rsid w:val="00EB39CC"/>
    <w:rsid w:val="00EB3BE7"/>
    <w:rsid w:val="00EB441E"/>
    <w:rsid w:val="00EB4A38"/>
    <w:rsid w:val="00EB51DF"/>
    <w:rsid w:val="00EB5236"/>
    <w:rsid w:val="00EB536F"/>
    <w:rsid w:val="00EB5540"/>
    <w:rsid w:val="00EB5738"/>
    <w:rsid w:val="00EB5CDA"/>
    <w:rsid w:val="00EB6CFA"/>
    <w:rsid w:val="00EB6EF5"/>
    <w:rsid w:val="00EB728D"/>
    <w:rsid w:val="00EB76D3"/>
    <w:rsid w:val="00EB7777"/>
    <w:rsid w:val="00EB7CF5"/>
    <w:rsid w:val="00EC0311"/>
    <w:rsid w:val="00EC09E5"/>
    <w:rsid w:val="00EC0D2B"/>
    <w:rsid w:val="00EC0D7E"/>
    <w:rsid w:val="00EC1098"/>
    <w:rsid w:val="00EC185D"/>
    <w:rsid w:val="00EC2084"/>
    <w:rsid w:val="00EC384C"/>
    <w:rsid w:val="00EC38DF"/>
    <w:rsid w:val="00EC3948"/>
    <w:rsid w:val="00EC394E"/>
    <w:rsid w:val="00EC4253"/>
    <w:rsid w:val="00EC5D3E"/>
    <w:rsid w:val="00EC6670"/>
    <w:rsid w:val="00EC69D8"/>
    <w:rsid w:val="00EC6E62"/>
    <w:rsid w:val="00EC6E69"/>
    <w:rsid w:val="00EC7E21"/>
    <w:rsid w:val="00EC7E3C"/>
    <w:rsid w:val="00ED0050"/>
    <w:rsid w:val="00ED1450"/>
    <w:rsid w:val="00ED18AB"/>
    <w:rsid w:val="00ED1AE4"/>
    <w:rsid w:val="00ED23F9"/>
    <w:rsid w:val="00ED3459"/>
    <w:rsid w:val="00ED3A20"/>
    <w:rsid w:val="00ED3F3D"/>
    <w:rsid w:val="00ED4522"/>
    <w:rsid w:val="00ED5D70"/>
    <w:rsid w:val="00ED619A"/>
    <w:rsid w:val="00ED65FF"/>
    <w:rsid w:val="00ED6785"/>
    <w:rsid w:val="00ED6B0C"/>
    <w:rsid w:val="00ED6CBB"/>
    <w:rsid w:val="00ED6DC7"/>
    <w:rsid w:val="00EE0077"/>
    <w:rsid w:val="00EE0A7F"/>
    <w:rsid w:val="00EE0C0B"/>
    <w:rsid w:val="00EE0C4A"/>
    <w:rsid w:val="00EE18A2"/>
    <w:rsid w:val="00EE31CE"/>
    <w:rsid w:val="00EE386B"/>
    <w:rsid w:val="00EE3A10"/>
    <w:rsid w:val="00EE3E4C"/>
    <w:rsid w:val="00EE4002"/>
    <w:rsid w:val="00EE41F3"/>
    <w:rsid w:val="00EE442D"/>
    <w:rsid w:val="00EE51E8"/>
    <w:rsid w:val="00EE5515"/>
    <w:rsid w:val="00EE5AF2"/>
    <w:rsid w:val="00EE5D0D"/>
    <w:rsid w:val="00EE602F"/>
    <w:rsid w:val="00EE6115"/>
    <w:rsid w:val="00EE6BC0"/>
    <w:rsid w:val="00EE6E13"/>
    <w:rsid w:val="00EE6EFE"/>
    <w:rsid w:val="00EE7004"/>
    <w:rsid w:val="00EE77C2"/>
    <w:rsid w:val="00EE7ADA"/>
    <w:rsid w:val="00EF017C"/>
    <w:rsid w:val="00EF01AE"/>
    <w:rsid w:val="00EF03D6"/>
    <w:rsid w:val="00EF1079"/>
    <w:rsid w:val="00EF1592"/>
    <w:rsid w:val="00EF19E8"/>
    <w:rsid w:val="00EF2FA5"/>
    <w:rsid w:val="00EF3067"/>
    <w:rsid w:val="00EF31E6"/>
    <w:rsid w:val="00EF383E"/>
    <w:rsid w:val="00EF3FCF"/>
    <w:rsid w:val="00EF467D"/>
    <w:rsid w:val="00EF4790"/>
    <w:rsid w:val="00EF5098"/>
    <w:rsid w:val="00EF546F"/>
    <w:rsid w:val="00EF5494"/>
    <w:rsid w:val="00EF7020"/>
    <w:rsid w:val="00EF7343"/>
    <w:rsid w:val="00EF7442"/>
    <w:rsid w:val="00EF75A2"/>
    <w:rsid w:val="00EF7E89"/>
    <w:rsid w:val="00F00BF9"/>
    <w:rsid w:val="00F0126F"/>
    <w:rsid w:val="00F01FA5"/>
    <w:rsid w:val="00F025AF"/>
    <w:rsid w:val="00F02940"/>
    <w:rsid w:val="00F02D0A"/>
    <w:rsid w:val="00F02FF5"/>
    <w:rsid w:val="00F02FF6"/>
    <w:rsid w:val="00F03C15"/>
    <w:rsid w:val="00F03D9E"/>
    <w:rsid w:val="00F04115"/>
    <w:rsid w:val="00F04576"/>
    <w:rsid w:val="00F04D64"/>
    <w:rsid w:val="00F0558A"/>
    <w:rsid w:val="00F06845"/>
    <w:rsid w:val="00F06C78"/>
    <w:rsid w:val="00F073EE"/>
    <w:rsid w:val="00F07786"/>
    <w:rsid w:val="00F077E0"/>
    <w:rsid w:val="00F1008F"/>
    <w:rsid w:val="00F105E7"/>
    <w:rsid w:val="00F107CE"/>
    <w:rsid w:val="00F10855"/>
    <w:rsid w:val="00F10A28"/>
    <w:rsid w:val="00F10F9E"/>
    <w:rsid w:val="00F116FC"/>
    <w:rsid w:val="00F1200D"/>
    <w:rsid w:val="00F121BF"/>
    <w:rsid w:val="00F12922"/>
    <w:rsid w:val="00F12939"/>
    <w:rsid w:val="00F12950"/>
    <w:rsid w:val="00F12C6A"/>
    <w:rsid w:val="00F14B56"/>
    <w:rsid w:val="00F153B4"/>
    <w:rsid w:val="00F16209"/>
    <w:rsid w:val="00F16DF3"/>
    <w:rsid w:val="00F170E7"/>
    <w:rsid w:val="00F172A7"/>
    <w:rsid w:val="00F177E5"/>
    <w:rsid w:val="00F204A2"/>
    <w:rsid w:val="00F20615"/>
    <w:rsid w:val="00F20F7E"/>
    <w:rsid w:val="00F21854"/>
    <w:rsid w:val="00F21C35"/>
    <w:rsid w:val="00F224A2"/>
    <w:rsid w:val="00F22AB0"/>
    <w:rsid w:val="00F22C5E"/>
    <w:rsid w:val="00F22C66"/>
    <w:rsid w:val="00F234F2"/>
    <w:rsid w:val="00F23984"/>
    <w:rsid w:val="00F24888"/>
    <w:rsid w:val="00F26638"/>
    <w:rsid w:val="00F300FC"/>
    <w:rsid w:val="00F30DA3"/>
    <w:rsid w:val="00F3133F"/>
    <w:rsid w:val="00F3320E"/>
    <w:rsid w:val="00F3352E"/>
    <w:rsid w:val="00F339BF"/>
    <w:rsid w:val="00F34051"/>
    <w:rsid w:val="00F340B2"/>
    <w:rsid w:val="00F34769"/>
    <w:rsid w:val="00F34D45"/>
    <w:rsid w:val="00F35271"/>
    <w:rsid w:val="00F35383"/>
    <w:rsid w:val="00F36267"/>
    <w:rsid w:val="00F36802"/>
    <w:rsid w:val="00F37429"/>
    <w:rsid w:val="00F37B9E"/>
    <w:rsid w:val="00F37BD9"/>
    <w:rsid w:val="00F37DD5"/>
    <w:rsid w:val="00F40E9A"/>
    <w:rsid w:val="00F410BF"/>
    <w:rsid w:val="00F418A7"/>
    <w:rsid w:val="00F41A50"/>
    <w:rsid w:val="00F41BC2"/>
    <w:rsid w:val="00F420B2"/>
    <w:rsid w:val="00F43617"/>
    <w:rsid w:val="00F446F0"/>
    <w:rsid w:val="00F44749"/>
    <w:rsid w:val="00F44F6B"/>
    <w:rsid w:val="00F4613B"/>
    <w:rsid w:val="00F462D0"/>
    <w:rsid w:val="00F46A11"/>
    <w:rsid w:val="00F46DB6"/>
    <w:rsid w:val="00F475B8"/>
    <w:rsid w:val="00F477E8"/>
    <w:rsid w:val="00F50ECB"/>
    <w:rsid w:val="00F50F2B"/>
    <w:rsid w:val="00F511C2"/>
    <w:rsid w:val="00F52C36"/>
    <w:rsid w:val="00F538A7"/>
    <w:rsid w:val="00F53C28"/>
    <w:rsid w:val="00F53F09"/>
    <w:rsid w:val="00F5498B"/>
    <w:rsid w:val="00F54E09"/>
    <w:rsid w:val="00F5611E"/>
    <w:rsid w:val="00F5631E"/>
    <w:rsid w:val="00F56CB2"/>
    <w:rsid w:val="00F56F43"/>
    <w:rsid w:val="00F57040"/>
    <w:rsid w:val="00F5774E"/>
    <w:rsid w:val="00F577F3"/>
    <w:rsid w:val="00F600CD"/>
    <w:rsid w:val="00F60221"/>
    <w:rsid w:val="00F60B92"/>
    <w:rsid w:val="00F60D17"/>
    <w:rsid w:val="00F611DA"/>
    <w:rsid w:val="00F61559"/>
    <w:rsid w:val="00F61816"/>
    <w:rsid w:val="00F619FE"/>
    <w:rsid w:val="00F62027"/>
    <w:rsid w:val="00F62BF6"/>
    <w:rsid w:val="00F635E7"/>
    <w:rsid w:val="00F6394F"/>
    <w:rsid w:val="00F63958"/>
    <w:rsid w:val="00F639FD"/>
    <w:rsid w:val="00F64490"/>
    <w:rsid w:val="00F64597"/>
    <w:rsid w:val="00F64B32"/>
    <w:rsid w:val="00F64C1E"/>
    <w:rsid w:val="00F64C40"/>
    <w:rsid w:val="00F654D7"/>
    <w:rsid w:val="00F65C9C"/>
    <w:rsid w:val="00F65CF0"/>
    <w:rsid w:val="00F669F3"/>
    <w:rsid w:val="00F67AD2"/>
    <w:rsid w:val="00F67F85"/>
    <w:rsid w:val="00F70753"/>
    <w:rsid w:val="00F7089A"/>
    <w:rsid w:val="00F708B2"/>
    <w:rsid w:val="00F714B6"/>
    <w:rsid w:val="00F71823"/>
    <w:rsid w:val="00F718BB"/>
    <w:rsid w:val="00F72924"/>
    <w:rsid w:val="00F72CB2"/>
    <w:rsid w:val="00F73535"/>
    <w:rsid w:val="00F74FB0"/>
    <w:rsid w:val="00F75F7F"/>
    <w:rsid w:val="00F764A4"/>
    <w:rsid w:val="00F76D2E"/>
    <w:rsid w:val="00F76FA6"/>
    <w:rsid w:val="00F77044"/>
    <w:rsid w:val="00F77605"/>
    <w:rsid w:val="00F77C29"/>
    <w:rsid w:val="00F77CBA"/>
    <w:rsid w:val="00F77E76"/>
    <w:rsid w:val="00F80232"/>
    <w:rsid w:val="00F809CA"/>
    <w:rsid w:val="00F80BC1"/>
    <w:rsid w:val="00F80D44"/>
    <w:rsid w:val="00F81622"/>
    <w:rsid w:val="00F81758"/>
    <w:rsid w:val="00F81765"/>
    <w:rsid w:val="00F81C3A"/>
    <w:rsid w:val="00F823CA"/>
    <w:rsid w:val="00F82CB6"/>
    <w:rsid w:val="00F837B3"/>
    <w:rsid w:val="00F84C4F"/>
    <w:rsid w:val="00F84EAC"/>
    <w:rsid w:val="00F857EA"/>
    <w:rsid w:val="00F85AAE"/>
    <w:rsid w:val="00F8677B"/>
    <w:rsid w:val="00F86C3E"/>
    <w:rsid w:val="00F90B10"/>
    <w:rsid w:val="00F90BAE"/>
    <w:rsid w:val="00F90E73"/>
    <w:rsid w:val="00F9166C"/>
    <w:rsid w:val="00F91AD2"/>
    <w:rsid w:val="00F921AE"/>
    <w:rsid w:val="00F923C3"/>
    <w:rsid w:val="00F928DF"/>
    <w:rsid w:val="00F92CF0"/>
    <w:rsid w:val="00F933CF"/>
    <w:rsid w:val="00F9426B"/>
    <w:rsid w:val="00F9442F"/>
    <w:rsid w:val="00F94785"/>
    <w:rsid w:val="00F948DD"/>
    <w:rsid w:val="00F94EB8"/>
    <w:rsid w:val="00F950F4"/>
    <w:rsid w:val="00F9594D"/>
    <w:rsid w:val="00F9686E"/>
    <w:rsid w:val="00F96CFA"/>
    <w:rsid w:val="00F974EB"/>
    <w:rsid w:val="00FA0198"/>
    <w:rsid w:val="00FA05EB"/>
    <w:rsid w:val="00FA1C1C"/>
    <w:rsid w:val="00FA1E44"/>
    <w:rsid w:val="00FA2265"/>
    <w:rsid w:val="00FA38D5"/>
    <w:rsid w:val="00FA41CD"/>
    <w:rsid w:val="00FA42FA"/>
    <w:rsid w:val="00FA437B"/>
    <w:rsid w:val="00FA5117"/>
    <w:rsid w:val="00FA5561"/>
    <w:rsid w:val="00FA5CF6"/>
    <w:rsid w:val="00FA6A55"/>
    <w:rsid w:val="00FA6B07"/>
    <w:rsid w:val="00FA6D55"/>
    <w:rsid w:val="00FA6E28"/>
    <w:rsid w:val="00FA6EB4"/>
    <w:rsid w:val="00FA76BC"/>
    <w:rsid w:val="00FB0064"/>
    <w:rsid w:val="00FB0200"/>
    <w:rsid w:val="00FB0235"/>
    <w:rsid w:val="00FB0694"/>
    <w:rsid w:val="00FB0C6F"/>
    <w:rsid w:val="00FB1719"/>
    <w:rsid w:val="00FB1C41"/>
    <w:rsid w:val="00FB1D6B"/>
    <w:rsid w:val="00FB2263"/>
    <w:rsid w:val="00FB2A73"/>
    <w:rsid w:val="00FB2BA4"/>
    <w:rsid w:val="00FB2F56"/>
    <w:rsid w:val="00FB382C"/>
    <w:rsid w:val="00FB4086"/>
    <w:rsid w:val="00FB48DC"/>
    <w:rsid w:val="00FB4D33"/>
    <w:rsid w:val="00FB4D56"/>
    <w:rsid w:val="00FB4DA7"/>
    <w:rsid w:val="00FB527D"/>
    <w:rsid w:val="00FB5869"/>
    <w:rsid w:val="00FB5CF9"/>
    <w:rsid w:val="00FB5EB6"/>
    <w:rsid w:val="00FB5F3A"/>
    <w:rsid w:val="00FB6395"/>
    <w:rsid w:val="00FB77C6"/>
    <w:rsid w:val="00FB7F81"/>
    <w:rsid w:val="00FC0CD7"/>
    <w:rsid w:val="00FC1819"/>
    <w:rsid w:val="00FC1F00"/>
    <w:rsid w:val="00FC205D"/>
    <w:rsid w:val="00FC20FB"/>
    <w:rsid w:val="00FC23CD"/>
    <w:rsid w:val="00FC302F"/>
    <w:rsid w:val="00FC3234"/>
    <w:rsid w:val="00FC4B79"/>
    <w:rsid w:val="00FC4D9D"/>
    <w:rsid w:val="00FC5082"/>
    <w:rsid w:val="00FC53D9"/>
    <w:rsid w:val="00FC53F7"/>
    <w:rsid w:val="00FC581E"/>
    <w:rsid w:val="00FC5934"/>
    <w:rsid w:val="00FC63CA"/>
    <w:rsid w:val="00FC6982"/>
    <w:rsid w:val="00FC6B9A"/>
    <w:rsid w:val="00FC72C8"/>
    <w:rsid w:val="00FD01F3"/>
    <w:rsid w:val="00FD075C"/>
    <w:rsid w:val="00FD0D98"/>
    <w:rsid w:val="00FD122F"/>
    <w:rsid w:val="00FD13B0"/>
    <w:rsid w:val="00FD146D"/>
    <w:rsid w:val="00FD15C8"/>
    <w:rsid w:val="00FD1D78"/>
    <w:rsid w:val="00FD1E2F"/>
    <w:rsid w:val="00FD315A"/>
    <w:rsid w:val="00FD3163"/>
    <w:rsid w:val="00FD31A5"/>
    <w:rsid w:val="00FD3D67"/>
    <w:rsid w:val="00FD4521"/>
    <w:rsid w:val="00FD48E5"/>
    <w:rsid w:val="00FD4BC1"/>
    <w:rsid w:val="00FD540E"/>
    <w:rsid w:val="00FD58D6"/>
    <w:rsid w:val="00FD5CDC"/>
    <w:rsid w:val="00FD5EAA"/>
    <w:rsid w:val="00FD60B0"/>
    <w:rsid w:val="00FD6492"/>
    <w:rsid w:val="00FD67F0"/>
    <w:rsid w:val="00FD69DF"/>
    <w:rsid w:val="00FD6A72"/>
    <w:rsid w:val="00FD7426"/>
    <w:rsid w:val="00FD7A25"/>
    <w:rsid w:val="00FD7D90"/>
    <w:rsid w:val="00FE00B7"/>
    <w:rsid w:val="00FE0268"/>
    <w:rsid w:val="00FE0B08"/>
    <w:rsid w:val="00FE0CEA"/>
    <w:rsid w:val="00FE1882"/>
    <w:rsid w:val="00FE20F0"/>
    <w:rsid w:val="00FE2382"/>
    <w:rsid w:val="00FE2C9F"/>
    <w:rsid w:val="00FE2E98"/>
    <w:rsid w:val="00FE2F3C"/>
    <w:rsid w:val="00FE337D"/>
    <w:rsid w:val="00FE3A5F"/>
    <w:rsid w:val="00FE4211"/>
    <w:rsid w:val="00FE49D7"/>
    <w:rsid w:val="00FE4B24"/>
    <w:rsid w:val="00FE4D71"/>
    <w:rsid w:val="00FE57C9"/>
    <w:rsid w:val="00FE664B"/>
    <w:rsid w:val="00FE6EB2"/>
    <w:rsid w:val="00FE723D"/>
    <w:rsid w:val="00FE7262"/>
    <w:rsid w:val="00FE7DAD"/>
    <w:rsid w:val="00FF06E9"/>
    <w:rsid w:val="00FF0F42"/>
    <w:rsid w:val="00FF1AC0"/>
    <w:rsid w:val="00FF1F58"/>
    <w:rsid w:val="00FF214E"/>
    <w:rsid w:val="00FF2431"/>
    <w:rsid w:val="00FF2475"/>
    <w:rsid w:val="00FF2D4F"/>
    <w:rsid w:val="00FF2FFA"/>
    <w:rsid w:val="00FF3DBE"/>
    <w:rsid w:val="00FF3EC4"/>
    <w:rsid w:val="00FF4042"/>
    <w:rsid w:val="00FF4B79"/>
    <w:rsid w:val="00FF52ED"/>
    <w:rsid w:val="00FF5490"/>
    <w:rsid w:val="00FF574E"/>
    <w:rsid w:val="00FF5A0B"/>
    <w:rsid w:val="00FF6035"/>
    <w:rsid w:val="00FF6042"/>
    <w:rsid w:val="00FF621D"/>
    <w:rsid w:val="00FF626F"/>
    <w:rsid w:val="00FF689A"/>
    <w:rsid w:val="00FF6921"/>
    <w:rsid w:val="00FF6B0C"/>
    <w:rsid w:val="00FF6FE9"/>
    <w:rsid w:val="00FF7D9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05E0B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Note Heading" w:uiPriority="0"/>
    <w:lsdException w:name="Body Tex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74F"/>
    <w:pPr>
      <w:spacing w:after="240" w:line="260" w:lineRule="exact"/>
      <w:jc w:val="both"/>
    </w:pPr>
    <w:rPr>
      <w:rFonts w:eastAsia="Times New Roman" w:cs="Times New Roman"/>
      <w:color w:val="000000"/>
      <w:sz w:val="20"/>
      <w:szCs w:val="20"/>
      <w:lang w:eastAsia="en-AU"/>
    </w:rPr>
  </w:style>
  <w:style w:type="paragraph" w:styleId="Heading1">
    <w:name w:val="heading 1"/>
    <w:basedOn w:val="HeadingBase"/>
    <w:next w:val="Normal"/>
    <w:link w:val="Heading1Char"/>
    <w:qFormat/>
    <w:rsid w:val="00EF467D"/>
    <w:pPr>
      <w:keepNext/>
      <w:spacing w:after="120"/>
      <w:outlineLvl w:val="0"/>
    </w:pPr>
    <w:rPr>
      <w:rFonts w:cs="Arial"/>
      <w:b/>
      <w:bCs/>
      <w:color w:val="FFFFFF" w:themeColor="background1"/>
      <w:kern w:val="32"/>
      <w:sz w:val="24"/>
      <w:szCs w:val="48"/>
    </w:rPr>
  </w:style>
  <w:style w:type="paragraph" w:styleId="Heading2">
    <w:name w:val="heading 2"/>
    <w:basedOn w:val="HeadingBase"/>
    <w:next w:val="Normal"/>
    <w:link w:val="Heading2Char"/>
    <w:qFormat/>
    <w:rsid w:val="007D2B54"/>
    <w:pPr>
      <w:keepNext/>
      <w:spacing w:before="120" w:after="240"/>
      <w:outlineLvl w:val="1"/>
    </w:pPr>
    <w:rPr>
      <w:rFonts w:cs="Arial"/>
      <w:b/>
      <w:bCs/>
      <w:iCs/>
      <w:color w:val="A32035"/>
      <w:sz w:val="28"/>
      <w:szCs w:val="28"/>
    </w:rPr>
  </w:style>
  <w:style w:type="paragraph" w:styleId="Heading3">
    <w:name w:val="heading 3"/>
    <w:basedOn w:val="HeadingBase"/>
    <w:next w:val="Normal"/>
    <w:link w:val="Heading3Char"/>
    <w:qFormat/>
    <w:rsid w:val="007D2B54"/>
    <w:pPr>
      <w:keepNext/>
      <w:spacing w:before="240" w:after="180"/>
      <w:outlineLvl w:val="2"/>
    </w:pPr>
    <w:rPr>
      <w:rFonts w:cs="Arial"/>
      <w:b/>
      <w:bCs/>
      <w:color w:val="E06277"/>
      <w:sz w:val="28"/>
      <w:szCs w:val="26"/>
    </w:rPr>
  </w:style>
  <w:style w:type="paragraph" w:styleId="Heading4">
    <w:name w:val="heading 4"/>
    <w:basedOn w:val="HeadingBase"/>
    <w:next w:val="Normal"/>
    <w:link w:val="Heading4Char"/>
    <w:qFormat/>
    <w:rsid w:val="004046AA"/>
    <w:pPr>
      <w:keepNext/>
      <w:spacing w:before="240" w:after="180"/>
      <w:outlineLvl w:val="3"/>
    </w:pPr>
    <w:rPr>
      <w:b/>
      <w:bCs/>
      <w:i/>
      <w:color w:val="A32035"/>
      <w:sz w:val="24"/>
      <w:szCs w:val="22"/>
    </w:rPr>
  </w:style>
  <w:style w:type="paragraph" w:styleId="Heading5">
    <w:name w:val="heading 5"/>
    <w:basedOn w:val="HeadingBase"/>
    <w:next w:val="Normal"/>
    <w:link w:val="Heading5Char"/>
    <w:qFormat/>
    <w:rsid w:val="007C6CF0"/>
    <w:pPr>
      <w:keepNext/>
      <w:spacing w:before="120" w:after="180"/>
      <w:outlineLvl w:val="4"/>
    </w:pPr>
    <w:rPr>
      <w:bCs/>
      <w:iCs/>
      <w:color w:val="C92742"/>
      <w:sz w:val="22"/>
    </w:rPr>
  </w:style>
  <w:style w:type="paragraph" w:styleId="Heading6">
    <w:name w:val="heading 6"/>
    <w:basedOn w:val="HeadingBase"/>
    <w:next w:val="Normal"/>
    <w:link w:val="Heading6Char"/>
    <w:qFormat/>
    <w:rsid w:val="0094674F"/>
    <w:pPr>
      <w:keepNext/>
      <w:spacing w:after="120"/>
      <w:outlineLvl w:val="5"/>
    </w:pPr>
    <w:rPr>
      <w:bCs/>
      <w:szCs w:val="22"/>
    </w:rPr>
  </w:style>
  <w:style w:type="paragraph" w:styleId="Heading7">
    <w:name w:val="heading 7"/>
    <w:basedOn w:val="Heading2"/>
    <w:next w:val="Normal"/>
    <w:link w:val="Heading7Char"/>
    <w:qFormat/>
    <w:rsid w:val="0094674F"/>
    <w:pPr>
      <w:jc w:val="right"/>
      <w:outlineLvl w:val="6"/>
    </w:pPr>
  </w:style>
  <w:style w:type="paragraph" w:styleId="Heading8">
    <w:name w:val="heading 8"/>
    <w:basedOn w:val="HeadingBase"/>
    <w:next w:val="Normal"/>
    <w:link w:val="Heading8Char"/>
    <w:qFormat/>
    <w:rsid w:val="0094674F"/>
    <w:pPr>
      <w:keepNext/>
      <w:spacing w:before="284" w:after="360"/>
      <w:jc w:val="right"/>
      <w:outlineLvl w:val="7"/>
    </w:pPr>
    <w:rPr>
      <w:iCs/>
      <w:sz w:val="48"/>
      <w:szCs w:val="24"/>
    </w:rPr>
  </w:style>
  <w:style w:type="paragraph" w:styleId="Heading9">
    <w:name w:val="heading 9"/>
    <w:basedOn w:val="HeadingBase"/>
    <w:next w:val="Normal"/>
    <w:link w:val="Heading9Char"/>
    <w:qFormat/>
    <w:rsid w:val="0094674F"/>
    <w:pPr>
      <w:keepNext/>
      <w:spacing w:before="170" w:after="113" w:line="320" w:lineRule="exact"/>
      <w:jc w:val="right"/>
      <w:outlineLvl w:val="8"/>
    </w:pPr>
    <w:rPr>
      <w:rFonts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467D"/>
    <w:rPr>
      <w:rFonts w:ascii="Calibri" w:eastAsia="Times New Roman" w:hAnsi="Calibri" w:cs="Arial"/>
      <w:b/>
      <w:bCs/>
      <w:color w:val="FFFFFF" w:themeColor="background1"/>
      <w:kern w:val="32"/>
      <w:sz w:val="24"/>
      <w:szCs w:val="48"/>
      <w:lang w:eastAsia="en-AU"/>
    </w:rPr>
  </w:style>
  <w:style w:type="character" w:customStyle="1" w:styleId="Heading2Char">
    <w:name w:val="Heading 2 Char"/>
    <w:basedOn w:val="DefaultParagraphFont"/>
    <w:link w:val="Heading2"/>
    <w:rsid w:val="007D2B54"/>
    <w:rPr>
      <w:rFonts w:ascii="Calibri" w:eastAsia="Times New Roman" w:hAnsi="Calibri" w:cs="Arial"/>
      <w:b/>
      <w:bCs/>
      <w:iCs/>
      <w:color w:val="A32035"/>
      <w:sz w:val="28"/>
      <w:szCs w:val="28"/>
      <w:lang w:eastAsia="en-AU"/>
    </w:rPr>
  </w:style>
  <w:style w:type="character" w:customStyle="1" w:styleId="Heading3Char">
    <w:name w:val="Heading 3 Char"/>
    <w:basedOn w:val="DefaultParagraphFont"/>
    <w:link w:val="Heading3"/>
    <w:rsid w:val="007D2B54"/>
    <w:rPr>
      <w:rFonts w:ascii="Calibri" w:eastAsia="Times New Roman" w:hAnsi="Calibri" w:cs="Arial"/>
      <w:b/>
      <w:bCs/>
      <w:color w:val="E06277"/>
      <w:sz w:val="28"/>
      <w:szCs w:val="26"/>
      <w:lang w:eastAsia="en-AU"/>
    </w:rPr>
  </w:style>
  <w:style w:type="character" w:customStyle="1" w:styleId="Heading4Char">
    <w:name w:val="Heading 4 Char"/>
    <w:basedOn w:val="DefaultParagraphFont"/>
    <w:link w:val="Heading4"/>
    <w:rsid w:val="004046AA"/>
    <w:rPr>
      <w:rFonts w:ascii="Calibri" w:eastAsia="Times New Roman" w:hAnsi="Calibri" w:cs="Times New Roman"/>
      <w:b/>
      <w:bCs/>
      <w:i/>
      <w:color w:val="A32035"/>
      <w:sz w:val="24"/>
      <w:lang w:eastAsia="en-AU"/>
    </w:rPr>
  </w:style>
  <w:style w:type="character" w:customStyle="1" w:styleId="Heading5Char">
    <w:name w:val="Heading 5 Char"/>
    <w:basedOn w:val="DefaultParagraphFont"/>
    <w:link w:val="Heading5"/>
    <w:rsid w:val="007C6CF0"/>
    <w:rPr>
      <w:rFonts w:ascii="Calibri" w:eastAsia="Times New Roman" w:hAnsi="Calibri" w:cs="Times New Roman"/>
      <w:bCs/>
      <w:iCs/>
      <w:color w:val="C92742"/>
      <w:szCs w:val="20"/>
      <w:lang w:eastAsia="en-AU"/>
    </w:rPr>
  </w:style>
  <w:style w:type="character" w:customStyle="1" w:styleId="Heading6Char">
    <w:name w:val="Heading 6 Char"/>
    <w:basedOn w:val="DefaultParagraphFont"/>
    <w:link w:val="Heading6"/>
    <w:rsid w:val="00E83190"/>
    <w:rPr>
      <w:rFonts w:ascii="Calibri" w:eastAsia="Times New Roman" w:hAnsi="Calibri" w:cs="Times New Roman"/>
      <w:bCs/>
      <w:color w:val="003E74"/>
      <w:sz w:val="20"/>
      <w:lang w:eastAsia="en-AU"/>
    </w:rPr>
  </w:style>
  <w:style w:type="character" w:customStyle="1" w:styleId="Heading7Char">
    <w:name w:val="Heading 7 Char"/>
    <w:basedOn w:val="DefaultParagraphFont"/>
    <w:link w:val="Heading7"/>
    <w:rsid w:val="00E83190"/>
    <w:rPr>
      <w:rFonts w:ascii="Calibri" w:eastAsia="Times New Roman" w:hAnsi="Calibri" w:cs="Arial"/>
      <w:b/>
      <w:bCs/>
      <w:iCs/>
      <w:color w:val="003E74"/>
      <w:sz w:val="28"/>
      <w:szCs w:val="28"/>
      <w:lang w:eastAsia="en-AU"/>
    </w:rPr>
  </w:style>
  <w:style w:type="character" w:customStyle="1" w:styleId="Heading8Char">
    <w:name w:val="Heading 8 Char"/>
    <w:basedOn w:val="DefaultParagraphFont"/>
    <w:link w:val="Heading8"/>
    <w:rsid w:val="00E83190"/>
    <w:rPr>
      <w:rFonts w:ascii="Calibri" w:eastAsia="Times New Roman" w:hAnsi="Calibri" w:cs="Times New Roman"/>
      <w:iCs/>
      <w:color w:val="003E74"/>
      <w:sz w:val="48"/>
      <w:szCs w:val="24"/>
      <w:lang w:eastAsia="en-AU"/>
    </w:rPr>
  </w:style>
  <w:style w:type="character" w:customStyle="1" w:styleId="Heading9Char">
    <w:name w:val="Heading 9 Char"/>
    <w:basedOn w:val="DefaultParagraphFont"/>
    <w:link w:val="Heading9"/>
    <w:rsid w:val="00E83190"/>
    <w:rPr>
      <w:rFonts w:ascii="Calibri" w:eastAsia="Times New Roman" w:hAnsi="Calibri" w:cs="Arial"/>
      <w:b/>
      <w:color w:val="003E74"/>
      <w:sz w:val="28"/>
      <w:lang w:eastAsia="en-AU"/>
    </w:rPr>
  </w:style>
  <w:style w:type="paragraph" w:customStyle="1" w:styleId="SingleParagraph">
    <w:name w:val="Single Paragraph"/>
    <w:basedOn w:val="Normal"/>
    <w:link w:val="SingleParagraphChar"/>
    <w:rsid w:val="0094674F"/>
    <w:pPr>
      <w:spacing w:after="0"/>
    </w:pPr>
  </w:style>
  <w:style w:type="character" w:styleId="Hyperlink">
    <w:name w:val="Hyperlink"/>
    <w:basedOn w:val="DefaultParagraphFont"/>
    <w:uiPriority w:val="99"/>
    <w:rsid w:val="0094674F"/>
    <w:rPr>
      <w:color w:val="000000"/>
      <w:u w:val="none"/>
    </w:rPr>
  </w:style>
  <w:style w:type="paragraph" w:customStyle="1" w:styleId="ChartGraphic">
    <w:name w:val="Chart Graphic"/>
    <w:basedOn w:val="HeadingBase"/>
    <w:rsid w:val="0094674F"/>
    <w:pPr>
      <w:jc w:val="center"/>
    </w:pPr>
  </w:style>
  <w:style w:type="paragraph" w:styleId="Footer">
    <w:name w:val="footer"/>
    <w:basedOn w:val="HeadingBase"/>
    <w:link w:val="FooterChar"/>
    <w:rsid w:val="0094674F"/>
    <w:rPr>
      <w:sz w:val="18"/>
    </w:rPr>
  </w:style>
  <w:style w:type="character" w:customStyle="1" w:styleId="FooterChar">
    <w:name w:val="Footer Char"/>
    <w:basedOn w:val="DefaultParagraphFont"/>
    <w:link w:val="Footer"/>
    <w:uiPriority w:val="99"/>
    <w:rsid w:val="00E83190"/>
    <w:rPr>
      <w:rFonts w:ascii="Calibri" w:eastAsia="Times New Roman" w:hAnsi="Calibri" w:cs="Times New Roman"/>
      <w:color w:val="003E74"/>
      <w:sz w:val="18"/>
      <w:szCs w:val="20"/>
      <w:lang w:eastAsia="en-AU"/>
    </w:rPr>
  </w:style>
  <w:style w:type="paragraph" w:customStyle="1" w:styleId="ContentsHeading">
    <w:name w:val="Contents Heading"/>
    <w:basedOn w:val="HeadingBase"/>
    <w:next w:val="Normal"/>
    <w:rsid w:val="0094674F"/>
    <w:pPr>
      <w:spacing w:after="360"/>
    </w:pPr>
    <w:rPr>
      <w:smallCaps/>
      <w:sz w:val="36"/>
      <w:szCs w:val="36"/>
    </w:rPr>
  </w:style>
  <w:style w:type="paragraph" w:customStyle="1" w:styleId="CoverTitleMain">
    <w:name w:val="Cover Title Main"/>
    <w:basedOn w:val="HeadingBase"/>
    <w:next w:val="Normal"/>
    <w:rsid w:val="0094674F"/>
    <w:pPr>
      <w:spacing w:after="360"/>
      <w:jc w:val="right"/>
    </w:pPr>
    <w:rPr>
      <w:b/>
      <w:sz w:val="44"/>
    </w:rPr>
  </w:style>
  <w:style w:type="paragraph" w:customStyle="1" w:styleId="FooterEven">
    <w:name w:val="Footer Even"/>
    <w:basedOn w:val="Footer"/>
    <w:rsid w:val="007D2B54"/>
    <w:rPr>
      <w:color w:val="A32035"/>
    </w:rPr>
  </w:style>
  <w:style w:type="paragraph" w:customStyle="1" w:styleId="FooterOdd">
    <w:name w:val="Footer Odd"/>
    <w:basedOn w:val="Footer"/>
    <w:rsid w:val="007D2B54"/>
    <w:pPr>
      <w:jc w:val="right"/>
    </w:pPr>
    <w:rPr>
      <w:color w:val="A32035"/>
    </w:rPr>
  </w:style>
  <w:style w:type="paragraph" w:styleId="Header">
    <w:name w:val="header"/>
    <w:basedOn w:val="HeadingBase"/>
    <w:link w:val="HeaderChar"/>
    <w:rsid w:val="0094674F"/>
    <w:rPr>
      <w:sz w:val="18"/>
    </w:rPr>
  </w:style>
  <w:style w:type="character" w:customStyle="1" w:styleId="HeaderChar">
    <w:name w:val="Header Char"/>
    <w:basedOn w:val="DefaultParagraphFont"/>
    <w:link w:val="Header"/>
    <w:rsid w:val="00E83190"/>
    <w:rPr>
      <w:rFonts w:ascii="Calibri" w:eastAsia="Times New Roman" w:hAnsi="Calibri" w:cs="Times New Roman"/>
      <w:color w:val="003E74"/>
      <w:sz w:val="18"/>
      <w:szCs w:val="20"/>
      <w:lang w:eastAsia="en-AU"/>
    </w:rPr>
  </w:style>
  <w:style w:type="paragraph" w:customStyle="1" w:styleId="HeaderOdd">
    <w:name w:val="Header Odd"/>
    <w:basedOn w:val="Header"/>
    <w:rsid w:val="007D2B54"/>
    <w:pPr>
      <w:jc w:val="right"/>
    </w:pPr>
    <w:rPr>
      <w:color w:val="A32035"/>
    </w:rPr>
  </w:style>
  <w:style w:type="paragraph" w:styleId="TOC1">
    <w:name w:val="toc 1"/>
    <w:basedOn w:val="HeadingBase"/>
    <w:next w:val="Normal"/>
    <w:uiPriority w:val="39"/>
    <w:qFormat/>
    <w:rsid w:val="00C55F6D"/>
    <w:pPr>
      <w:tabs>
        <w:tab w:val="right" w:leader="dot" w:pos="7700"/>
      </w:tabs>
      <w:spacing w:before="100"/>
      <w:ind w:right="851"/>
    </w:pPr>
    <w:rPr>
      <w:b/>
      <w:smallCaps/>
      <w:noProof/>
      <w:color w:val="A32035"/>
      <w:sz w:val="24"/>
      <w:szCs w:val="22"/>
    </w:rPr>
  </w:style>
  <w:style w:type="paragraph" w:styleId="TOC2">
    <w:name w:val="toc 2"/>
    <w:basedOn w:val="Normal"/>
    <w:next w:val="Normal"/>
    <w:uiPriority w:val="39"/>
    <w:qFormat/>
    <w:rsid w:val="00C55F6D"/>
    <w:pPr>
      <w:tabs>
        <w:tab w:val="right" w:leader="dot" w:pos="7700"/>
      </w:tabs>
      <w:spacing w:after="40" w:line="240" w:lineRule="auto"/>
      <w:ind w:right="851"/>
      <w:jc w:val="left"/>
    </w:pPr>
    <w:rPr>
      <w:rFonts w:ascii="Calibri" w:hAnsi="Calibri"/>
      <w:noProof/>
    </w:rPr>
  </w:style>
  <w:style w:type="paragraph" w:styleId="TOC3">
    <w:name w:val="toc 3"/>
    <w:basedOn w:val="Normal"/>
    <w:next w:val="Normal"/>
    <w:uiPriority w:val="39"/>
    <w:qFormat/>
    <w:rsid w:val="005447A4"/>
    <w:pPr>
      <w:tabs>
        <w:tab w:val="right" w:leader="dot" w:pos="7700"/>
      </w:tabs>
      <w:spacing w:after="40" w:line="240" w:lineRule="auto"/>
      <w:ind w:left="284" w:right="907" w:hanging="284"/>
      <w:jc w:val="left"/>
    </w:pPr>
    <w:rPr>
      <w:rFonts w:ascii="Calibri" w:hAnsi="Calibri"/>
      <w:noProof/>
      <w:color w:val="auto"/>
    </w:rPr>
  </w:style>
  <w:style w:type="paragraph" w:styleId="TOC4">
    <w:name w:val="toc 4"/>
    <w:basedOn w:val="Normal"/>
    <w:next w:val="Normal"/>
    <w:rsid w:val="0094674F"/>
    <w:pPr>
      <w:tabs>
        <w:tab w:val="right" w:leader="dot" w:pos="7700"/>
      </w:tabs>
      <w:spacing w:after="0" w:line="240" w:lineRule="auto"/>
      <w:ind w:left="284" w:right="851" w:hanging="284"/>
      <w:jc w:val="left"/>
    </w:pPr>
    <w:rPr>
      <w:rFonts w:ascii="Calibri" w:hAnsi="Calibri"/>
      <w:noProof/>
    </w:rPr>
  </w:style>
  <w:style w:type="paragraph" w:customStyle="1" w:styleId="SinglePara">
    <w:name w:val="Single Para"/>
    <w:basedOn w:val="Normal"/>
    <w:rsid w:val="00E83190"/>
    <w:pPr>
      <w:spacing w:after="0" w:line="240" w:lineRule="auto"/>
    </w:pPr>
    <w:rPr>
      <w:rFonts w:ascii="Times New Roman" w:hAnsi="Times New Roman"/>
      <w:sz w:val="24"/>
    </w:rPr>
  </w:style>
  <w:style w:type="character" w:customStyle="1" w:styleId="SingleParagraphChar">
    <w:name w:val="Single Paragraph Char"/>
    <w:link w:val="SingleParagraph"/>
    <w:rsid w:val="00E83190"/>
    <w:rPr>
      <w:rFonts w:eastAsia="Times New Roman" w:cs="Times New Roman"/>
      <w:color w:val="000000"/>
      <w:sz w:val="20"/>
      <w:szCs w:val="20"/>
      <w:lang w:eastAsia="en-AU"/>
    </w:rPr>
  </w:style>
  <w:style w:type="paragraph" w:customStyle="1" w:styleId="ChairmanLetter">
    <w:name w:val="Chairman Letter"/>
    <w:basedOn w:val="Normal"/>
    <w:qFormat/>
    <w:rsid w:val="00E83190"/>
    <w:rPr>
      <w:rFonts w:ascii="Times New Roman" w:hAnsi="Times New Roman"/>
    </w:rPr>
  </w:style>
  <w:style w:type="paragraph" w:styleId="BalloonText">
    <w:name w:val="Balloon Text"/>
    <w:basedOn w:val="Normal"/>
    <w:link w:val="BalloonTextChar"/>
    <w:rsid w:val="0094674F"/>
    <w:rPr>
      <w:rFonts w:ascii="Tahoma" w:hAnsi="Tahoma" w:cs="Tahoma"/>
      <w:sz w:val="16"/>
      <w:szCs w:val="16"/>
    </w:rPr>
  </w:style>
  <w:style w:type="character" w:customStyle="1" w:styleId="BalloonTextChar">
    <w:name w:val="Balloon Text Char"/>
    <w:basedOn w:val="DefaultParagraphFont"/>
    <w:link w:val="BalloonText"/>
    <w:rsid w:val="00E83190"/>
    <w:rPr>
      <w:rFonts w:ascii="Tahoma" w:eastAsia="Times New Roman" w:hAnsi="Tahoma" w:cs="Tahoma"/>
      <w:color w:val="000000"/>
      <w:sz w:val="16"/>
      <w:szCs w:val="16"/>
      <w:lang w:eastAsia="en-AU"/>
    </w:rPr>
  </w:style>
  <w:style w:type="paragraph" w:styleId="FootnoteText">
    <w:name w:val="footnote text"/>
    <w:basedOn w:val="Normal"/>
    <w:link w:val="FootnoteTextChar"/>
    <w:rsid w:val="00CC6D5D"/>
    <w:pPr>
      <w:tabs>
        <w:tab w:val="left" w:pos="284"/>
      </w:tabs>
      <w:spacing w:after="0" w:line="240" w:lineRule="auto"/>
      <w:ind w:left="284" w:hanging="284"/>
    </w:pPr>
    <w:rPr>
      <w:spacing w:val="-2"/>
      <w:sz w:val="18"/>
    </w:rPr>
  </w:style>
  <w:style w:type="character" w:customStyle="1" w:styleId="FootnoteTextChar">
    <w:name w:val="Footnote Text Char"/>
    <w:basedOn w:val="DefaultParagraphFont"/>
    <w:link w:val="FootnoteText"/>
    <w:rsid w:val="00E83190"/>
    <w:rPr>
      <w:rFonts w:eastAsia="Times New Roman" w:cs="Times New Roman"/>
      <w:color w:val="000000"/>
      <w:spacing w:val="-2"/>
      <w:sz w:val="18"/>
      <w:szCs w:val="20"/>
      <w:lang w:eastAsia="en-AU"/>
    </w:rPr>
  </w:style>
  <w:style w:type="character" w:styleId="FootnoteReference">
    <w:name w:val="footnote reference"/>
    <w:basedOn w:val="DefaultParagraphFont"/>
    <w:rsid w:val="0094674F"/>
    <w:rPr>
      <w:vertAlign w:val="superscript"/>
    </w:rPr>
  </w:style>
  <w:style w:type="character" w:styleId="PageNumber">
    <w:name w:val="page number"/>
    <w:basedOn w:val="DefaultParagraphFont"/>
    <w:rsid w:val="0094674F"/>
    <w:rPr>
      <w:rFonts w:asciiTheme="minorHAnsi" w:hAnsiTheme="minorHAnsi"/>
      <w:color w:val="003E74"/>
      <w:sz w:val="18"/>
      <w:szCs w:val="18"/>
    </w:rPr>
  </w:style>
  <w:style w:type="paragraph" w:customStyle="1" w:styleId="Bullet">
    <w:name w:val="Bullet"/>
    <w:aliases w:val="b,b1,b + line,Body,level 1,Bullet + line"/>
    <w:basedOn w:val="Normal"/>
    <w:link w:val="BulletChar"/>
    <w:qFormat/>
    <w:rsid w:val="007E1442"/>
    <w:pPr>
      <w:numPr>
        <w:numId w:val="1"/>
      </w:numPr>
      <w:tabs>
        <w:tab w:val="left" w:pos="425"/>
      </w:tabs>
    </w:pPr>
  </w:style>
  <w:style w:type="paragraph" w:customStyle="1" w:styleId="Dash">
    <w:name w:val="Dash"/>
    <w:basedOn w:val="Normal"/>
    <w:link w:val="DashChar"/>
    <w:qFormat/>
    <w:rsid w:val="0075316F"/>
    <w:pPr>
      <w:numPr>
        <w:ilvl w:val="1"/>
        <w:numId w:val="1"/>
      </w:numPr>
      <w:tabs>
        <w:tab w:val="left" w:pos="851"/>
      </w:tabs>
    </w:pPr>
    <w:rPr>
      <w:rFonts w:ascii="Calibri" w:hAnsi="Calibri"/>
    </w:rPr>
  </w:style>
  <w:style w:type="paragraph" w:customStyle="1" w:styleId="DoubleDot">
    <w:name w:val="Double Dot"/>
    <w:basedOn w:val="Normal"/>
    <w:link w:val="DoubleDotChar"/>
    <w:qFormat/>
    <w:rsid w:val="0094674F"/>
    <w:pPr>
      <w:numPr>
        <w:ilvl w:val="2"/>
        <w:numId w:val="1"/>
      </w:numPr>
      <w:tabs>
        <w:tab w:val="clear" w:pos="850"/>
        <w:tab w:val="num" w:pos="360"/>
      </w:tabs>
      <w:ind w:left="0" w:firstLine="0"/>
    </w:pPr>
  </w:style>
  <w:style w:type="paragraph" w:customStyle="1" w:styleId="OutlineNumbered1">
    <w:name w:val="Outline Numbered 1"/>
    <w:basedOn w:val="Normal"/>
    <w:rsid w:val="0094674F"/>
    <w:pPr>
      <w:numPr>
        <w:numId w:val="2"/>
      </w:numPr>
      <w:tabs>
        <w:tab w:val="clear" w:pos="567"/>
        <w:tab w:val="num" w:pos="360"/>
      </w:tabs>
      <w:ind w:left="0" w:firstLine="0"/>
    </w:pPr>
  </w:style>
  <w:style w:type="paragraph" w:customStyle="1" w:styleId="OutlineNumbered2">
    <w:name w:val="Outline Numbered 2"/>
    <w:basedOn w:val="Normal"/>
    <w:rsid w:val="0094674F"/>
    <w:pPr>
      <w:numPr>
        <w:ilvl w:val="1"/>
        <w:numId w:val="2"/>
      </w:numPr>
      <w:tabs>
        <w:tab w:val="clear" w:pos="1134"/>
        <w:tab w:val="num" w:pos="360"/>
      </w:tabs>
      <w:ind w:left="0" w:firstLine="0"/>
    </w:pPr>
  </w:style>
  <w:style w:type="paragraph" w:customStyle="1" w:styleId="OutlineNumbered3">
    <w:name w:val="Outline Numbered 3"/>
    <w:basedOn w:val="Normal"/>
    <w:rsid w:val="0094674F"/>
    <w:pPr>
      <w:numPr>
        <w:ilvl w:val="2"/>
        <w:numId w:val="2"/>
      </w:numPr>
      <w:tabs>
        <w:tab w:val="clear" w:pos="1701"/>
        <w:tab w:val="num" w:pos="360"/>
      </w:tabs>
      <w:ind w:left="0" w:firstLine="0"/>
    </w:pPr>
  </w:style>
  <w:style w:type="paragraph" w:customStyle="1" w:styleId="CoverTitleSub">
    <w:name w:val="Cover Title Sub"/>
    <w:basedOn w:val="HeadingBase"/>
    <w:rsid w:val="0094674F"/>
    <w:pPr>
      <w:spacing w:after="360"/>
      <w:jc w:val="center"/>
    </w:pPr>
    <w:rPr>
      <w:sz w:val="36"/>
    </w:rPr>
  </w:style>
  <w:style w:type="character" w:customStyle="1" w:styleId="FramedHeader">
    <w:name w:val="Framed Header"/>
    <w:basedOn w:val="DefaultParagraphFont"/>
    <w:rsid w:val="00A52CA5"/>
    <w:rPr>
      <w:rFonts w:ascii="Calibri" w:hAnsi="Calibri"/>
      <w:dstrike w:val="0"/>
      <w:color w:val="A32035"/>
      <w:sz w:val="18"/>
      <w:szCs w:val="18"/>
      <w:vertAlign w:val="baseline"/>
    </w:rPr>
  </w:style>
  <w:style w:type="paragraph" w:customStyle="1" w:styleId="HeaderEven">
    <w:name w:val="Header Even"/>
    <w:basedOn w:val="Header"/>
    <w:rsid w:val="007D2B54"/>
    <w:rPr>
      <w:color w:val="A32035"/>
    </w:rPr>
  </w:style>
  <w:style w:type="character" w:customStyle="1" w:styleId="Normalitalics">
    <w:name w:val="Normal italics"/>
    <w:rsid w:val="00E83190"/>
    <w:rPr>
      <w:i/>
    </w:rPr>
  </w:style>
  <w:style w:type="character" w:styleId="Strong">
    <w:name w:val="Strong"/>
    <w:qFormat/>
    <w:rsid w:val="00E83190"/>
    <w:rPr>
      <w:b/>
      <w:bCs/>
    </w:rPr>
  </w:style>
  <w:style w:type="paragraph" w:customStyle="1" w:styleId="Heading1noTOC">
    <w:name w:val="Heading 1 no TOC"/>
    <w:basedOn w:val="Heading1"/>
    <w:next w:val="Normal"/>
    <w:rsid w:val="00CC429F"/>
    <w:pPr>
      <w:spacing w:after="240"/>
      <w:outlineLvl w:val="9"/>
    </w:pPr>
    <w:rPr>
      <w:caps/>
      <w:color w:val="A32035"/>
      <w:sz w:val="32"/>
    </w:rPr>
  </w:style>
  <w:style w:type="character" w:customStyle="1" w:styleId="BulletChar">
    <w:name w:val="Bullet Char"/>
    <w:aliases w:val="b Char,b + line Char Char,b Char Char,Body Char,Bullet + line Char,b + line Char,b1 Char,level 1 Char,Number Char,Bullets Char,L Char,List Paragraph1 Char,List Paragraph11 Char,Recommendation Char,List Paragraph2 Char,List Paragraph Char"/>
    <w:link w:val="Bullet"/>
    <w:qFormat/>
    <w:rsid w:val="007E1442"/>
    <w:rPr>
      <w:rFonts w:eastAsia="Times New Roman" w:cs="Times New Roman"/>
      <w:color w:val="000000"/>
      <w:sz w:val="20"/>
      <w:szCs w:val="20"/>
      <w:lang w:eastAsia="en-AU"/>
    </w:rPr>
  </w:style>
  <w:style w:type="paragraph" w:customStyle="1" w:styleId="Box-Pull-Text">
    <w:name w:val="Box - Pull - Text"/>
    <w:basedOn w:val="Normal"/>
    <w:link w:val="Box-Pull-TextChar"/>
    <w:qFormat/>
    <w:rsid w:val="00E83190"/>
    <w:pPr>
      <w:spacing w:before="120" w:after="120"/>
    </w:pPr>
  </w:style>
  <w:style w:type="paragraph" w:customStyle="1" w:styleId="Box-Pull-Bullet">
    <w:name w:val="Box - Pull - Bullet"/>
    <w:basedOn w:val="Box-Pull-Text"/>
    <w:rsid w:val="00E83190"/>
    <w:pPr>
      <w:numPr>
        <w:numId w:val="3"/>
      </w:numPr>
      <w:tabs>
        <w:tab w:val="left" w:pos="284"/>
        <w:tab w:val="num" w:pos="360"/>
      </w:tabs>
      <w:spacing w:before="60" w:after="60"/>
      <w:ind w:left="284" w:hanging="284"/>
    </w:pPr>
  </w:style>
  <w:style w:type="paragraph" w:customStyle="1" w:styleId="Normal-Bio">
    <w:name w:val="Normal - Bio"/>
    <w:basedOn w:val="Normal"/>
    <w:rsid w:val="00E83190"/>
    <w:rPr>
      <w:noProof/>
    </w:rPr>
  </w:style>
  <w:style w:type="paragraph" w:customStyle="1" w:styleId="Box-Pull-HeadingInternal">
    <w:name w:val="Box - Pull - Heading (Internal)"/>
    <w:basedOn w:val="Box-Pull-Text"/>
    <w:rsid w:val="00E83190"/>
    <w:pPr>
      <w:spacing w:after="60"/>
    </w:pPr>
    <w:rPr>
      <w:rFonts w:ascii="Arial" w:hAnsi="Arial"/>
      <w:b/>
      <w:bCs/>
      <w:color w:val="003E74"/>
      <w:szCs w:val="22"/>
    </w:rPr>
  </w:style>
  <w:style w:type="character" w:customStyle="1" w:styleId="Box-Pull-TextChar">
    <w:name w:val="Box - Pull - Text Char"/>
    <w:link w:val="Box-Pull-Text"/>
    <w:rsid w:val="00E83190"/>
    <w:rPr>
      <w:rFonts w:eastAsia="Times New Roman" w:cs="Times New Roman"/>
      <w:color w:val="000000"/>
      <w:sz w:val="20"/>
      <w:szCs w:val="20"/>
      <w:lang w:eastAsia="en-AU"/>
    </w:rPr>
  </w:style>
  <w:style w:type="paragraph" w:customStyle="1" w:styleId="HeadingBase">
    <w:name w:val="Heading Base"/>
    <w:next w:val="Normal"/>
    <w:link w:val="HeadingBaseChar"/>
    <w:rsid w:val="0094674F"/>
    <w:pPr>
      <w:spacing w:after="0" w:line="240" w:lineRule="auto"/>
    </w:pPr>
    <w:rPr>
      <w:rFonts w:ascii="Calibri" w:eastAsia="Times New Roman" w:hAnsi="Calibri" w:cs="Times New Roman"/>
      <w:color w:val="003E74"/>
      <w:sz w:val="20"/>
      <w:szCs w:val="20"/>
      <w:lang w:eastAsia="en-AU"/>
    </w:rPr>
  </w:style>
  <w:style w:type="paragraph" w:customStyle="1" w:styleId="ChartandTableFootnote">
    <w:name w:val="Chart and Table Footnote"/>
    <w:basedOn w:val="HeadingBase"/>
    <w:next w:val="Normal"/>
    <w:rsid w:val="00E83190"/>
    <w:rPr>
      <w:color w:val="000000"/>
      <w:sz w:val="16"/>
      <w:szCs w:val="16"/>
    </w:rPr>
  </w:style>
  <w:style w:type="paragraph" w:customStyle="1" w:styleId="ChartandTableFootnoteAlpha">
    <w:name w:val="Chart and Table Footnote Alpha"/>
    <w:rsid w:val="00974C1D"/>
    <w:pPr>
      <w:numPr>
        <w:numId w:val="21"/>
      </w:numPr>
      <w:spacing w:after="20" w:line="240" w:lineRule="auto"/>
      <w:jc w:val="both"/>
    </w:pPr>
    <w:rPr>
      <w:rFonts w:ascii="Arial" w:eastAsia="Times New Roman" w:hAnsi="Arial" w:cs="Times New Roman"/>
      <w:color w:val="000000"/>
      <w:sz w:val="16"/>
      <w:szCs w:val="16"/>
      <w:lang w:eastAsia="en-AU"/>
    </w:rPr>
  </w:style>
  <w:style w:type="paragraph" w:customStyle="1" w:styleId="ChartHeading">
    <w:name w:val="Chart Heading"/>
    <w:basedOn w:val="TableHeading"/>
    <w:next w:val="ChartGraphic"/>
    <w:rsid w:val="004046AA"/>
    <w:rPr>
      <w:rFonts w:eastAsiaTheme="majorEastAsia"/>
    </w:rPr>
  </w:style>
  <w:style w:type="paragraph" w:customStyle="1" w:styleId="ChartSecondHeading">
    <w:name w:val="Chart Second Heading"/>
    <w:basedOn w:val="HeadingBase"/>
    <w:next w:val="ChartGraphic"/>
    <w:rsid w:val="0094674F"/>
    <w:pPr>
      <w:keepNext/>
      <w:spacing w:after="20"/>
    </w:pPr>
  </w:style>
  <w:style w:type="paragraph" w:styleId="Subtitle">
    <w:name w:val="Subtitle"/>
    <w:basedOn w:val="Normal"/>
    <w:next w:val="Normal"/>
    <w:link w:val="SubtitleChar"/>
    <w:qFormat/>
    <w:rsid w:val="0094674F"/>
    <w:pPr>
      <w:numPr>
        <w:ilvl w:val="1"/>
      </w:numPr>
    </w:pPr>
    <w:rPr>
      <w:rFonts w:asciiTheme="majorHAnsi" w:eastAsiaTheme="majorEastAsia" w:hAnsiTheme="majorHAnsi" w:cstheme="majorBidi"/>
      <w:i/>
      <w:iCs/>
      <w:color w:val="003E74"/>
      <w:spacing w:val="15"/>
      <w:sz w:val="24"/>
      <w:szCs w:val="24"/>
    </w:rPr>
  </w:style>
  <w:style w:type="character" w:customStyle="1" w:styleId="SubtitleChar">
    <w:name w:val="Subtitle Char"/>
    <w:basedOn w:val="DefaultParagraphFont"/>
    <w:link w:val="Subtitle"/>
    <w:rsid w:val="0094674F"/>
    <w:rPr>
      <w:rFonts w:asciiTheme="majorHAnsi" w:eastAsiaTheme="majorEastAsia" w:hAnsiTheme="majorHAnsi" w:cstheme="majorBidi"/>
      <w:i/>
      <w:iCs/>
      <w:color w:val="003E74"/>
      <w:spacing w:val="15"/>
      <w:sz w:val="24"/>
      <w:szCs w:val="24"/>
      <w:lang w:eastAsia="en-AU"/>
    </w:rPr>
  </w:style>
  <w:style w:type="paragraph" w:styleId="BlockText">
    <w:name w:val="Block Text"/>
    <w:basedOn w:val="Normal"/>
    <w:rsid w:val="0094674F"/>
    <w:pPr>
      <w:pBdr>
        <w:top w:val="single" w:sz="2" w:space="10" w:color="A32035" w:themeColor="accent1" w:shadow="1" w:frame="1"/>
        <w:left w:val="single" w:sz="2" w:space="10" w:color="A32035" w:themeColor="accent1" w:shadow="1" w:frame="1"/>
        <w:bottom w:val="single" w:sz="2" w:space="10" w:color="A32035" w:themeColor="accent1" w:shadow="1" w:frame="1"/>
        <w:right w:val="single" w:sz="2" w:space="10" w:color="A32035" w:themeColor="accent1" w:shadow="1" w:frame="1"/>
      </w:pBdr>
      <w:ind w:left="1152" w:right="1152"/>
    </w:pPr>
    <w:rPr>
      <w:rFonts w:eastAsiaTheme="minorEastAsia" w:cstheme="minorBidi"/>
      <w:i/>
      <w:iCs/>
      <w:color w:val="003E74"/>
    </w:rPr>
  </w:style>
  <w:style w:type="paragraph" w:customStyle="1" w:styleId="FileProperties">
    <w:name w:val="File Properties"/>
    <w:basedOn w:val="Normal"/>
    <w:rsid w:val="00E83190"/>
    <w:rPr>
      <w:i/>
      <w:iCs/>
    </w:rPr>
  </w:style>
  <w:style w:type="paragraph" w:customStyle="1" w:styleId="FooterBase">
    <w:name w:val="Footer Base"/>
    <w:rsid w:val="00E83190"/>
    <w:pPr>
      <w:spacing w:after="0" w:line="240" w:lineRule="auto"/>
    </w:pPr>
    <w:rPr>
      <w:rFonts w:ascii="Arial" w:eastAsia="Times New Roman" w:hAnsi="Arial" w:cs="Arial"/>
      <w:color w:val="333192"/>
      <w:kern w:val="28"/>
      <w:sz w:val="18"/>
      <w:szCs w:val="18"/>
      <w:lang w:eastAsia="en-AU"/>
    </w:rPr>
  </w:style>
  <w:style w:type="paragraph" w:customStyle="1" w:styleId="HeaderBase">
    <w:name w:val="Header Base"/>
    <w:rsid w:val="00E83190"/>
    <w:pPr>
      <w:spacing w:after="0" w:line="240" w:lineRule="auto"/>
    </w:pPr>
    <w:rPr>
      <w:rFonts w:ascii="Arial" w:eastAsia="Times New Roman" w:hAnsi="Arial" w:cs="Arial"/>
      <w:color w:val="333192"/>
      <w:kern w:val="28"/>
      <w:sz w:val="18"/>
      <w:szCs w:val="18"/>
      <w:lang w:eastAsia="en-AU"/>
    </w:rPr>
  </w:style>
  <w:style w:type="paragraph" w:customStyle="1" w:styleId="NumberedParagraph">
    <w:name w:val="Numbered Paragraph"/>
    <w:basedOn w:val="Normal"/>
    <w:rsid w:val="0094674F"/>
    <w:pPr>
      <w:numPr>
        <w:numId w:val="8"/>
      </w:numPr>
    </w:pPr>
  </w:style>
  <w:style w:type="paragraph" w:customStyle="1" w:styleId="TableTextRight">
    <w:name w:val="Table Text Right"/>
    <w:basedOn w:val="TableTextBase"/>
    <w:rsid w:val="006F478A"/>
    <w:pPr>
      <w:jc w:val="right"/>
    </w:pPr>
    <w:rPr>
      <w:rFonts w:ascii="Arial" w:hAnsi="Arial"/>
    </w:rPr>
  </w:style>
  <w:style w:type="paragraph" w:customStyle="1" w:styleId="TableTextBase">
    <w:name w:val="Table Text Base"/>
    <w:rsid w:val="0094674F"/>
    <w:pPr>
      <w:spacing w:before="40" w:after="40" w:line="240" w:lineRule="auto"/>
    </w:pPr>
    <w:rPr>
      <w:rFonts w:ascii="Calibri" w:eastAsia="Times New Roman" w:hAnsi="Calibri" w:cs="Times New Roman"/>
      <w:color w:val="000000"/>
      <w:sz w:val="16"/>
      <w:szCs w:val="20"/>
      <w:lang w:eastAsia="en-AU"/>
    </w:rPr>
  </w:style>
  <w:style w:type="paragraph" w:customStyle="1" w:styleId="TableGraphic">
    <w:name w:val="Table Graphic"/>
    <w:basedOn w:val="HeadingBase"/>
    <w:next w:val="Normal"/>
    <w:rsid w:val="0094674F"/>
    <w:pPr>
      <w:spacing w:after="20"/>
      <w:ind w:right="-113"/>
    </w:pPr>
    <w:rPr>
      <w:rFonts w:ascii="Helvetica" w:hAnsi="Helvetica"/>
    </w:rPr>
  </w:style>
  <w:style w:type="paragraph" w:customStyle="1" w:styleId="TableHeading">
    <w:name w:val="Table Heading"/>
    <w:basedOn w:val="HeadingBase"/>
    <w:next w:val="TableGraphic"/>
    <w:rsid w:val="00665F25"/>
    <w:pPr>
      <w:keepNext/>
    </w:pPr>
    <w:rPr>
      <w:b/>
      <w:bCs/>
      <w:color w:val="A32035"/>
      <w:sz w:val="22"/>
      <w:szCs w:val="22"/>
    </w:rPr>
  </w:style>
  <w:style w:type="paragraph" w:customStyle="1" w:styleId="TableHeadingcontinued">
    <w:name w:val="Table Heading continued"/>
    <w:basedOn w:val="HeadingBase"/>
    <w:next w:val="TableGraphic"/>
    <w:rsid w:val="00E83190"/>
    <w:pPr>
      <w:keepNext/>
      <w:spacing w:before="170" w:after="113" w:line="240" w:lineRule="exact"/>
    </w:pPr>
    <w:rPr>
      <w:b/>
      <w:bCs/>
      <w:sz w:val="22"/>
      <w:szCs w:val="22"/>
    </w:rPr>
  </w:style>
  <w:style w:type="paragraph" w:styleId="Index1">
    <w:name w:val="index 1"/>
    <w:basedOn w:val="Normal"/>
    <w:next w:val="Normal"/>
    <w:autoRedefine/>
    <w:rsid w:val="0094674F"/>
    <w:pPr>
      <w:ind w:left="200" w:hanging="200"/>
    </w:pPr>
  </w:style>
  <w:style w:type="paragraph" w:styleId="Index2">
    <w:name w:val="index 2"/>
    <w:basedOn w:val="Normal"/>
    <w:next w:val="Normal"/>
    <w:autoRedefine/>
    <w:rsid w:val="0094674F"/>
    <w:pPr>
      <w:ind w:left="400" w:hanging="200"/>
    </w:pPr>
  </w:style>
  <w:style w:type="paragraph" w:styleId="Index3">
    <w:name w:val="index 3"/>
    <w:basedOn w:val="Normal"/>
    <w:next w:val="Normal"/>
    <w:autoRedefine/>
    <w:rsid w:val="0094674F"/>
    <w:pPr>
      <w:ind w:left="600" w:hanging="200"/>
    </w:pPr>
  </w:style>
  <w:style w:type="paragraph" w:styleId="IndexHeading">
    <w:name w:val="index heading"/>
    <w:basedOn w:val="Normal"/>
    <w:next w:val="Index1"/>
    <w:rsid w:val="0094674F"/>
    <w:rPr>
      <w:rFonts w:ascii="Calibri" w:hAnsi="Calibri" w:cs="Arial"/>
      <w:b/>
      <w:bCs/>
      <w:color w:val="003E74"/>
    </w:rPr>
  </w:style>
  <w:style w:type="paragraph" w:customStyle="1" w:styleId="TableTextLeft">
    <w:name w:val="Table Text Left"/>
    <w:basedOn w:val="TableTextBase"/>
    <w:rsid w:val="00EB0856"/>
    <w:pPr>
      <w:spacing w:before="60" w:after="60"/>
      <w:jc w:val="both"/>
    </w:pPr>
    <w:rPr>
      <w:rFonts w:ascii="Arial" w:hAnsi="Arial" w:cs="Arial"/>
    </w:rPr>
  </w:style>
  <w:style w:type="paragraph" w:styleId="TOC5">
    <w:name w:val="toc 5"/>
    <w:basedOn w:val="TOC2"/>
    <w:next w:val="Normal"/>
    <w:autoRedefine/>
    <w:rsid w:val="0094674F"/>
    <w:pPr>
      <w:ind w:left="1260" w:hanging="1260"/>
    </w:pPr>
  </w:style>
  <w:style w:type="paragraph" w:styleId="TOC6">
    <w:name w:val="toc 6"/>
    <w:basedOn w:val="TOC5"/>
    <w:next w:val="Normal"/>
    <w:rsid w:val="0094674F"/>
    <w:pPr>
      <w:tabs>
        <w:tab w:val="left" w:pos="1080"/>
        <w:tab w:val="left" w:pos="1134"/>
      </w:tabs>
      <w:ind w:left="1080" w:hanging="1080"/>
    </w:pPr>
  </w:style>
  <w:style w:type="paragraph" w:styleId="TOC7">
    <w:name w:val="toc 7"/>
    <w:basedOn w:val="Normal"/>
    <w:next w:val="Normal"/>
    <w:autoRedefine/>
    <w:rsid w:val="0094674F"/>
    <w:pPr>
      <w:ind w:left="1200"/>
    </w:pPr>
    <w:rPr>
      <w:rFonts w:ascii="Calibri" w:hAnsi="Calibri"/>
    </w:rPr>
  </w:style>
  <w:style w:type="paragraph" w:styleId="TOC8">
    <w:name w:val="toc 8"/>
    <w:basedOn w:val="Normal"/>
    <w:next w:val="Normal"/>
    <w:autoRedefine/>
    <w:rsid w:val="0094674F"/>
    <w:pPr>
      <w:ind w:left="1400"/>
    </w:pPr>
    <w:rPr>
      <w:rFonts w:ascii="Calibri" w:hAnsi="Calibri"/>
    </w:rPr>
  </w:style>
  <w:style w:type="paragraph" w:styleId="TOC9">
    <w:name w:val="toc 9"/>
    <w:basedOn w:val="Normal"/>
    <w:next w:val="Normal"/>
    <w:autoRedefine/>
    <w:rsid w:val="0094674F"/>
    <w:pPr>
      <w:ind w:left="1600"/>
    </w:pPr>
    <w:rPr>
      <w:rFonts w:ascii="Calibri" w:hAnsi="Calibri"/>
    </w:rPr>
  </w:style>
  <w:style w:type="paragraph" w:customStyle="1" w:styleId="TableTextColumnHeadingLeft">
    <w:name w:val="Table Text Column Heading Left"/>
    <w:basedOn w:val="TableTextBase"/>
    <w:rsid w:val="00EB0856"/>
    <w:pPr>
      <w:spacing w:before="60" w:after="60"/>
      <w:jc w:val="both"/>
    </w:pPr>
    <w:rPr>
      <w:rFonts w:ascii="Arial" w:hAnsi="Arial" w:cs="Arial"/>
      <w:b/>
      <w:szCs w:val="16"/>
    </w:rPr>
  </w:style>
  <w:style w:type="paragraph" w:customStyle="1" w:styleId="ChartandTableFootnoteSmall">
    <w:name w:val="Chart and Table Footnote Small"/>
    <w:basedOn w:val="ChartandTableFootnote"/>
    <w:rsid w:val="00E83190"/>
    <w:rPr>
      <w:sz w:val="15"/>
      <w:szCs w:val="15"/>
    </w:rPr>
  </w:style>
  <w:style w:type="paragraph" w:customStyle="1" w:styleId="ChartandTableFootnoteAlphaSmall">
    <w:name w:val="Chart and Table Footnote Alpha Small"/>
    <w:basedOn w:val="ChartandTableFootnoteAlpha"/>
    <w:rsid w:val="00E83190"/>
    <w:pPr>
      <w:numPr>
        <w:numId w:val="0"/>
      </w:numPr>
      <w:tabs>
        <w:tab w:val="num" w:pos="283"/>
      </w:tabs>
      <w:ind w:left="284" w:hanging="284"/>
    </w:pPr>
    <w:rPr>
      <w:sz w:val="15"/>
      <w:szCs w:val="15"/>
    </w:rPr>
  </w:style>
  <w:style w:type="character" w:customStyle="1" w:styleId="FramedFooter">
    <w:name w:val="Framed Footer"/>
    <w:rsid w:val="00A52CA5"/>
    <w:rPr>
      <w:rFonts w:ascii="Calibri" w:hAnsi="Calibri"/>
      <w:color w:val="A32035"/>
      <w:sz w:val="18"/>
      <w:szCs w:val="18"/>
    </w:rPr>
  </w:style>
  <w:style w:type="paragraph" w:customStyle="1" w:styleId="Source">
    <w:name w:val="Source"/>
    <w:basedOn w:val="HeadingBase"/>
    <w:next w:val="Normal"/>
    <w:rsid w:val="00E83190"/>
    <w:pPr>
      <w:spacing w:after="240"/>
    </w:pPr>
    <w:rPr>
      <w:color w:val="000000"/>
      <w:sz w:val="16"/>
      <w:szCs w:val="16"/>
    </w:rPr>
  </w:style>
  <w:style w:type="paragraph" w:customStyle="1" w:styleId="TableTextColumnHeadingRight">
    <w:name w:val="Table Text Column Heading Right"/>
    <w:basedOn w:val="TableTextBase"/>
    <w:rsid w:val="00E83190"/>
  </w:style>
  <w:style w:type="paragraph" w:customStyle="1" w:styleId="Title2">
    <w:name w:val="Title 2"/>
    <w:basedOn w:val="HeadingBase"/>
    <w:rsid w:val="0051534E"/>
    <w:pPr>
      <w:spacing w:after="600"/>
      <w:jc w:val="right"/>
    </w:pPr>
    <w:rPr>
      <w:color w:val="A32035"/>
      <w:sz w:val="36"/>
      <w:szCs w:val="36"/>
    </w:rPr>
  </w:style>
  <w:style w:type="paragraph" w:styleId="NormalIndent">
    <w:name w:val="Normal Indent"/>
    <w:basedOn w:val="Normal"/>
    <w:rsid w:val="0094674F"/>
    <w:pPr>
      <w:ind w:left="567"/>
    </w:pPr>
  </w:style>
  <w:style w:type="paragraph" w:styleId="ListNumber">
    <w:name w:val="List Number"/>
    <w:basedOn w:val="Normal"/>
    <w:rsid w:val="00E83190"/>
    <w:pPr>
      <w:tabs>
        <w:tab w:val="num" w:pos="1492"/>
      </w:tabs>
      <w:ind w:left="360" w:hanging="360"/>
    </w:pPr>
  </w:style>
  <w:style w:type="paragraph" w:customStyle="1" w:styleId="TableTextIndent">
    <w:name w:val="Table Text Indent"/>
    <w:basedOn w:val="TableTextBase"/>
    <w:rsid w:val="00E83190"/>
  </w:style>
  <w:style w:type="paragraph" w:styleId="Title">
    <w:name w:val="Title"/>
    <w:basedOn w:val="HeadingBase"/>
    <w:link w:val="TitleChar"/>
    <w:qFormat/>
    <w:rsid w:val="00811442"/>
    <w:pPr>
      <w:spacing w:after="1440"/>
      <w:jc w:val="right"/>
    </w:pPr>
    <w:rPr>
      <w:b/>
      <w:bCs/>
      <w:color w:val="A32035"/>
      <w:sz w:val="48"/>
      <w:szCs w:val="48"/>
    </w:rPr>
  </w:style>
  <w:style w:type="character" w:customStyle="1" w:styleId="TitleChar">
    <w:name w:val="Title Char"/>
    <w:basedOn w:val="DefaultParagraphFont"/>
    <w:link w:val="Title"/>
    <w:rsid w:val="00811442"/>
    <w:rPr>
      <w:rFonts w:ascii="Calibri" w:eastAsia="Times New Roman" w:hAnsi="Calibri" w:cs="Times New Roman"/>
      <w:b/>
      <w:bCs/>
      <w:color w:val="A32035"/>
      <w:sz w:val="48"/>
      <w:szCs w:val="48"/>
      <w:lang w:eastAsia="en-AU"/>
    </w:rPr>
  </w:style>
  <w:style w:type="paragraph" w:styleId="MacroText">
    <w:name w:val="macro"/>
    <w:link w:val="MacroTextChar"/>
    <w:rsid w:val="0094674F"/>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rsid w:val="00E83190"/>
    <w:rPr>
      <w:rFonts w:ascii="Courier New" w:eastAsia="Times New Roman" w:hAnsi="Courier New" w:cs="Courier New"/>
      <w:color w:val="000000"/>
      <w:sz w:val="20"/>
      <w:szCs w:val="20"/>
      <w:lang w:eastAsia="en-AU"/>
    </w:rPr>
  </w:style>
  <w:style w:type="paragraph" w:customStyle="1" w:styleId="Classification">
    <w:name w:val="Classification"/>
    <w:basedOn w:val="HeadingBase"/>
    <w:next w:val="Footer"/>
    <w:rsid w:val="0094674F"/>
    <w:pPr>
      <w:spacing w:after="120"/>
      <w:jc w:val="center"/>
    </w:pPr>
    <w:rPr>
      <w:b/>
      <w:smallCaps/>
    </w:rPr>
  </w:style>
  <w:style w:type="paragraph" w:customStyle="1" w:styleId="TableTextColumnHeadingCentre">
    <w:name w:val="Table Text Column Heading Centre"/>
    <w:basedOn w:val="TableTextBase"/>
    <w:rsid w:val="00E83190"/>
  </w:style>
  <w:style w:type="paragraph" w:customStyle="1" w:styleId="Normalbold">
    <w:name w:val="Normal bold"/>
    <w:basedOn w:val="Normal"/>
    <w:rsid w:val="00E83190"/>
    <w:rPr>
      <w:b/>
      <w:bCs/>
    </w:rPr>
  </w:style>
  <w:style w:type="paragraph" w:styleId="NoteHeading">
    <w:name w:val="Note Heading"/>
    <w:basedOn w:val="HeadingBase"/>
    <w:next w:val="Normal"/>
    <w:link w:val="NoteHeadingChar"/>
    <w:rsid w:val="00E83190"/>
    <w:rPr>
      <w:color w:val="000000"/>
      <w:sz w:val="16"/>
      <w:szCs w:val="16"/>
    </w:rPr>
  </w:style>
  <w:style w:type="character" w:customStyle="1" w:styleId="NoteHeadingChar">
    <w:name w:val="Note Heading Char"/>
    <w:basedOn w:val="DefaultParagraphFont"/>
    <w:link w:val="NoteHeading"/>
    <w:rsid w:val="00E83190"/>
    <w:rPr>
      <w:rFonts w:ascii="Calibri" w:eastAsia="Times New Roman" w:hAnsi="Calibri" w:cs="Times New Roman"/>
      <w:color w:val="000000"/>
      <w:sz w:val="16"/>
      <w:szCs w:val="16"/>
      <w:lang w:eastAsia="en-AU"/>
    </w:rPr>
  </w:style>
  <w:style w:type="paragraph" w:customStyle="1" w:styleId="ChapterHeaderTitle">
    <w:name w:val="Chapter Header Title"/>
    <w:basedOn w:val="HeadingBase"/>
    <w:rsid w:val="00E83190"/>
    <w:pPr>
      <w:spacing w:before="284" w:after="113"/>
    </w:pPr>
    <w:rPr>
      <w:color w:val="FFFFFF"/>
      <w:sz w:val="48"/>
      <w:szCs w:val="48"/>
    </w:rPr>
  </w:style>
  <w:style w:type="paragraph" w:customStyle="1" w:styleId="ChapterHeaderNo">
    <w:name w:val="Chapter Header No"/>
    <w:basedOn w:val="Header"/>
    <w:rsid w:val="00E83190"/>
    <w:pPr>
      <w:jc w:val="center"/>
    </w:pPr>
    <w:rPr>
      <w:rFonts w:ascii="Arial Bold" w:hAnsi="Arial Bold" w:cs="Arial Bold"/>
      <w:b/>
      <w:bCs/>
      <w:sz w:val="32"/>
      <w:szCs w:val="32"/>
    </w:rPr>
  </w:style>
  <w:style w:type="paragraph" w:customStyle="1" w:styleId="Contents">
    <w:name w:val="Contents"/>
    <w:basedOn w:val="Normal"/>
    <w:next w:val="TOC1"/>
    <w:rsid w:val="00E83190"/>
    <w:pPr>
      <w:keepNext/>
      <w:spacing w:after="120" w:line="240" w:lineRule="auto"/>
    </w:pPr>
    <w:rPr>
      <w:rFonts w:ascii="Arial Bold" w:hAnsi="Arial Bold" w:cs="Arial Bold"/>
      <w:b/>
      <w:bCs/>
      <w:smallCaps/>
      <w:color w:val="333192"/>
      <w:sz w:val="36"/>
      <w:szCs w:val="36"/>
    </w:rPr>
  </w:style>
  <w:style w:type="paragraph" w:styleId="BodyText3">
    <w:name w:val="Body Text 3"/>
    <w:basedOn w:val="Normal"/>
    <w:link w:val="BodyText3Char"/>
    <w:rsid w:val="00E83190"/>
  </w:style>
  <w:style w:type="character" w:customStyle="1" w:styleId="BodyText3Char">
    <w:name w:val="Body Text 3 Char"/>
    <w:basedOn w:val="DefaultParagraphFont"/>
    <w:link w:val="BodyText3"/>
    <w:rsid w:val="00E83190"/>
    <w:rPr>
      <w:rFonts w:eastAsia="Times New Roman" w:cs="Times New Roman"/>
      <w:color w:val="000000"/>
      <w:sz w:val="20"/>
      <w:szCs w:val="20"/>
      <w:lang w:eastAsia="en-AU"/>
    </w:rPr>
  </w:style>
  <w:style w:type="paragraph" w:customStyle="1" w:styleId="ChapterNo">
    <w:name w:val="Chapter No"/>
    <w:basedOn w:val="HeadingBase"/>
    <w:next w:val="Heading1"/>
    <w:rsid w:val="00E83190"/>
    <w:pPr>
      <w:pBdr>
        <w:bottom w:val="single" w:sz="4" w:space="1" w:color="auto"/>
      </w:pBdr>
    </w:pPr>
    <w:rPr>
      <w:caps/>
      <w:color w:val="000000"/>
      <w:sz w:val="16"/>
      <w:szCs w:val="16"/>
    </w:rPr>
  </w:style>
  <w:style w:type="paragraph" w:styleId="DocumentMap">
    <w:name w:val="Document Map"/>
    <w:basedOn w:val="Normal"/>
    <w:link w:val="DocumentMapChar"/>
    <w:rsid w:val="0094674F"/>
    <w:pPr>
      <w:shd w:val="clear" w:color="auto" w:fill="000080"/>
    </w:pPr>
    <w:rPr>
      <w:rFonts w:ascii="Tahoma" w:hAnsi="Tahoma" w:cs="Tahoma"/>
    </w:rPr>
  </w:style>
  <w:style w:type="character" w:customStyle="1" w:styleId="DocumentMapChar">
    <w:name w:val="Document Map Char"/>
    <w:basedOn w:val="DefaultParagraphFont"/>
    <w:link w:val="DocumentMap"/>
    <w:rsid w:val="00E83190"/>
    <w:rPr>
      <w:rFonts w:ascii="Tahoma" w:eastAsia="Times New Roman" w:hAnsi="Tahoma" w:cs="Tahoma"/>
      <w:color w:val="000000"/>
      <w:sz w:val="20"/>
      <w:szCs w:val="20"/>
      <w:shd w:val="clear" w:color="auto" w:fill="000080"/>
      <w:lang w:eastAsia="en-AU"/>
    </w:rPr>
  </w:style>
  <w:style w:type="paragraph" w:customStyle="1" w:styleId="AlphaParagraph">
    <w:name w:val="Alpha Paragraph"/>
    <w:basedOn w:val="Normal"/>
    <w:rsid w:val="0094674F"/>
    <w:pPr>
      <w:numPr>
        <w:numId w:val="4"/>
      </w:numPr>
      <w:tabs>
        <w:tab w:val="clear" w:pos="1134"/>
        <w:tab w:val="num" w:pos="360"/>
      </w:tabs>
      <w:ind w:left="0" w:firstLine="0"/>
    </w:pPr>
  </w:style>
  <w:style w:type="paragraph" w:customStyle="1" w:styleId="AppendixHeading">
    <w:name w:val="Appendix Heading"/>
    <w:basedOn w:val="HeadingBase"/>
    <w:next w:val="Normal"/>
    <w:rsid w:val="0094674F"/>
    <w:pPr>
      <w:spacing w:before="720" w:after="360"/>
    </w:pPr>
    <w:rPr>
      <w:b/>
      <w:smallCaps/>
      <w:sz w:val="36"/>
      <w:szCs w:val="36"/>
    </w:rPr>
  </w:style>
  <w:style w:type="character" w:customStyle="1" w:styleId="Bold">
    <w:name w:val="Bold"/>
    <w:basedOn w:val="DefaultParagraphFont"/>
    <w:rsid w:val="0094674F"/>
    <w:rPr>
      <w:b/>
    </w:rPr>
  </w:style>
  <w:style w:type="paragraph" w:customStyle="1" w:styleId="BoxHeading">
    <w:name w:val="Box Heading"/>
    <w:basedOn w:val="CaseStudyHeading"/>
    <w:next w:val="BoxText"/>
    <w:rsid w:val="0075316F"/>
  </w:style>
  <w:style w:type="paragraph" w:customStyle="1" w:styleId="BoxTextBase">
    <w:name w:val="Box Text Base"/>
    <w:basedOn w:val="Normal"/>
    <w:rsid w:val="0094674F"/>
    <w:pPr>
      <w:spacing w:line="240" w:lineRule="auto"/>
    </w:pPr>
    <w:rPr>
      <w:color w:val="FFFFFF" w:themeColor="background1"/>
    </w:rPr>
  </w:style>
  <w:style w:type="paragraph" w:customStyle="1" w:styleId="ChartMainHeading">
    <w:name w:val="Chart Main Heading"/>
    <w:basedOn w:val="HeadingBase"/>
    <w:next w:val="ChartGraphic"/>
    <w:rsid w:val="0094674F"/>
    <w:pPr>
      <w:keepNext/>
      <w:spacing w:before="170" w:after="113"/>
    </w:pPr>
    <w:rPr>
      <w:b/>
      <w:sz w:val="22"/>
    </w:rPr>
  </w:style>
  <w:style w:type="paragraph" w:customStyle="1" w:styleId="ChartorTableNote">
    <w:name w:val="Chart or Table Note"/>
    <w:next w:val="Normal"/>
    <w:rsid w:val="00AF5EA5"/>
    <w:pPr>
      <w:spacing w:after="240" w:line="240" w:lineRule="auto"/>
      <w:contextualSpacing/>
      <w:jc w:val="both"/>
    </w:pPr>
    <w:rPr>
      <w:rFonts w:ascii="Arial" w:eastAsia="Times New Roman" w:hAnsi="Arial" w:cs="Times New Roman"/>
      <w:color w:val="000000"/>
      <w:sz w:val="16"/>
      <w:szCs w:val="20"/>
      <w:lang w:eastAsia="en-AU"/>
    </w:rPr>
  </w:style>
  <w:style w:type="paragraph" w:customStyle="1" w:styleId="FooterCentered">
    <w:name w:val="Footer Centered"/>
    <w:basedOn w:val="Footer"/>
    <w:rsid w:val="0094674F"/>
    <w:pPr>
      <w:jc w:val="center"/>
    </w:pPr>
  </w:style>
  <w:style w:type="paragraph" w:customStyle="1" w:styleId="RecommendationHeading">
    <w:name w:val="Recommendation Heading"/>
    <w:basedOn w:val="HeadingBase"/>
    <w:next w:val="RecommendationText"/>
    <w:rsid w:val="0094674F"/>
    <w:pPr>
      <w:spacing w:after="240"/>
    </w:pPr>
    <w:rPr>
      <w:b/>
      <w:sz w:val="22"/>
    </w:rPr>
  </w:style>
  <w:style w:type="paragraph" w:customStyle="1" w:styleId="RecommendationBaseText">
    <w:name w:val="Recommendation Base Text"/>
    <w:basedOn w:val="Normal"/>
    <w:rsid w:val="0094674F"/>
    <w:rPr>
      <w:rFonts w:ascii="Calibri" w:hAnsi="Calibri"/>
    </w:rPr>
  </w:style>
  <w:style w:type="paragraph" w:customStyle="1" w:styleId="RecommendationText">
    <w:name w:val="Recommendation Text"/>
    <w:basedOn w:val="RecommendationBaseText"/>
    <w:rsid w:val="0094674F"/>
    <w:rPr>
      <w:rFonts w:asciiTheme="minorHAnsi" w:hAnsiTheme="minorHAnsi"/>
    </w:rPr>
  </w:style>
  <w:style w:type="paragraph" w:customStyle="1" w:styleId="TableColumnHeadingCentred">
    <w:name w:val="Table Column Heading Centred"/>
    <w:basedOn w:val="TableTextBase"/>
    <w:rsid w:val="006F478A"/>
    <w:pPr>
      <w:jc w:val="center"/>
    </w:pPr>
    <w:rPr>
      <w:rFonts w:ascii="Arial" w:hAnsi="Arial"/>
      <w:b/>
      <w:color w:val="FFFFFF" w:themeColor="background1"/>
    </w:rPr>
  </w:style>
  <w:style w:type="paragraph" w:customStyle="1" w:styleId="TableColumnHeadingLeft">
    <w:name w:val="Table Column Heading Left"/>
    <w:basedOn w:val="TableColumnHeadingCentred-White"/>
    <w:rsid w:val="006F478A"/>
    <w:pPr>
      <w:jc w:val="left"/>
    </w:pPr>
  </w:style>
  <w:style w:type="paragraph" w:customStyle="1" w:styleId="TableColumnHeadingRight">
    <w:name w:val="Table Column Heading Right"/>
    <w:basedOn w:val="TableColumnHeadingCentred-Black"/>
    <w:rsid w:val="00204420"/>
    <w:pPr>
      <w:jc w:val="right"/>
    </w:pPr>
  </w:style>
  <w:style w:type="paragraph" w:customStyle="1" w:styleId="TableMainHeading">
    <w:name w:val="Table Main Heading"/>
    <w:basedOn w:val="HeadingBase"/>
    <w:next w:val="TableGraphic"/>
    <w:rsid w:val="0094674F"/>
    <w:pPr>
      <w:keepNext/>
      <w:spacing w:before="170" w:after="113"/>
    </w:pPr>
    <w:rPr>
      <w:b/>
      <w:sz w:val="22"/>
    </w:rPr>
  </w:style>
  <w:style w:type="paragraph" w:customStyle="1" w:styleId="TableMainHeadingContd">
    <w:name w:val="Table Main Heading Contd"/>
    <w:basedOn w:val="HeadingBase"/>
    <w:next w:val="TableGraphic"/>
    <w:rsid w:val="004046AA"/>
    <w:pPr>
      <w:keepNext/>
      <w:spacing w:after="20"/>
    </w:pPr>
    <w:rPr>
      <w:b/>
      <w:color w:val="A32035"/>
      <w:sz w:val="22"/>
    </w:rPr>
  </w:style>
  <w:style w:type="paragraph" w:customStyle="1" w:styleId="TableSecondHeading">
    <w:name w:val="Table Second Heading"/>
    <w:basedOn w:val="HeadingBase"/>
    <w:next w:val="TableGraphic"/>
    <w:rsid w:val="0094674F"/>
    <w:pPr>
      <w:keepNext/>
      <w:spacing w:after="20"/>
    </w:pPr>
  </w:style>
  <w:style w:type="paragraph" w:customStyle="1" w:styleId="TableTextCentered">
    <w:name w:val="Table Text Centered"/>
    <w:basedOn w:val="TableTextBase"/>
    <w:rsid w:val="0094674F"/>
    <w:pPr>
      <w:jc w:val="center"/>
    </w:pPr>
  </w:style>
  <w:style w:type="paragraph" w:customStyle="1" w:styleId="TableTextIndented">
    <w:name w:val="Table Text Indented"/>
    <w:basedOn w:val="TableTextBase"/>
    <w:rsid w:val="0094674F"/>
    <w:pPr>
      <w:ind w:left="284"/>
    </w:pPr>
  </w:style>
  <w:style w:type="character" w:customStyle="1" w:styleId="Italic">
    <w:name w:val="Italic"/>
    <w:basedOn w:val="DefaultParagraphFont"/>
    <w:rsid w:val="0094674F"/>
    <w:rPr>
      <w:i/>
    </w:rPr>
  </w:style>
  <w:style w:type="paragraph" w:customStyle="1" w:styleId="OneLevelNumberedParagraph">
    <w:name w:val="One Level Numbered Paragraph"/>
    <w:basedOn w:val="Normal"/>
    <w:rsid w:val="0094674F"/>
    <w:pPr>
      <w:numPr>
        <w:numId w:val="6"/>
      </w:numPr>
    </w:pPr>
  </w:style>
  <w:style w:type="paragraph" w:customStyle="1" w:styleId="BoxText">
    <w:name w:val="Box Text"/>
    <w:basedOn w:val="BoxTextBase"/>
    <w:rsid w:val="0094674F"/>
  </w:style>
  <w:style w:type="paragraph" w:customStyle="1" w:styleId="BoxBullet">
    <w:name w:val="Box Bullet"/>
    <w:basedOn w:val="BoxTextBase"/>
    <w:rsid w:val="0094674F"/>
    <w:pPr>
      <w:numPr>
        <w:numId w:val="5"/>
      </w:numPr>
    </w:pPr>
  </w:style>
  <w:style w:type="paragraph" w:customStyle="1" w:styleId="BoxDash">
    <w:name w:val="Box Dash"/>
    <w:basedOn w:val="Normal"/>
    <w:rsid w:val="0094674F"/>
    <w:pPr>
      <w:numPr>
        <w:ilvl w:val="1"/>
        <w:numId w:val="5"/>
      </w:numPr>
    </w:pPr>
    <w:rPr>
      <w:color w:val="FFFFFF" w:themeColor="background1"/>
    </w:rPr>
  </w:style>
  <w:style w:type="paragraph" w:customStyle="1" w:styleId="BoxDoubleDot">
    <w:name w:val="Box Double Dot"/>
    <w:basedOn w:val="BoxTextBase"/>
    <w:rsid w:val="0094674F"/>
    <w:pPr>
      <w:numPr>
        <w:ilvl w:val="2"/>
        <w:numId w:val="5"/>
      </w:numPr>
    </w:pPr>
  </w:style>
  <w:style w:type="paragraph" w:customStyle="1" w:styleId="RecommendationBullet">
    <w:name w:val="Recommendation Bullet"/>
    <w:basedOn w:val="RecommendationBaseText"/>
    <w:rsid w:val="0094674F"/>
    <w:pPr>
      <w:numPr>
        <w:numId w:val="7"/>
      </w:numPr>
    </w:pPr>
  </w:style>
  <w:style w:type="paragraph" w:customStyle="1" w:styleId="RecommendationDash">
    <w:name w:val="Recommendation Dash"/>
    <w:basedOn w:val="RecommendationBaseText"/>
    <w:rsid w:val="0094674F"/>
    <w:pPr>
      <w:numPr>
        <w:ilvl w:val="1"/>
        <w:numId w:val="7"/>
      </w:numPr>
    </w:pPr>
  </w:style>
  <w:style w:type="paragraph" w:customStyle="1" w:styleId="RecommendationDoubleDot">
    <w:name w:val="Recommendation Double Dot"/>
    <w:basedOn w:val="RecommendationBaseText"/>
    <w:rsid w:val="0094674F"/>
    <w:pPr>
      <w:numPr>
        <w:ilvl w:val="2"/>
        <w:numId w:val="7"/>
      </w:numPr>
    </w:pPr>
  </w:style>
  <w:style w:type="character" w:customStyle="1" w:styleId="Boldanditalic">
    <w:name w:val="Bold and italic"/>
    <w:basedOn w:val="DefaultParagraphFont"/>
    <w:rsid w:val="0094674F"/>
    <w:rPr>
      <w:b/>
      <w:i/>
    </w:rPr>
  </w:style>
  <w:style w:type="paragraph" w:styleId="Caption">
    <w:name w:val="caption"/>
    <w:basedOn w:val="Normal"/>
    <w:next w:val="Normal"/>
    <w:qFormat/>
    <w:rsid w:val="0094674F"/>
    <w:pPr>
      <w:spacing w:before="120" w:after="120"/>
    </w:pPr>
    <w:rPr>
      <w:b/>
      <w:bCs/>
    </w:rPr>
  </w:style>
  <w:style w:type="character" w:styleId="CommentReference">
    <w:name w:val="annotation reference"/>
    <w:basedOn w:val="DefaultParagraphFont"/>
    <w:uiPriority w:val="99"/>
    <w:rsid w:val="0094674F"/>
    <w:rPr>
      <w:sz w:val="16"/>
      <w:szCs w:val="16"/>
    </w:rPr>
  </w:style>
  <w:style w:type="paragraph" w:styleId="CommentText">
    <w:name w:val="annotation text"/>
    <w:basedOn w:val="Normal"/>
    <w:link w:val="CommentTextChar"/>
    <w:uiPriority w:val="99"/>
    <w:rsid w:val="0094674F"/>
  </w:style>
  <w:style w:type="character" w:customStyle="1" w:styleId="CommentTextChar">
    <w:name w:val="Comment Text Char"/>
    <w:basedOn w:val="DefaultParagraphFont"/>
    <w:link w:val="CommentText"/>
    <w:uiPriority w:val="99"/>
    <w:rsid w:val="00E83190"/>
    <w:rPr>
      <w:rFonts w:eastAsia="Times New Roman" w:cs="Times New Roman"/>
      <w:color w:val="000000"/>
      <w:sz w:val="20"/>
      <w:szCs w:val="20"/>
      <w:lang w:eastAsia="en-AU"/>
    </w:rPr>
  </w:style>
  <w:style w:type="paragraph" w:styleId="CommentSubject">
    <w:name w:val="annotation subject"/>
    <w:basedOn w:val="CommentText"/>
    <w:next w:val="CommentText"/>
    <w:link w:val="CommentSubjectChar"/>
    <w:rsid w:val="0094674F"/>
    <w:rPr>
      <w:b/>
      <w:bCs/>
    </w:rPr>
  </w:style>
  <w:style w:type="character" w:customStyle="1" w:styleId="CommentSubjectChar">
    <w:name w:val="Comment Subject Char"/>
    <w:basedOn w:val="CommentTextChar"/>
    <w:link w:val="CommentSubject"/>
    <w:rsid w:val="00E83190"/>
    <w:rPr>
      <w:rFonts w:eastAsia="Times New Roman" w:cs="Times New Roman"/>
      <w:b/>
      <w:bCs/>
      <w:color w:val="000000"/>
      <w:sz w:val="20"/>
      <w:szCs w:val="20"/>
      <w:lang w:eastAsia="en-AU"/>
    </w:rPr>
  </w:style>
  <w:style w:type="character" w:styleId="EndnoteReference">
    <w:name w:val="endnote reference"/>
    <w:basedOn w:val="DefaultParagraphFont"/>
    <w:rsid w:val="0094674F"/>
    <w:rPr>
      <w:vertAlign w:val="superscript"/>
    </w:rPr>
  </w:style>
  <w:style w:type="paragraph" w:styleId="EndnoteText">
    <w:name w:val="endnote text"/>
    <w:basedOn w:val="Normal"/>
    <w:link w:val="EndnoteTextChar"/>
    <w:rsid w:val="0094674F"/>
  </w:style>
  <w:style w:type="character" w:customStyle="1" w:styleId="EndnoteTextChar">
    <w:name w:val="Endnote Text Char"/>
    <w:basedOn w:val="DefaultParagraphFont"/>
    <w:link w:val="EndnoteText"/>
    <w:rsid w:val="00E83190"/>
    <w:rPr>
      <w:rFonts w:eastAsia="Times New Roman" w:cs="Times New Roman"/>
      <w:color w:val="000000"/>
      <w:sz w:val="20"/>
      <w:szCs w:val="20"/>
      <w:lang w:eastAsia="en-AU"/>
    </w:rPr>
  </w:style>
  <w:style w:type="paragraph" w:styleId="Index4">
    <w:name w:val="index 4"/>
    <w:basedOn w:val="Normal"/>
    <w:next w:val="Normal"/>
    <w:autoRedefine/>
    <w:rsid w:val="0094674F"/>
    <w:pPr>
      <w:ind w:left="800" w:hanging="200"/>
    </w:pPr>
  </w:style>
  <w:style w:type="paragraph" w:styleId="Index5">
    <w:name w:val="index 5"/>
    <w:basedOn w:val="Normal"/>
    <w:next w:val="Normal"/>
    <w:autoRedefine/>
    <w:rsid w:val="0094674F"/>
    <w:pPr>
      <w:ind w:left="1000" w:hanging="200"/>
    </w:pPr>
  </w:style>
  <w:style w:type="paragraph" w:styleId="Index6">
    <w:name w:val="index 6"/>
    <w:basedOn w:val="Normal"/>
    <w:next w:val="Normal"/>
    <w:autoRedefine/>
    <w:rsid w:val="0094674F"/>
    <w:pPr>
      <w:ind w:left="1200" w:hanging="200"/>
    </w:pPr>
  </w:style>
  <w:style w:type="paragraph" w:styleId="Index7">
    <w:name w:val="index 7"/>
    <w:basedOn w:val="Normal"/>
    <w:next w:val="Normal"/>
    <w:autoRedefine/>
    <w:rsid w:val="0094674F"/>
    <w:pPr>
      <w:ind w:left="1400" w:hanging="200"/>
    </w:pPr>
  </w:style>
  <w:style w:type="paragraph" w:styleId="Index8">
    <w:name w:val="index 8"/>
    <w:basedOn w:val="Normal"/>
    <w:next w:val="Normal"/>
    <w:autoRedefine/>
    <w:rsid w:val="0094674F"/>
    <w:pPr>
      <w:ind w:left="1600" w:hanging="200"/>
    </w:pPr>
  </w:style>
  <w:style w:type="paragraph" w:styleId="Index9">
    <w:name w:val="index 9"/>
    <w:basedOn w:val="Normal"/>
    <w:next w:val="Normal"/>
    <w:autoRedefine/>
    <w:rsid w:val="0094674F"/>
    <w:pPr>
      <w:ind w:left="1800" w:hanging="200"/>
    </w:pPr>
  </w:style>
  <w:style w:type="paragraph" w:styleId="TableofAuthorities">
    <w:name w:val="table of authorities"/>
    <w:basedOn w:val="Normal"/>
    <w:next w:val="Normal"/>
    <w:rsid w:val="0094674F"/>
    <w:pPr>
      <w:ind w:left="200" w:hanging="200"/>
    </w:pPr>
  </w:style>
  <w:style w:type="paragraph" w:styleId="TableofFigures">
    <w:name w:val="table of figures"/>
    <w:basedOn w:val="Normal"/>
    <w:next w:val="Normal"/>
    <w:rsid w:val="0094674F"/>
    <w:pPr>
      <w:ind w:left="400" w:hanging="400"/>
    </w:pPr>
  </w:style>
  <w:style w:type="paragraph" w:styleId="TOAHeading">
    <w:name w:val="toa heading"/>
    <w:basedOn w:val="Normal"/>
    <w:next w:val="Normal"/>
    <w:rsid w:val="0094674F"/>
    <w:pPr>
      <w:spacing w:before="120"/>
    </w:pPr>
    <w:rPr>
      <w:rFonts w:ascii="Calibri" w:hAnsi="Calibri" w:cs="Arial"/>
      <w:b/>
      <w:bCs/>
      <w:sz w:val="24"/>
      <w:szCs w:val="24"/>
    </w:rPr>
  </w:style>
  <w:style w:type="paragraph" w:customStyle="1" w:styleId="AppendixAHeading3">
    <w:name w:val="AppendixAHeading3"/>
    <w:basedOn w:val="Heading3"/>
    <w:next w:val="AppendixAHeading4"/>
    <w:rsid w:val="0094674F"/>
    <w:pPr>
      <w:numPr>
        <w:numId w:val="10"/>
      </w:numPr>
    </w:pPr>
    <w:rPr>
      <w:i/>
    </w:rPr>
  </w:style>
  <w:style w:type="paragraph" w:customStyle="1" w:styleId="AppendixAHeading4">
    <w:name w:val="AppendixAHeading4"/>
    <w:basedOn w:val="Heading4"/>
    <w:next w:val="Bullet"/>
    <w:rsid w:val="0094674F"/>
    <w:pPr>
      <w:numPr>
        <w:ilvl w:val="1"/>
        <w:numId w:val="11"/>
      </w:numPr>
    </w:pPr>
  </w:style>
  <w:style w:type="paragraph" w:customStyle="1" w:styleId="AppendixGHeading3">
    <w:name w:val="AppendixGHeading3"/>
    <w:basedOn w:val="Heading3"/>
    <w:rsid w:val="0094674F"/>
    <w:pPr>
      <w:numPr>
        <w:numId w:val="9"/>
      </w:numPr>
    </w:pPr>
  </w:style>
  <w:style w:type="paragraph" w:customStyle="1" w:styleId="Heading3TOC">
    <w:name w:val="Heading 3 TOC"/>
    <w:basedOn w:val="Heading3"/>
    <w:rsid w:val="00E83190"/>
  </w:style>
  <w:style w:type="character" w:customStyle="1" w:styleId="HeadingBaseChar">
    <w:name w:val="Heading Base Char"/>
    <w:link w:val="HeadingBase"/>
    <w:locked/>
    <w:rsid w:val="00E83190"/>
    <w:rPr>
      <w:rFonts w:ascii="Calibri" w:eastAsia="Times New Roman" w:hAnsi="Calibri" w:cs="Times New Roman"/>
      <w:color w:val="003E74"/>
      <w:sz w:val="20"/>
      <w:szCs w:val="20"/>
      <w:lang w:eastAsia="en-AU"/>
    </w:rPr>
  </w:style>
  <w:style w:type="paragraph" w:customStyle="1" w:styleId="CharCharCharCharCharChar">
    <w:name w:val="Char Char Char Char Char Char"/>
    <w:basedOn w:val="Normal"/>
    <w:rsid w:val="00E83190"/>
    <w:pPr>
      <w:spacing w:after="160" w:line="240" w:lineRule="exact"/>
    </w:pPr>
    <w:rPr>
      <w:rFonts w:ascii="Verdana" w:hAnsi="Verdana"/>
      <w:szCs w:val="24"/>
      <w:lang w:val="en-US"/>
    </w:rPr>
  </w:style>
  <w:style w:type="table" w:styleId="TableGrid">
    <w:name w:val="Table Grid"/>
    <w:basedOn w:val="TableNormal"/>
    <w:uiPriority w:val="59"/>
    <w:rsid w:val="00E83190"/>
    <w:pPr>
      <w:spacing w:after="240" w:line="260" w:lineRule="exact"/>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oTOC">
    <w:name w:val="Heading 3 no TOC"/>
    <w:basedOn w:val="Heading3"/>
    <w:rsid w:val="0094674F"/>
    <w:pPr>
      <w:outlineLvl w:val="9"/>
    </w:pPr>
  </w:style>
  <w:style w:type="character" w:styleId="FollowedHyperlink">
    <w:name w:val="FollowedHyperlink"/>
    <w:basedOn w:val="DefaultParagraphFont"/>
    <w:rsid w:val="0094674F"/>
    <w:rPr>
      <w:color w:val="000000"/>
      <w:u w:val="none"/>
    </w:rPr>
  </w:style>
  <w:style w:type="paragraph" w:customStyle="1" w:styleId="Style1">
    <w:name w:val="Style1"/>
    <w:basedOn w:val="AppendixAHeading3"/>
    <w:next w:val="AppendixAHeading4"/>
    <w:rsid w:val="0094674F"/>
    <w:pPr>
      <w:numPr>
        <w:numId w:val="0"/>
      </w:numPr>
    </w:pPr>
  </w:style>
  <w:style w:type="paragraph" w:customStyle="1" w:styleId="AppendixAHeading3NotItalic">
    <w:name w:val="AppendixAHeading3NotItalic"/>
    <w:basedOn w:val="HeadingBase"/>
    <w:next w:val="AppendixAHeading4"/>
    <w:rsid w:val="0094674F"/>
    <w:pPr>
      <w:numPr>
        <w:numId w:val="11"/>
      </w:numPr>
      <w:spacing w:before="57" w:after="57" w:line="280" w:lineRule="exact"/>
    </w:pPr>
    <w:rPr>
      <w:b/>
      <w:sz w:val="24"/>
    </w:rPr>
  </w:style>
  <w:style w:type="paragraph" w:customStyle="1" w:styleId="CharChar1Char">
    <w:name w:val="Char Char1 Char"/>
    <w:basedOn w:val="Normal"/>
    <w:rsid w:val="00E83190"/>
    <w:pPr>
      <w:spacing w:after="160" w:line="240" w:lineRule="exact"/>
    </w:pPr>
    <w:rPr>
      <w:rFonts w:ascii="Arial" w:hAnsi="Arial"/>
      <w:lang w:val="en-GB"/>
    </w:rPr>
  </w:style>
  <w:style w:type="paragraph" w:customStyle="1" w:styleId="Heading2noTOC">
    <w:name w:val="Heading 2 no TOC"/>
    <w:basedOn w:val="Heading2"/>
    <w:next w:val="Normal"/>
    <w:rsid w:val="007D2B54"/>
    <w:pPr>
      <w:outlineLvl w:val="9"/>
    </w:pPr>
  </w:style>
  <w:style w:type="paragraph" w:customStyle="1" w:styleId="Heading9noTOC">
    <w:name w:val="Heading 9 no TOC"/>
    <w:basedOn w:val="Heading9"/>
    <w:rsid w:val="0094674F"/>
    <w:pPr>
      <w:outlineLvl w:val="9"/>
    </w:pPr>
  </w:style>
  <w:style w:type="paragraph" w:styleId="NormalWeb">
    <w:name w:val="Normal (Web)"/>
    <w:basedOn w:val="Normal"/>
    <w:uiPriority w:val="99"/>
    <w:rsid w:val="0094674F"/>
    <w:rPr>
      <w:rFonts w:ascii="Times New Roman" w:hAnsi="Times New Roman"/>
      <w:sz w:val="24"/>
      <w:szCs w:val="24"/>
    </w:rPr>
  </w:style>
  <w:style w:type="character" w:styleId="IntenseEmphasis">
    <w:name w:val="Intense Emphasis"/>
    <w:basedOn w:val="DefaultParagraphFont"/>
    <w:uiPriority w:val="21"/>
    <w:qFormat/>
    <w:rsid w:val="0094674F"/>
    <w:rPr>
      <w:b/>
      <w:bCs/>
      <w:i/>
      <w:iCs/>
      <w:color w:val="003E74"/>
    </w:rPr>
  </w:style>
  <w:style w:type="paragraph" w:styleId="IntenseQuote">
    <w:name w:val="Intense Quote"/>
    <w:basedOn w:val="Normal"/>
    <w:next w:val="Normal"/>
    <w:link w:val="IntenseQuoteChar"/>
    <w:uiPriority w:val="30"/>
    <w:qFormat/>
    <w:rsid w:val="0094674F"/>
    <w:pPr>
      <w:pBdr>
        <w:bottom w:val="single" w:sz="4" w:space="4" w:color="A32035" w:themeColor="accent1"/>
      </w:pBdr>
      <w:spacing w:before="200" w:after="280"/>
      <w:ind w:left="936" w:right="936"/>
    </w:pPr>
    <w:rPr>
      <w:b/>
      <w:bCs/>
      <w:i/>
      <w:iCs/>
      <w:color w:val="003E74"/>
    </w:rPr>
  </w:style>
  <w:style w:type="character" w:customStyle="1" w:styleId="IntenseQuoteChar">
    <w:name w:val="Intense Quote Char"/>
    <w:basedOn w:val="DefaultParagraphFont"/>
    <w:link w:val="IntenseQuote"/>
    <w:uiPriority w:val="30"/>
    <w:rsid w:val="0094674F"/>
    <w:rPr>
      <w:rFonts w:eastAsia="Times New Roman" w:cs="Times New Roman"/>
      <w:b/>
      <w:bCs/>
      <w:i/>
      <w:iCs/>
      <w:color w:val="003E74"/>
      <w:sz w:val="20"/>
      <w:szCs w:val="20"/>
      <w:lang w:eastAsia="en-AU"/>
    </w:rPr>
  </w:style>
  <w:style w:type="paragraph" w:styleId="TOCHeading">
    <w:name w:val="TOC Heading"/>
    <w:basedOn w:val="Heading1"/>
    <w:next w:val="Normal"/>
    <w:uiPriority w:val="39"/>
    <w:unhideWhenUsed/>
    <w:qFormat/>
    <w:rsid w:val="0094674F"/>
    <w:pPr>
      <w:keepLines/>
      <w:spacing w:before="480" w:after="0" w:line="260" w:lineRule="exact"/>
      <w:jc w:val="both"/>
      <w:outlineLvl w:val="9"/>
    </w:pPr>
    <w:rPr>
      <w:rFonts w:asciiTheme="majorHAnsi" w:eastAsiaTheme="majorEastAsia" w:hAnsiTheme="majorHAnsi" w:cstheme="majorBidi"/>
      <w:kern w:val="0"/>
      <w:sz w:val="28"/>
      <w:szCs w:val="28"/>
    </w:rPr>
  </w:style>
  <w:style w:type="paragraph" w:styleId="Revision">
    <w:name w:val="Revision"/>
    <w:hidden/>
    <w:uiPriority w:val="99"/>
    <w:semiHidden/>
    <w:rsid w:val="00E83190"/>
    <w:pPr>
      <w:spacing w:after="0" w:line="240" w:lineRule="auto"/>
    </w:pPr>
    <w:rPr>
      <w:rFonts w:ascii="Book Antiqua" w:eastAsia="Times New Roman" w:hAnsi="Book Antiqua" w:cs="Times New Roman"/>
      <w:color w:val="000000"/>
      <w:sz w:val="20"/>
      <w:szCs w:val="20"/>
      <w:lang w:eastAsia="en-AU"/>
    </w:rPr>
  </w:style>
  <w:style w:type="character" w:customStyle="1" w:styleId="Italics">
    <w:name w:val="Italics"/>
    <w:basedOn w:val="DefaultParagraphFont"/>
    <w:rsid w:val="0094674F"/>
    <w:rPr>
      <w:i/>
    </w:rPr>
  </w:style>
  <w:style w:type="character" w:customStyle="1" w:styleId="A5">
    <w:name w:val="A5"/>
    <w:uiPriority w:val="99"/>
    <w:rsid w:val="0094674F"/>
    <w:rPr>
      <w:rFonts w:cs="Swiss 721 BT"/>
      <w:color w:val="000000"/>
      <w:sz w:val="20"/>
      <w:szCs w:val="20"/>
    </w:rPr>
  </w:style>
  <w:style w:type="character" w:styleId="Emphasis">
    <w:name w:val="Emphasis"/>
    <w:uiPriority w:val="20"/>
    <w:qFormat/>
    <w:rsid w:val="00E83190"/>
    <w:rPr>
      <w:i/>
      <w:iCs/>
    </w:rPr>
  </w:style>
  <w:style w:type="paragraph" w:customStyle="1" w:styleId="Table">
    <w:name w:val="Table"/>
    <w:basedOn w:val="Normal"/>
    <w:rsid w:val="0094674F"/>
  </w:style>
  <w:style w:type="paragraph" w:customStyle="1" w:styleId="StyleChartorTableNoteLeft0cmHanging1cm">
    <w:name w:val="Style Chart or Table Note + Left:  0 cm Hanging:  1 cm"/>
    <w:basedOn w:val="ChartorTableNote"/>
    <w:rsid w:val="00E83190"/>
    <w:pPr>
      <w:tabs>
        <w:tab w:val="left" w:pos="567"/>
      </w:tabs>
      <w:ind w:left="567" w:hanging="567"/>
    </w:pPr>
  </w:style>
  <w:style w:type="paragraph" w:customStyle="1" w:styleId="FootnoteTextBullet">
    <w:name w:val="Footnote Text Bullet"/>
    <w:basedOn w:val="FootnoteText"/>
    <w:rsid w:val="00E83190"/>
    <w:pPr>
      <w:numPr>
        <w:numId w:val="12"/>
      </w:numPr>
      <w:tabs>
        <w:tab w:val="clear" w:pos="284"/>
        <w:tab w:val="left" w:pos="567"/>
      </w:tabs>
      <w:ind w:left="568" w:hanging="284"/>
    </w:pPr>
  </w:style>
  <w:style w:type="paragraph" w:styleId="ListParagraph">
    <w:name w:val="List Paragraph"/>
    <w:basedOn w:val="Normal"/>
    <w:uiPriority w:val="34"/>
    <w:qFormat/>
    <w:rsid w:val="00E83190"/>
    <w:pPr>
      <w:ind w:left="720"/>
      <w:contextualSpacing/>
    </w:pPr>
  </w:style>
  <w:style w:type="paragraph" w:customStyle="1" w:styleId="Default">
    <w:name w:val="Default"/>
    <w:rsid w:val="00E83190"/>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DashChar">
    <w:name w:val="Dash Char"/>
    <w:basedOn w:val="DefaultParagraphFont"/>
    <w:link w:val="Dash"/>
    <w:rsid w:val="0075316F"/>
    <w:rPr>
      <w:rFonts w:ascii="Calibri" w:eastAsia="Times New Roman" w:hAnsi="Calibri" w:cs="Times New Roman"/>
      <w:color w:val="000000"/>
      <w:sz w:val="20"/>
      <w:szCs w:val="20"/>
      <w:lang w:eastAsia="en-AU"/>
    </w:rPr>
  </w:style>
  <w:style w:type="character" w:customStyle="1" w:styleId="DoubleDotChar">
    <w:name w:val="Double Dot Char"/>
    <w:basedOn w:val="DefaultParagraphFont"/>
    <w:link w:val="DoubleDot"/>
    <w:rsid w:val="00E83190"/>
    <w:rPr>
      <w:rFonts w:eastAsia="Times New Roman" w:cs="Times New Roman"/>
      <w:color w:val="000000"/>
      <w:sz w:val="20"/>
      <w:szCs w:val="20"/>
      <w:lang w:eastAsia="en-AU"/>
    </w:rPr>
  </w:style>
  <w:style w:type="character" w:customStyle="1" w:styleId="apple-converted-space">
    <w:name w:val="apple-converted-space"/>
    <w:basedOn w:val="DefaultParagraphFont"/>
    <w:rsid w:val="00E83190"/>
  </w:style>
  <w:style w:type="paragraph" w:customStyle="1" w:styleId="Circletext">
    <w:name w:val="Circle text"/>
    <w:basedOn w:val="BoxText"/>
    <w:qFormat/>
    <w:rsid w:val="0094674F"/>
    <w:rPr>
      <w:b/>
      <w:sz w:val="24"/>
    </w:rPr>
  </w:style>
  <w:style w:type="paragraph" w:styleId="PlainText">
    <w:name w:val="Plain Text"/>
    <w:basedOn w:val="Normal"/>
    <w:link w:val="PlainTextChar"/>
    <w:uiPriority w:val="99"/>
    <w:semiHidden/>
    <w:unhideWhenUsed/>
    <w:rsid w:val="00E8319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83190"/>
    <w:rPr>
      <w:rFonts w:ascii="Calibri" w:eastAsia="Times New Roman" w:hAnsi="Calibri" w:cs="Times New Roman"/>
      <w:color w:val="000000"/>
      <w:sz w:val="20"/>
      <w:szCs w:val="21"/>
      <w:lang w:eastAsia="en-AU"/>
    </w:rPr>
  </w:style>
  <w:style w:type="table" w:customStyle="1" w:styleId="TableGrid1">
    <w:name w:val="Table Grid1"/>
    <w:basedOn w:val="TableNormal"/>
    <w:next w:val="TableGrid"/>
    <w:rsid w:val="00E83190"/>
    <w:pPr>
      <w:spacing w:after="240" w:line="260" w:lineRule="exact"/>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BBulletpoint">
    <w:name w:val="FIRB Bullet point"/>
    <w:basedOn w:val="Bullet"/>
    <w:qFormat/>
    <w:rsid w:val="00E83190"/>
    <w:pPr>
      <w:spacing w:after="120"/>
    </w:pPr>
  </w:style>
  <w:style w:type="paragraph" w:customStyle="1" w:styleId="FIRBDash">
    <w:name w:val="FIRB Dash"/>
    <w:basedOn w:val="Dash"/>
    <w:qFormat/>
    <w:rsid w:val="00E83190"/>
    <w:pPr>
      <w:spacing w:after="120"/>
      <w:ind w:left="851"/>
    </w:pPr>
  </w:style>
  <w:style w:type="numbering" w:customStyle="1" w:styleId="BulletedList">
    <w:name w:val="Bulleted List"/>
    <w:uiPriority w:val="99"/>
    <w:rsid w:val="00CB54C2"/>
    <w:pPr>
      <w:numPr>
        <w:numId w:val="20"/>
      </w:numPr>
    </w:pPr>
  </w:style>
  <w:style w:type="table" w:customStyle="1" w:styleId="TableGrid2">
    <w:name w:val="Table Grid2"/>
    <w:basedOn w:val="TableNormal"/>
    <w:next w:val="TableGrid"/>
    <w:uiPriority w:val="59"/>
    <w:rsid w:val="00CB5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StudyHeading">
    <w:name w:val="Case Study Heading"/>
    <w:basedOn w:val="Normal"/>
    <w:rsid w:val="00503AF6"/>
    <w:pPr>
      <w:tabs>
        <w:tab w:val="left" w:pos="1418"/>
      </w:tabs>
      <w:spacing w:before="300" w:after="120" w:line="240" w:lineRule="auto"/>
      <w:jc w:val="center"/>
    </w:pPr>
    <w:rPr>
      <w:rFonts w:ascii="Calibri" w:hAnsi="Calibri"/>
      <w:b/>
      <w:color w:val="FFFFFF" w:themeColor="background1"/>
      <w:sz w:val="28"/>
      <w:szCs w:val="24"/>
    </w:rPr>
  </w:style>
  <w:style w:type="paragraph" w:customStyle="1" w:styleId="CaseStudyText">
    <w:name w:val="Case Study Text"/>
    <w:basedOn w:val="Normal"/>
    <w:rsid w:val="00503AF6"/>
    <w:pPr>
      <w:spacing w:after="120" w:line="240" w:lineRule="exact"/>
      <w:ind w:left="284" w:right="284"/>
    </w:pPr>
    <w:rPr>
      <w:rFonts w:ascii="Calibri" w:hAnsi="Calibri"/>
      <w:color w:val="FFFFFF" w:themeColor="background1"/>
    </w:rPr>
  </w:style>
  <w:style w:type="paragraph" w:customStyle="1" w:styleId="CaseStudyBullet">
    <w:name w:val="Case Study Bullet"/>
    <w:basedOn w:val="BoxBullet"/>
    <w:rsid w:val="0015450A"/>
    <w:pPr>
      <w:tabs>
        <w:tab w:val="left" w:pos="397"/>
      </w:tabs>
      <w:spacing w:after="120" w:line="240" w:lineRule="exact"/>
      <w:ind w:left="624" w:right="340" w:hanging="284"/>
    </w:pPr>
  </w:style>
  <w:style w:type="paragraph" w:customStyle="1" w:styleId="acthead5">
    <w:name w:val="acthead5"/>
    <w:basedOn w:val="Normal"/>
    <w:rsid w:val="005E073E"/>
    <w:pPr>
      <w:spacing w:before="100" w:beforeAutospacing="1" w:after="100" w:afterAutospacing="1" w:line="240" w:lineRule="auto"/>
      <w:jc w:val="left"/>
    </w:pPr>
    <w:rPr>
      <w:rFonts w:ascii="Times New Roman" w:hAnsi="Times New Roman"/>
      <w:color w:val="auto"/>
      <w:sz w:val="24"/>
      <w:szCs w:val="24"/>
    </w:rPr>
  </w:style>
  <w:style w:type="character" w:customStyle="1" w:styleId="charsectno">
    <w:name w:val="charsectno"/>
    <w:basedOn w:val="DefaultParagraphFont"/>
    <w:rsid w:val="005E073E"/>
  </w:style>
  <w:style w:type="paragraph" w:customStyle="1" w:styleId="subsection">
    <w:name w:val="subsection"/>
    <w:basedOn w:val="Normal"/>
    <w:rsid w:val="005E073E"/>
    <w:pPr>
      <w:spacing w:before="100" w:beforeAutospacing="1" w:after="100" w:afterAutospacing="1" w:line="240" w:lineRule="auto"/>
      <w:jc w:val="left"/>
    </w:pPr>
    <w:rPr>
      <w:rFonts w:ascii="Times New Roman" w:hAnsi="Times New Roman"/>
      <w:color w:val="auto"/>
      <w:sz w:val="24"/>
      <w:szCs w:val="24"/>
    </w:rPr>
  </w:style>
  <w:style w:type="paragraph" w:customStyle="1" w:styleId="TableTextLeft-Bullet">
    <w:name w:val="Table Text Left - Bullet"/>
    <w:basedOn w:val="TableTextLeft"/>
    <w:rsid w:val="00DB3D2A"/>
    <w:pPr>
      <w:numPr>
        <w:numId w:val="13"/>
      </w:numPr>
      <w:tabs>
        <w:tab w:val="left" w:pos="284"/>
      </w:tabs>
      <w:ind w:left="284" w:hanging="284"/>
    </w:pPr>
  </w:style>
  <w:style w:type="paragraph" w:customStyle="1" w:styleId="TableTextLeft-Dash">
    <w:name w:val="Table Text Left - Dash"/>
    <w:rsid w:val="00EB0856"/>
    <w:pPr>
      <w:numPr>
        <w:numId w:val="14"/>
      </w:numPr>
      <w:tabs>
        <w:tab w:val="left" w:pos="567"/>
      </w:tabs>
      <w:spacing w:before="60" w:after="60" w:line="240" w:lineRule="auto"/>
      <w:ind w:left="568" w:hanging="284"/>
      <w:jc w:val="both"/>
    </w:pPr>
    <w:rPr>
      <w:rFonts w:ascii="Arial" w:eastAsia="Times New Roman" w:hAnsi="Arial" w:cs="Arial"/>
      <w:color w:val="000000"/>
      <w:sz w:val="16"/>
      <w:szCs w:val="16"/>
      <w:lang w:eastAsia="en-AU"/>
    </w:rPr>
  </w:style>
  <w:style w:type="paragraph" w:customStyle="1" w:styleId="TableTextLeft-Numbered">
    <w:name w:val="Table Text Left - Numbered"/>
    <w:basedOn w:val="TableTextLeft"/>
    <w:rsid w:val="007D3940"/>
    <w:pPr>
      <w:numPr>
        <w:numId w:val="15"/>
      </w:numPr>
    </w:pPr>
    <w:rPr>
      <w:szCs w:val="16"/>
    </w:rPr>
  </w:style>
  <w:style w:type="paragraph" w:customStyle="1" w:styleId="TableTextLeft-Alpha">
    <w:name w:val="Table Text Left - Alpha"/>
    <w:rsid w:val="007D3940"/>
    <w:pPr>
      <w:numPr>
        <w:numId w:val="16"/>
      </w:numPr>
      <w:spacing w:before="60" w:after="60" w:line="240" w:lineRule="auto"/>
      <w:jc w:val="both"/>
    </w:pPr>
    <w:rPr>
      <w:rFonts w:ascii="Arial" w:eastAsia="Times New Roman" w:hAnsi="Arial" w:cs="Arial"/>
      <w:color w:val="000000"/>
      <w:sz w:val="16"/>
      <w:szCs w:val="16"/>
      <w:lang w:eastAsia="en-AU"/>
    </w:rPr>
  </w:style>
  <w:style w:type="paragraph" w:customStyle="1" w:styleId="TableTextLeft-Roman">
    <w:name w:val="Table Text Left - Roman"/>
    <w:rsid w:val="00EB0856"/>
    <w:pPr>
      <w:numPr>
        <w:numId w:val="17"/>
      </w:numPr>
      <w:tabs>
        <w:tab w:val="left" w:pos="851"/>
      </w:tabs>
      <w:spacing w:before="60" w:after="60" w:line="240" w:lineRule="auto"/>
      <w:ind w:left="851" w:hanging="284"/>
      <w:jc w:val="both"/>
    </w:pPr>
    <w:rPr>
      <w:rFonts w:ascii="Arial" w:eastAsia="Times New Roman" w:hAnsi="Arial" w:cs="Arial"/>
      <w:color w:val="000000"/>
      <w:sz w:val="16"/>
      <w:szCs w:val="16"/>
      <w:lang w:eastAsia="en-AU"/>
    </w:rPr>
  </w:style>
  <w:style w:type="paragraph" w:customStyle="1" w:styleId="Heading1-TOC">
    <w:name w:val="Heading 1 - TOC"/>
    <w:basedOn w:val="Heading1noTOC"/>
    <w:rsid w:val="006A5F83"/>
    <w:pPr>
      <w:outlineLvl w:val="0"/>
    </w:pPr>
  </w:style>
  <w:style w:type="paragraph" w:customStyle="1" w:styleId="TableColumnHeadingCentred-White">
    <w:name w:val="Table Column Heading Centred - White"/>
    <w:basedOn w:val="TableColumnHeadingCentred"/>
    <w:rsid w:val="000703F0"/>
  </w:style>
  <w:style w:type="paragraph" w:customStyle="1" w:styleId="TableColumnHeadingCentred-Black">
    <w:name w:val="Table Column Heading Centred - Black"/>
    <w:basedOn w:val="TableColumnHeadingCentred"/>
    <w:rsid w:val="000703F0"/>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Note Heading" w:uiPriority="0"/>
    <w:lsdException w:name="Body Tex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74F"/>
    <w:pPr>
      <w:spacing w:after="240" w:line="260" w:lineRule="exact"/>
      <w:jc w:val="both"/>
    </w:pPr>
    <w:rPr>
      <w:rFonts w:eastAsia="Times New Roman" w:cs="Times New Roman"/>
      <w:color w:val="000000"/>
      <w:sz w:val="20"/>
      <w:szCs w:val="20"/>
      <w:lang w:eastAsia="en-AU"/>
    </w:rPr>
  </w:style>
  <w:style w:type="paragraph" w:styleId="Heading1">
    <w:name w:val="heading 1"/>
    <w:basedOn w:val="HeadingBase"/>
    <w:next w:val="Normal"/>
    <w:link w:val="Heading1Char"/>
    <w:qFormat/>
    <w:rsid w:val="00EF467D"/>
    <w:pPr>
      <w:keepNext/>
      <w:spacing w:after="120"/>
      <w:outlineLvl w:val="0"/>
    </w:pPr>
    <w:rPr>
      <w:rFonts w:cs="Arial"/>
      <w:b/>
      <w:bCs/>
      <w:color w:val="FFFFFF" w:themeColor="background1"/>
      <w:kern w:val="32"/>
      <w:sz w:val="24"/>
      <w:szCs w:val="48"/>
    </w:rPr>
  </w:style>
  <w:style w:type="paragraph" w:styleId="Heading2">
    <w:name w:val="heading 2"/>
    <w:basedOn w:val="HeadingBase"/>
    <w:next w:val="Normal"/>
    <w:link w:val="Heading2Char"/>
    <w:qFormat/>
    <w:rsid w:val="007D2B54"/>
    <w:pPr>
      <w:keepNext/>
      <w:spacing w:before="120" w:after="240"/>
      <w:outlineLvl w:val="1"/>
    </w:pPr>
    <w:rPr>
      <w:rFonts w:cs="Arial"/>
      <w:b/>
      <w:bCs/>
      <w:iCs/>
      <w:color w:val="A32035"/>
      <w:sz w:val="28"/>
      <w:szCs w:val="28"/>
    </w:rPr>
  </w:style>
  <w:style w:type="paragraph" w:styleId="Heading3">
    <w:name w:val="heading 3"/>
    <w:basedOn w:val="HeadingBase"/>
    <w:next w:val="Normal"/>
    <w:link w:val="Heading3Char"/>
    <w:qFormat/>
    <w:rsid w:val="007D2B54"/>
    <w:pPr>
      <w:keepNext/>
      <w:spacing w:before="240" w:after="180"/>
      <w:outlineLvl w:val="2"/>
    </w:pPr>
    <w:rPr>
      <w:rFonts w:cs="Arial"/>
      <w:b/>
      <w:bCs/>
      <w:color w:val="E06277"/>
      <w:sz w:val="28"/>
      <w:szCs w:val="26"/>
    </w:rPr>
  </w:style>
  <w:style w:type="paragraph" w:styleId="Heading4">
    <w:name w:val="heading 4"/>
    <w:basedOn w:val="HeadingBase"/>
    <w:next w:val="Normal"/>
    <w:link w:val="Heading4Char"/>
    <w:qFormat/>
    <w:rsid w:val="004046AA"/>
    <w:pPr>
      <w:keepNext/>
      <w:spacing w:before="240" w:after="180"/>
      <w:outlineLvl w:val="3"/>
    </w:pPr>
    <w:rPr>
      <w:b/>
      <w:bCs/>
      <w:i/>
      <w:color w:val="A32035"/>
      <w:sz w:val="24"/>
      <w:szCs w:val="22"/>
    </w:rPr>
  </w:style>
  <w:style w:type="paragraph" w:styleId="Heading5">
    <w:name w:val="heading 5"/>
    <w:basedOn w:val="HeadingBase"/>
    <w:next w:val="Normal"/>
    <w:link w:val="Heading5Char"/>
    <w:qFormat/>
    <w:rsid w:val="007C6CF0"/>
    <w:pPr>
      <w:keepNext/>
      <w:spacing w:before="120" w:after="180"/>
      <w:outlineLvl w:val="4"/>
    </w:pPr>
    <w:rPr>
      <w:bCs/>
      <w:iCs/>
      <w:color w:val="C92742"/>
      <w:sz w:val="22"/>
    </w:rPr>
  </w:style>
  <w:style w:type="paragraph" w:styleId="Heading6">
    <w:name w:val="heading 6"/>
    <w:basedOn w:val="HeadingBase"/>
    <w:next w:val="Normal"/>
    <w:link w:val="Heading6Char"/>
    <w:qFormat/>
    <w:rsid w:val="0094674F"/>
    <w:pPr>
      <w:keepNext/>
      <w:spacing w:after="120"/>
      <w:outlineLvl w:val="5"/>
    </w:pPr>
    <w:rPr>
      <w:bCs/>
      <w:szCs w:val="22"/>
    </w:rPr>
  </w:style>
  <w:style w:type="paragraph" w:styleId="Heading7">
    <w:name w:val="heading 7"/>
    <w:basedOn w:val="Heading2"/>
    <w:next w:val="Normal"/>
    <w:link w:val="Heading7Char"/>
    <w:qFormat/>
    <w:rsid w:val="0094674F"/>
    <w:pPr>
      <w:jc w:val="right"/>
      <w:outlineLvl w:val="6"/>
    </w:pPr>
  </w:style>
  <w:style w:type="paragraph" w:styleId="Heading8">
    <w:name w:val="heading 8"/>
    <w:basedOn w:val="HeadingBase"/>
    <w:next w:val="Normal"/>
    <w:link w:val="Heading8Char"/>
    <w:qFormat/>
    <w:rsid w:val="0094674F"/>
    <w:pPr>
      <w:keepNext/>
      <w:spacing w:before="284" w:after="360"/>
      <w:jc w:val="right"/>
      <w:outlineLvl w:val="7"/>
    </w:pPr>
    <w:rPr>
      <w:iCs/>
      <w:sz w:val="48"/>
      <w:szCs w:val="24"/>
    </w:rPr>
  </w:style>
  <w:style w:type="paragraph" w:styleId="Heading9">
    <w:name w:val="heading 9"/>
    <w:basedOn w:val="HeadingBase"/>
    <w:next w:val="Normal"/>
    <w:link w:val="Heading9Char"/>
    <w:qFormat/>
    <w:rsid w:val="0094674F"/>
    <w:pPr>
      <w:keepNext/>
      <w:spacing w:before="170" w:after="113" w:line="320" w:lineRule="exact"/>
      <w:jc w:val="right"/>
      <w:outlineLvl w:val="8"/>
    </w:pPr>
    <w:rPr>
      <w:rFonts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467D"/>
    <w:rPr>
      <w:rFonts w:ascii="Calibri" w:eastAsia="Times New Roman" w:hAnsi="Calibri" w:cs="Arial"/>
      <w:b/>
      <w:bCs/>
      <w:color w:val="FFFFFF" w:themeColor="background1"/>
      <w:kern w:val="32"/>
      <w:sz w:val="24"/>
      <w:szCs w:val="48"/>
      <w:lang w:eastAsia="en-AU"/>
    </w:rPr>
  </w:style>
  <w:style w:type="character" w:customStyle="1" w:styleId="Heading2Char">
    <w:name w:val="Heading 2 Char"/>
    <w:basedOn w:val="DefaultParagraphFont"/>
    <w:link w:val="Heading2"/>
    <w:rsid w:val="007D2B54"/>
    <w:rPr>
      <w:rFonts w:ascii="Calibri" w:eastAsia="Times New Roman" w:hAnsi="Calibri" w:cs="Arial"/>
      <w:b/>
      <w:bCs/>
      <w:iCs/>
      <w:color w:val="A32035"/>
      <w:sz w:val="28"/>
      <w:szCs w:val="28"/>
      <w:lang w:eastAsia="en-AU"/>
    </w:rPr>
  </w:style>
  <w:style w:type="character" w:customStyle="1" w:styleId="Heading3Char">
    <w:name w:val="Heading 3 Char"/>
    <w:basedOn w:val="DefaultParagraphFont"/>
    <w:link w:val="Heading3"/>
    <w:rsid w:val="007D2B54"/>
    <w:rPr>
      <w:rFonts w:ascii="Calibri" w:eastAsia="Times New Roman" w:hAnsi="Calibri" w:cs="Arial"/>
      <w:b/>
      <w:bCs/>
      <w:color w:val="E06277"/>
      <w:sz w:val="28"/>
      <w:szCs w:val="26"/>
      <w:lang w:eastAsia="en-AU"/>
    </w:rPr>
  </w:style>
  <w:style w:type="character" w:customStyle="1" w:styleId="Heading4Char">
    <w:name w:val="Heading 4 Char"/>
    <w:basedOn w:val="DefaultParagraphFont"/>
    <w:link w:val="Heading4"/>
    <w:rsid w:val="004046AA"/>
    <w:rPr>
      <w:rFonts w:ascii="Calibri" w:eastAsia="Times New Roman" w:hAnsi="Calibri" w:cs="Times New Roman"/>
      <w:b/>
      <w:bCs/>
      <w:i/>
      <w:color w:val="A32035"/>
      <w:sz w:val="24"/>
      <w:lang w:eastAsia="en-AU"/>
    </w:rPr>
  </w:style>
  <w:style w:type="character" w:customStyle="1" w:styleId="Heading5Char">
    <w:name w:val="Heading 5 Char"/>
    <w:basedOn w:val="DefaultParagraphFont"/>
    <w:link w:val="Heading5"/>
    <w:rsid w:val="007C6CF0"/>
    <w:rPr>
      <w:rFonts w:ascii="Calibri" w:eastAsia="Times New Roman" w:hAnsi="Calibri" w:cs="Times New Roman"/>
      <w:bCs/>
      <w:iCs/>
      <w:color w:val="C92742"/>
      <w:szCs w:val="20"/>
      <w:lang w:eastAsia="en-AU"/>
    </w:rPr>
  </w:style>
  <w:style w:type="character" w:customStyle="1" w:styleId="Heading6Char">
    <w:name w:val="Heading 6 Char"/>
    <w:basedOn w:val="DefaultParagraphFont"/>
    <w:link w:val="Heading6"/>
    <w:rsid w:val="00E83190"/>
    <w:rPr>
      <w:rFonts w:ascii="Calibri" w:eastAsia="Times New Roman" w:hAnsi="Calibri" w:cs="Times New Roman"/>
      <w:bCs/>
      <w:color w:val="003E74"/>
      <w:sz w:val="20"/>
      <w:lang w:eastAsia="en-AU"/>
    </w:rPr>
  </w:style>
  <w:style w:type="character" w:customStyle="1" w:styleId="Heading7Char">
    <w:name w:val="Heading 7 Char"/>
    <w:basedOn w:val="DefaultParagraphFont"/>
    <w:link w:val="Heading7"/>
    <w:rsid w:val="00E83190"/>
    <w:rPr>
      <w:rFonts w:ascii="Calibri" w:eastAsia="Times New Roman" w:hAnsi="Calibri" w:cs="Arial"/>
      <w:b/>
      <w:bCs/>
      <w:iCs/>
      <w:color w:val="003E74"/>
      <w:sz w:val="28"/>
      <w:szCs w:val="28"/>
      <w:lang w:eastAsia="en-AU"/>
    </w:rPr>
  </w:style>
  <w:style w:type="character" w:customStyle="1" w:styleId="Heading8Char">
    <w:name w:val="Heading 8 Char"/>
    <w:basedOn w:val="DefaultParagraphFont"/>
    <w:link w:val="Heading8"/>
    <w:rsid w:val="00E83190"/>
    <w:rPr>
      <w:rFonts w:ascii="Calibri" w:eastAsia="Times New Roman" w:hAnsi="Calibri" w:cs="Times New Roman"/>
      <w:iCs/>
      <w:color w:val="003E74"/>
      <w:sz w:val="48"/>
      <w:szCs w:val="24"/>
      <w:lang w:eastAsia="en-AU"/>
    </w:rPr>
  </w:style>
  <w:style w:type="character" w:customStyle="1" w:styleId="Heading9Char">
    <w:name w:val="Heading 9 Char"/>
    <w:basedOn w:val="DefaultParagraphFont"/>
    <w:link w:val="Heading9"/>
    <w:rsid w:val="00E83190"/>
    <w:rPr>
      <w:rFonts w:ascii="Calibri" w:eastAsia="Times New Roman" w:hAnsi="Calibri" w:cs="Arial"/>
      <w:b/>
      <w:color w:val="003E74"/>
      <w:sz w:val="28"/>
      <w:lang w:eastAsia="en-AU"/>
    </w:rPr>
  </w:style>
  <w:style w:type="paragraph" w:customStyle="1" w:styleId="SingleParagraph">
    <w:name w:val="Single Paragraph"/>
    <w:basedOn w:val="Normal"/>
    <w:link w:val="SingleParagraphChar"/>
    <w:rsid w:val="0094674F"/>
    <w:pPr>
      <w:spacing w:after="0"/>
    </w:pPr>
  </w:style>
  <w:style w:type="character" w:styleId="Hyperlink">
    <w:name w:val="Hyperlink"/>
    <w:basedOn w:val="DefaultParagraphFont"/>
    <w:uiPriority w:val="99"/>
    <w:rsid w:val="0094674F"/>
    <w:rPr>
      <w:color w:val="000000"/>
      <w:u w:val="none"/>
    </w:rPr>
  </w:style>
  <w:style w:type="paragraph" w:customStyle="1" w:styleId="ChartGraphic">
    <w:name w:val="Chart Graphic"/>
    <w:basedOn w:val="HeadingBase"/>
    <w:rsid w:val="0094674F"/>
    <w:pPr>
      <w:jc w:val="center"/>
    </w:pPr>
  </w:style>
  <w:style w:type="paragraph" w:styleId="Footer">
    <w:name w:val="footer"/>
    <w:basedOn w:val="HeadingBase"/>
    <w:link w:val="FooterChar"/>
    <w:rsid w:val="0094674F"/>
    <w:rPr>
      <w:sz w:val="18"/>
    </w:rPr>
  </w:style>
  <w:style w:type="character" w:customStyle="1" w:styleId="FooterChar">
    <w:name w:val="Footer Char"/>
    <w:basedOn w:val="DefaultParagraphFont"/>
    <w:link w:val="Footer"/>
    <w:uiPriority w:val="99"/>
    <w:rsid w:val="00E83190"/>
    <w:rPr>
      <w:rFonts w:ascii="Calibri" w:eastAsia="Times New Roman" w:hAnsi="Calibri" w:cs="Times New Roman"/>
      <w:color w:val="003E74"/>
      <w:sz w:val="18"/>
      <w:szCs w:val="20"/>
      <w:lang w:eastAsia="en-AU"/>
    </w:rPr>
  </w:style>
  <w:style w:type="paragraph" w:customStyle="1" w:styleId="ContentsHeading">
    <w:name w:val="Contents Heading"/>
    <w:basedOn w:val="HeadingBase"/>
    <w:next w:val="Normal"/>
    <w:rsid w:val="0094674F"/>
    <w:pPr>
      <w:spacing w:after="360"/>
    </w:pPr>
    <w:rPr>
      <w:smallCaps/>
      <w:sz w:val="36"/>
      <w:szCs w:val="36"/>
    </w:rPr>
  </w:style>
  <w:style w:type="paragraph" w:customStyle="1" w:styleId="CoverTitleMain">
    <w:name w:val="Cover Title Main"/>
    <w:basedOn w:val="HeadingBase"/>
    <w:next w:val="Normal"/>
    <w:rsid w:val="0094674F"/>
    <w:pPr>
      <w:spacing w:after="360"/>
      <w:jc w:val="right"/>
    </w:pPr>
    <w:rPr>
      <w:b/>
      <w:sz w:val="44"/>
    </w:rPr>
  </w:style>
  <w:style w:type="paragraph" w:customStyle="1" w:styleId="FooterEven">
    <w:name w:val="Footer Even"/>
    <w:basedOn w:val="Footer"/>
    <w:rsid w:val="007D2B54"/>
    <w:rPr>
      <w:color w:val="A32035"/>
    </w:rPr>
  </w:style>
  <w:style w:type="paragraph" w:customStyle="1" w:styleId="FooterOdd">
    <w:name w:val="Footer Odd"/>
    <w:basedOn w:val="Footer"/>
    <w:rsid w:val="007D2B54"/>
    <w:pPr>
      <w:jc w:val="right"/>
    </w:pPr>
    <w:rPr>
      <w:color w:val="A32035"/>
    </w:rPr>
  </w:style>
  <w:style w:type="paragraph" w:styleId="Header">
    <w:name w:val="header"/>
    <w:basedOn w:val="HeadingBase"/>
    <w:link w:val="HeaderChar"/>
    <w:rsid w:val="0094674F"/>
    <w:rPr>
      <w:sz w:val="18"/>
    </w:rPr>
  </w:style>
  <w:style w:type="character" w:customStyle="1" w:styleId="HeaderChar">
    <w:name w:val="Header Char"/>
    <w:basedOn w:val="DefaultParagraphFont"/>
    <w:link w:val="Header"/>
    <w:rsid w:val="00E83190"/>
    <w:rPr>
      <w:rFonts w:ascii="Calibri" w:eastAsia="Times New Roman" w:hAnsi="Calibri" w:cs="Times New Roman"/>
      <w:color w:val="003E74"/>
      <w:sz w:val="18"/>
      <w:szCs w:val="20"/>
      <w:lang w:eastAsia="en-AU"/>
    </w:rPr>
  </w:style>
  <w:style w:type="paragraph" w:customStyle="1" w:styleId="HeaderOdd">
    <w:name w:val="Header Odd"/>
    <w:basedOn w:val="Header"/>
    <w:rsid w:val="007D2B54"/>
    <w:pPr>
      <w:jc w:val="right"/>
    </w:pPr>
    <w:rPr>
      <w:color w:val="A32035"/>
    </w:rPr>
  </w:style>
  <w:style w:type="paragraph" w:styleId="TOC1">
    <w:name w:val="toc 1"/>
    <w:basedOn w:val="HeadingBase"/>
    <w:next w:val="Normal"/>
    <w:uiPriority w:val="39"/>
    <w:qFormat/>
    <w:rsid w:val="00C55F6D"/>
    <w:pPr>
      <w:tabs>
        <w:tab w:val="right" w:leader="dot" w:pos="7700"/>
      </w:tabs>
      <w:spacing w:before="100"/>
      <w:ind w:right="851"/>
    </w:pPr>
    <w:rPr>
      <w:b/>
      <w:smallCaps/>
      <w:noProof/>
      <w:color w:val="A32035"/>
      <w:sz w:val="24"/>
      <w:szCs w:val="22"/>
    </w:rPr>
  </w:style>
  <w:style w:type="paragraph" w:styleId="TOC2">
    <w:name w:val="toc 2"/>
    <w:basedOn w:val="Normal"/>
    <w:next w:val="Normal"/>
    <w:uiPriority w:val="39"/>
    <w:qFormat/>
    <w:rsid w:val="00C55F6D"/>
    <w:pPr>
      <w:tabs>
        <w:tab w:val="right" w:leader="dot" w:pos="7700"/>
      </w:tabs>
      <w:spacing w:after="40" w:line="240" w:lineRule="auto"/>
      <w:ind w:right="851"/>
      <w:jc w:val="left"/>
    </w:pPr>
    <w:rPr>
      <w:rFonts w:ascii="Calibri" w:hAnsi="Calibri"/>
      <w:noProof/>
    </w:rPr>
  </w:style>
  <w:style w:type="paragraph" w:styleId="TOC3">
    <w:name w:val="toc 3"/>
    <w:basedOn w:val="Normal"/>
    <w:next w:val="Normal"/>
    <w:uiPriority w:val="39"/>
    <w:qFormat/>
    <w:rsid w:val="005447A4"/>
    <w:pPr>
      <w:tabs>
        <w:tab w:val="right" w:leader="dot" w:pos="7700"/>
      </w:tabs>
      <w:spacing w:after="40" w:line="240" w:lineRule="auto"/>
      <w:ind w:left="284" w:right="907" w:hanging="284"/>
      <w:jc w:val="left"/>
    </w:pPr>
    <w:rPr>
      <w:rFonts w:ascii="Calibri" w:hAnsi="Calibri"/>
      <w:noProof/>
      <w:color w:val="auto"/>
    </w:rPr>
  </w:style>
  <w:style w:type="paragraph" w:styleId="TOC4">
    <w:name w:val="toc 4"/>
    <w:basedOn w:val="Normal"/>
    <w:next w:val="Normal"/>
    <w:rsid w:val="0094674F"/>
    <w:pPr>
      <w:tabs>
        <w:tab w:val="right" w:leader="dot" w:pos="7700"/>
      </w:tabs>
      <w:spacing w:after="0" w:line="240" w:lineRule="auto"/>
      <w:ind w:left="284" w:right="851" w:hanging="284"/>
      <w:jc w:val="left"/>
    </w:pPr>
    <w:rPr>
      <w:rFonts w:ascii="Calibri" w:hAnsi="Calibri"/>
      <w:noProof/>
    </w:rPr>
  </w:style>
  <w:style w:type="paragraph" w:customStyle="1" w:styleId="SinglePara">
    <w:name w:val="Single Para"/>
    <w:basedOn w:val="Normal"/>
    <w:rsid w:val="00E83190"/>
    <w:pPr>
      <w:spacing w:after="0" w:line="240" w:lineRule="auto"/>
    </w:pPr>
    <w:rPr>
      <w:rFonts w:ascii="Times New Roman" w:hAnsi="Times New Roman"/>
      <w:sz w:val="24"/>
    </w:rPr>
  </w:style>
  <w:style w:type="character" w:customStyle="1" w:styleId="SingleParagraphChar">
    <w:name w:val="Single Paragraph Char"/>
    <w:link w:val="SingleParagraph"/>
    <w:rsid w:val="00E83190"/>
    <w:rPr>
      <w:rFonts w:eastAsia="Times New Roman" w:cs="Times New Roman"/>
      <w:color w:val="000000"/>
      <w:sz w:val="20"/>
      <w:szCs w:val="20"/>
      <w:lang w:eastAsia="en-AU"/>
    </w:rPr>
  </w:style>
  <w:style w:type="paragraph" w:customStyle="1" w:styleId="ChairmanLetter">
    <w:name w:val="Chairman Letter"/>
    <w:basedOn w:val="Normal"/>
    <w:qFormat/>
    <w:rsid w:val="00E83190"/>
    <w:rPr>
      <w:rFonts w:ascii="Times New Roman" w:hAnsi="Times New Roman"/>
    </w:rPr>
  </w:style>
  <w:style w:type="paragraph" w:styleId="BalloonText">
    <w:name w:val="Balloon Text"/>
    <w:basedOn w:val="Normal"/>
    <w:link w:val="BalloonTextChar"/>
    <w:rsid w:val="0094674F"/>
    <w:rPr>
      <w:rFonts w:ascii="Tahoma" w:hAnsi="Tahoma" w:cs="Tahoma"/>
      <w:sz w:val="16"/>
      <w:szCs w:val="16"/>
    </w:rPr>
  </w:style>
  <w:style w:type="character" w:customStyle="1" w:styleId="BalloonTextChar">
    <w:name w:val="Balloon Text Char"/>
    <w:basedOn w:val="DefaultParagraphFont"/>
    <w:link w:val="BalloonText"/>
    <w:rsid w:val="00E83190"/>
    <w:rPr>
      <w:rFonts w:ascii="Tahoma" w:eastAsia="Times New Roman" w:hAnsi="Tahoma" w:cs="Tahoma"/>
      <w:color w:val="000000"/>
      <w:sz w:val="16"/>
      <w:szCs w:val="16"/>
      <w:lang w:eastAsia="en-AU"/>
    </w:rPr>
  </w:style>
  <w:style w:type="paragraph" w:styleId="FootnoteText">
    <w:name w:val="footnote text"/>
    <w:basedOn w:val="Normal"/>
    <w:link w:val="FootnoteTextChar"/>
    <w:rsid w:val="00CC6D5D"/>
    <w:pPr>
      <w:tabs>
        <w:tab w:val="left" w:pos="284"/>
      </w:tabs>
      <w:spacing w:after="0" w:line="240" w:lineRule="auto"/>
      <w:ind w:left="284" w:hanging="284"/>
    </w:pPr>
    <w:rPr>
      <w:spacing w:val="-2"/>
      <w:sz w:val="18"/>
    </w:rPr>
  </w:style>
  <w:style w:type="character" w:customStyle="1" w:styleId="FootnoteTextChar">
    <w:name w:val="Footnote Text Char"/>
    <w:basedOn w:val="DefaultParagraphFont"/>
    <w:link w:val="FootnoteText"/>
    <w:rsid w:val="00E83190"/>
    <w:rPr>
      <w:rFonts w:eastAsia="Times New Roman" w:cs="Times New Roman"/>
      <w:color w:val="000000"/>
      <w:spacing w:val="-2"/>
      <w:sz w:val="18"/>
      <w:szCs w:val="20"/>
      <w:lang w:eastAsia="en-AU"/>
    </w:rPr>
  </w:style>
  <w:style w:type="character" w:styleId="FootnoteReference">
    <w:name w:val="footnote reference"/>
    <w:basedOn w:val="DefaultParagraphFont"/>
    <w:rsid w:val="0094674F"/>
    <w:rPr>
      <w:vertAlign w:val="superscript"/>
    </w:rPr>
  </w:style>
  <w:style w:type="character" w:styleId="PageNumber">
    <w:name w:val="page number"/>
    <w:basedOn w:val="DefaultParagraphFont"/>
    <w:rsid w:val="0094674F"/>
    <w:rPr>
      <w:rFonts w:asciiTheme="minorHAnsi" w:hAnsiTheme="minorHAnsi"/>
      <w:color w:val="003E74"/>
      <w:sz w:val="18"/>
      <w:szCs w:val="18"/>
    </w:rPr>
  </w:style>
  <w:style w:type="paragraph" w:customStyle="1" w:styleId="Bullet">
    <w:name w:val="Bullet"/>
    <w:aliases w:val="b,b1,b + line,Body,level 1,Bullet + line"/>
    <w:basedOn w:val="Normal"/>
    <w:link w:val="BulletChar"/>
    <w:qFormat/>
    <w:rsid w:val="007E1442"/>
    <w:pPr>
      <w:numPr>
        <w:numId w:val="1"/>
      </w:numPr>
      <w:tabs>
        <w:tab w:val="left" w:pos="425"/>
      </w:tabs>
    </w:pPr>
  </w:style>
  <w:style w:type="paragraph" w:customStyle="1" w:styleId="Dash">
    <w:name w:val="Dash"/>
    <w:basedOn w:val="Normal"/>
    <w:link w:val="DashChar"/>
    <w:qFormat/>
    <w:rsid w:val="0075316F"/>
    <w:pPr>
      <w:numPr>
        <w:ilvl w:val="1"/>
        <w:numId w:val="1"/>
      </w:numPr>
      <w:tabs>
        <w:tab w:val="left" w:pos="851"/>
      </w:tabs>
    </w:pPr>
    <w:rPr>
      <w:rFonts w:ascii="Calibri" w:hAnsi="Calibri"/>
    </w:rPr>
  </w:style>
  <w:style w:type="paragraph" w:customStyle="1" w:styleId="DoubleDot">
    <w:name w:val="Double Dot"/>
    <w:basedOn w:val="Normal"/>
    <w:link w:val="DoubleDotChar"/>
    <w:qFormat/>
    <w:rsid w:val="0094674F"/>
    <w:pPr>
      <w:numPr>
        <w:ilvl w:val="2"/>
        <w:numId w:val="1"/>
      </w:numPr>
      <w:tabs>
        <w:tab w:val="clear" w:pos="850"/>
        <w:tab w:val="num" w:pos="360"/>
      </w:tabs>
      <w:ind w:left="0" w:firstLine="0"/>
    </w:pPr>
  </w:style>
  <w:style w:type="paragraph" w:customStyle="1" w:styleId="OutlineNumbered1">
    <w:name w:val="Outline Numbered 1"/>
    <w:basedOn w:val="Normal"/>
    <w:rsid w:val="0094674F"/>
    <w:pPr>
      <w:numPr>
        <w:numId w:val="2"/>
      </w:numPr>
      <w:tabs>
        <w:tab w:val="clear" w:pos="567"/>
        <w:tab w:val="num" w:pos="360"/>
      </w:tabs>
      <w:ind w:left="0" w:firstLine="0"/>
    </w:pPr>
  </w:style>
  <w:style w:type="paragraph" w:customStyle="1" w:styleId="OutlineNumbered2">
    <w:name w:val="Outline Numbered 2"/>
    <w:basedOn w:val="Normal"/>
    <w:rsid w:val="0094674F"/>
    <w:pPr>
      <w:numPr>
        <w:ilvl w:val="1"/>
        <w:numId w:val="2"/>
      </w:numPr>
      <w:tabs>
        <w:tab w:val="clear" w:pos="1134"/>
        <w:tab w:val="num" w:pos="360"/>
      </w:tabs>
      <w:ind w:left="0" w:firstLine="0"/>
    </w:pPr>
  </w:style>
  <w:style w:type="paragraph" w:customStyle="1" w:styleId="OutlineNumbered3">
    <w:name w:val="Outline Numbered 3"/>
    <w:basedOn w:val="Normal"/>
    <w:rsid w:val="0094674F"/>
    <w:pPr>
      <w:numPr>
        <w:ilvl w:val="2"/>
        <w:numId w:val="2"/>
      </w:numPr>
      <w:tabs>
        <w:tab w:val="clear" w:pos="1701"/>
        <w:tab w:val="num" w:pos="360"/>
      </w:tabs>
      <w:ind w:left="0" w:firstLine="0"/>
    </w:pPr>
  </w:style>
  <w:style w:type="paragraph" w:customStyle="1" w:styleId="CoverTitleSub">
    <w:name w:val="Cover Title Sub"/>
    <w:basedOn w:val="HeadingBase"/>
    <w:rsid w:val="0094674F"/>
    <w:pPr>
      <w:spacing w:after="360"/>
      <w:jc w:val="center"/>
    </w:pPr>
    <w:rPr>
      <w:sz w:val="36"/>
    </w:rPr>
  </w:style>
  <w:style w:type="character" w:customStyle="1" w:styleId="FramedHeader">
    <w:name w:val="Framed Header"/>
    <w:basedOn w:val="DefaultParagraphFont"/>
    <w:rsid w:val="00A52CA5"/>
    <w:rPr>
      <w:rFonts w:ascii="Calibri" w:hAnsi="Calibri"/>
      <w:dstrike w:val="0"/>
      <w:color w:val="A32035"/>
      <w:sz w:val="18"/>
      <w:szCs w:val="18"/>
      <w:vertAlign w:val="baseline"/>
    </w:rPr>
  </w:style>
  <w:style w:type="paragraph" w:customStyle="1" w:styleId="HeaderEven">
    <w:name w:val="Header Even"/>
    <w:basedOn w:val="Header"/>
    <w:rsid w:val="007D2B54"/>
    <w:rPr>
      <w:color w:val="A32035"/>
    </w:rPr>
  </w:style>
  <w:style w:type="character" w:customStyle="1" w:styleId="Normalitalics">
    <w:name w:val="Normal italics"/>
    <w:rsid w:val="00E83190"/>
    <w:rPr>
      <w:i/>
    </w:rPr>
  </w:style>
  <w:style w:type="character" w:styleId="Strong">
    <w:name w:val="Strong"/>
    <w:qFormat/>
    <w:rsid w:val="00E83190"/>
    <w:rPr>
      <w:b/>
      <w:bCs/>
    </w:rPr>
  </w:style>
  <w:style w:type="paragraph" w:customStyle="1" w:styleId="Heading1noTOC">
    <w:name w:val="Heading 1 no TOC"/>
    <w:basedOn w:val="Heading1"/>
    <w:next w:val="Normal"/>
    <w:rsid w:val="00CC429F"/>
    <w:pPr>
      <w:spacing w:after="240"/>
      <w:outlineLvl w:val="9"/>
    </w:pPr>
    <w:rPr>
      <w:caps/>
      <w:color w:val="A32035"/>
      <w:sz w:val="32"/>
    </w:rPr>
  </w:style>
  <w:style w:type="character" w:customStyle="1" w:styleId="BulletChar">
    <w:name w:val="Bullet Char"/>
    <w:aliases w:val="b Char,b + line Char Char,b Char Char,Body Char,Bullet + line Char,b + line Char,b1 Char,level 1 Char,Number Char,Bullets Char,L Char,List Paragraph1 Char,List Paragraph11 Char,Recommendation Char,List Paragraph2 Char,List Paragraph Char"/>
    <w:link w:val="Bullet"/>
    <w:qFormat/>
    <w:rsid w:val="007E1442"/>
    <w:rPr>
      <w:rFonts w:eastAsia="Times New Roman" w:cs="Times New Roman"/>
      <w:color w:val="000000"/>
      <w:sz w:val="20"/>
      <w:szCs w:val="20"/>
      <w:lang w:eastAsia="en-AU"/>
    </w:rPr>
  </w:style>
  <w:style w:type="paragraph" w:customStyle="1" w:styleId="Box-Pull-Text">
    <w:name w:val="Box - Pull - Text"/>
    <w:basedOn w:val="Normal"/>
    <w:link w:val="Box-Pull-TextChar"/>
    <w:qFormat/>
    <w:rsid w:val="00E83190"/>
    <w:pPr>
      <w:spacing w:before="120" w:after="120"/>
    </w:pPr>
  </w:style>
  <w:style w:type="paragraph" w:customStyle="1" w:styleId="Box-Pull-Bullet">
    <w:name w:val="Box - Pull - Bullet"/>
    <w:basedOn w:val="Box-Pull-Text"/>
    <w:rsid w:val="00E83190"/>
    <w:pPr>
      <w:numPr>
        <w:numId w:val="3"/>
      </w:numPr>
      <w:tabs>
        <w:tab w:val="left" w:pos="284"/>
        <w:tab w:val="num" w:pos="360"/>
      </w:tabs>
      <w:spacing w:before="60" w:after="60"/>
      <w:ind w:left="284" w:hanging="284"/>
    </w:pPr>
  </w:style>
  <w:style w:type="paragraph" w:customStyle="1" w:styleId="Normal-Bio">
    <w:name w:val="Normal - Bio"/>
    <w:basedOn w:val="Normal"/>
    <w:rsid w:val="00E83190"/>
    <w:rPr>
      <w:noProof/>
    </w:rPr>
  </w:style>
  <w:style w:type="paragraph" w:customStyle="1" w:styleId="Box-Pull-HeadingInternal">
    <w:name w:val="Box - Pull - Heading (Internal)"/>
    <w:basedOn w:val="Box-Pull-Text"/>
    <w:rsid w:val="00E83190"/>
    <w:pPr>
      <w:spacing w:after="60"/>
    </w:pPr>
    <w:rPr>
      <w:rFonts w:ascii="Arial" w:hAnsi="Arial"/>
      <w:b/>
      <w:bCs/>
      <w:color w:val="003E74"/>
      <w:szCs w:val="22"/>
    </w:rPr>
  </w:style>
  <w:style w:type="character" w:customStyle="1" w:styleId="Box-Pull-TextChar">
    <w:name w:val="Box - Pull - Text Char"/>
    <w:link w:val="Box-Pull-Text"/>
    <w:rsid w:val="00E83190"/>
    <w:rPr>
      <w:rFonts w:eastAsia="Times New Roman" w:cs="Times New Roman"/>
      <w:color w:val="000000"/>
      <w:sz w:val="20"/>
      <w:szCs w:val="20"/>
      <w:lang w:eastAsia="en-AU"/>
    </w:rPr>
  </w:style>
  <w:style w:type="paragraph" w:customStyle="1" w:styleId="HeadingBase">
    <w:name w:val="Heading Base"/>
    <w:next w:val="Normal"/>
    <w:link w:val="HeadingBaseChar"/>
    <w:rsid w:val="0094674F"/>
    <w:pPr>
      <w:spacing w:after="0" w:line="240" w:lineRule="auto"/>
    </w:pPr>
    <w:rPr>
      <w:rFonts w:ascii="Calibri" w:eastAsia="Times New Roman" w:hAnsi="Calibri" w:cs="Times New Roman"/>
      <w:color w:val="003E74"/>
      <w:sz w:val="20"/>
      <w:szCs w:val="20"/>
      <w:lang w:eastAsia="en-AU"/>
    </w:rPr>
  </w:style>
  <w:style w:type="paragraph" w:customStyle="1" w:styleId="ChartandTableFootnote">
    <w:name w:val="Chart and Table Footnote"/>
    <w:basedOn w:val="HeadingBase"/>
    <w:next w:val="Normal"/>
    <w:rsid w:val="00E83190"/>
    <w:rPr>
      <w:color w:val="000000"/>
      <w:sz w:val="16"/>
      <w:szCs w:val="16"/>
    </w:rPr>
  </w:style>
  <w:style w:type="paragraph" w:customStyle="1" w:styleId="ChartandTableFootnoteAlpha">
    <w:name w:val="Chart and Table Footnote Alpha"/>
    <w:rsid w:val="00974C1D"/>
    <w:pPr>
      <w:numPr>
        <w:numId w:val="21"/>
      </w:numPr>
      <w:spacing w:after="20" w:line="240" w:lineRule="auto"/>
      <w:jc w:val="both"/>
    </w:pPr>
    <w:rPr>
      <w:rFonts w:ascii="Arial" w:eastAsia="Times New Roman" w:hAnsi="Arial" w:cs="Times New Roman"/>
      <w:color w:val="000000"/>
      <w:sz w:val="16"/>
      <w:szCs w:val="16"/>
      <w:lang w:eastAsia="en-AU"/>
    </w:rPr>
  </w:style>
  <w:style w:type="paragraph" w:customStyle="1" w:styleId="ChartHeading">
    <w:name w:val="Chart Heading"/>
    <w:basedOn w:val="TableHeading"/>
    <w:next w:val="ChartGraphic"/>
    <w:rsid w:val="004046AA"/>
    <w:rPr>
      <w:rFonts w:eastAsiaTheme="majorEastAsia"/>
    </w:rPr>
  </w:style>
  <w:style w:type="paragraph" w:customStyle="1" w:styleId="ChartSecondHeading">
    <w:name w:val="Chart Second Heading"/>
    <w:basedOn w:val="HeadingBase"/>
    <w:next w:val="ChartGraphic"/>
    <w:rsid w:val="0094674F"/>
    <w:pPr>
      <w:keepNext/>
      <w:spacing w:after="20"/>
    </w:pPr>
  </w:style>
  <w:style w:type="paragraph" w:styleId="Subtitle">
    <w:name w:val="Subtitle"/>
    <w:basedOn w:val="Normal"/>
    <w:next w:val="Normal"/>
    <w:link w:val="SubtitleChar"/>
    <w:qFormat/>
    <w:rsid w:val="0094674F"/>
    <w:pPr>
      <w:numPr>
        <w:ilvl w:val="1"/>
      </w:numPr>
    </w:pPr>
    <w:rPr>
      <w:rFonts w:asciiTheme="majorHAnsi" w:eastAsiaTheme="majorEastAsia" w:hAnsiTheme="majorHAnsi" w:cstheme="majorBidi"/>
      <w:i/>
      <w:iCs/>
      <w:color w:val="003E74"/>
      <w:spacing w:val="15"/>
      <w:sz w:val="24"/>
      <w:szCs w:val="24"/>
    </w:rPr>
  </w:style>
  <w:style w:type="character" w:customStyle="1" w:styleId="SubtitleChar">
    <w:name w:val="Subtitle Char"/>
    <w:basedOn w:val="DefaultParagraphFont"/>
    <w:link w:val="Subtitle"/>
    <w:rsid w:val="0094674F"/>
    <w:rPr>
      <w:rFonts w:asciiTheme="majorHAnsi" w:eastAsiaTheme="majorEastAsia" w:hAnsiTheme="majorHAnsi" w:cstheme="majorBidi"/>
      <w:i/>
      <w:iCs/>
      <w:color w:val="003E74"/>
      <w:spacing w:val="15"/>
      <w:sz w:val="24"/>
      <w:szCs w:val="24"/>
      <w:lang w:eastAsia="en-AU"/>
    </w:rPr>
  </w:style>
  <w:style w:type="paragraph" w:styleId="BlockText">
    <w:name w:val="Block Text"/>
    <w:basedOn w:val="Normal"/>
    <w:rsid w:val="0094674F"/>
    <w:pPr>
      <w:pBdr>
        <w:top w:val="single" w:sz="2" w:space="10" w:color="A32035" w:themeColor="accent1" w:shadow="1" w:frame="1"/>
        <w:left w:val="single" w:sz="2" w:space="10" w:color="A32035" w:themeColor="accent1" w:shadow="1" w:frame="1"/>
        <w:bottom w:val="single" w:sz="2" w:space="10" w:color="A32035" w:themeColor="accent1" w:shadow="1" w:frame="1"/>
        <w:right w:val="single" w:sz="2" w:space="10" w:color="A32035" w:themeColor="accent1" w:shadow="1" w:frame="1"/>
      </w:pBdr>
      <w:ind w:left="1152" w:right="1152"/>
    </w:pPr>
    <w:rPr>
      <w:rFonts w:eastAsiaTheme="minorEastAsia" w:cstheme="minorBidi"/>
      <w:i/>
      <w:iCs/>
      <w:color w:val="003E74"/>
    </w:rPr>
  </w:style>
  <w:style w:type="paragraph" w:customStyle="1" w:styleId="FileProperties">
    <w:name w:val="File Properties"/>
    <w:basedOn w:val="Normal"/>
    <w:rsid w:val="00E83190"/>
    <w:rPr>
      <w:i/>
      <w:iCs/>
    </w:rPr>
  </w:style>
  <w:style w:type="paragraph" w:customStyle="1" w:styleId="FooterBase">
    <w:name w:val="Footer Base"/>
    <w:rsid w:val="00E83190"/>
    <w:pPr>
      <w:spacing w:after="0" w:line="240" w:lineRule="auto"/>
    </w:pPr>
    <w:rPr>
      <w:rFonts w:ascii="Arial" w:eastAsia="Times New Roman" w:hAnsi="Arial" w:cs="Arial"/>
      <w:color w:val="333192"/>
      <w:kern w:val="28"/>
      <w:sz w:val="18"/>
      <w:szCs w:val="18"/>
      <w:lang w:eastAsia="en-AU"/>
    </w:rPr>
  </w:style>
  <w:style w:type="paragraph" w:customStyle="1" w:styleId="HeaderBase">
    <w:name w:val="Header Base"/>
    <w:rsid w:val="00E83190"/>
    <w:pPr>
      <w:spacing w:after="0" w:line="240" w:lineRule="auto"/>
    </w:pPr>
    <w:rPr>
      <w:rFonts w:ascii="Arial" w:eastAsia="Times New Roman" w:hAnsi="Arial" w:cs="Arial"/>
      <w:color w:val="333192"/>
      <w:kern w:val="28"/>
      <w:sz w:val="18"/>
      <w:szCs w:val="18"/>
      <w:lang w:eastAsia="en-AU"/>
    </w:rPr>
  </w:style>
  <w:style w:type="paragraph" w:customStyle="1" w:styleId="NumberedParagraph">
    <w:name w:val="Numbered Paragraph"/>
    <w:basedOn w:val="Normal"/>
    <w:rsid w:val="0094674F"/>
    <w:pPr>
      <w:numPr>
        <w:numId w:val="8"/>
      </w:numPr>
    </w:pPr>
  </w:style>
  <w:style w:type="paragraph" w:customStyle="1" w:styleId="TableTextRight">
    <w:name w:val="Table Text Right"/>
    <w:basedOn w:val="TableTextBase"/>
    <w:rsid w:val="006F478A"/>
    <w:pPr>
      <w:jc w:val="right"/>
    </w:pPr>
    <w:rPr>
      <w:rFonts w:ascii="Arial" w:hAnsi="Arial"/>
    </w:rPr>
  </w:style>
  <w:style w:type="paragraph" w:customStyle="1" w:styleId="TableTextBase">
    <w:name w:val="Table Text Base"/>
    <w:rsid w:val="0094674F"/>
    <w:pPr>
      <w:spacing w:before="40" w:after="40" w:line="240" w:lineRule="auto"/>
    </w:pPr>
    <w:rPr>
      <w:rFonts w:ascii="Calibri" w:eastAsia="Times New Roman" w:hAnsi="Calibri" w:cs="Times New Roman"/>
      <w:color w:val="000000"/>
      <w:sz w:val="16"/>
      <w:szCs w:val="20"/>
      <w:lang w:eastAsia="en-AU"/>
    </w:rPr>
  </w:style>
  <w:style w:type="paragraph" w:customStyle="1" w:styleId="TableGraphic">
    <w:name w:val="Table Graphic"/>
    <w:basedOn w:val="HeadingBase"/>
    <w:next w:val="Normal"/>
    <w:rsid w:val="0094674F"/>
    <w:pPr>
      <w:spacing w:after="20"/>
      <w:ind w:right="-113"/>
    </w:pPr>
    <w:rPr>
      <w:rFonts w:ascii="Helvetica" w:hAnsi="Helvetica"/>
    </w:rPr>
  </w:style>
  <w:style w:type="paragraph" w:customStyle="1" w:styleId="TableHeading">
    <w:name w:val="Table Heading"/>
    <w:basedOn w:val="HeadingBase"/>
    <w:next w:val="TableGraphic"/>
    <w:rsid w:val="00665F25"/>
    <w:pPr>
      <w:keepNext/>
    </w:pPr>
    <w:rPr>
      <w:b/>
      <w:bCs/>
      <w:color w:val="A32035"/>
      <w:sz w:val="22"/>
      <w:szCs w:val="22"/>
    </w:rPr>
  </w:style>
  <w:style w:type="paragraph" w:customStyle="1" w:styleId="TableHeadingcontinued">
    <w:name w:val="Table Heading continued"/>
    <w:basedOn w:val="HeadingBase"/>
    <w:next w:val="TableGraphic"/>
    <w:rsid w:val="00E83190"/>
    <w:pPr>
      <w:keepNext/>
      <w:spacing w:before="170" w:after="113" w:line="240" w:lineRule="exact"/>
    </w:pPr>
    <w:rPr>
      <w:b/>
      <w:bCs/>
      <w:sz w:val="22"/>
      <w:szCs w:val="22"/>
    </w:rPr>
  </w:style>
  <w:style w:type="paragraph" w:styleId="Index1">
    <w:name w:val="index 1"/>
    <w:basedOn w:val="Normal"/>
    <w:next w:val="Normal"/>
    <w:autoRedefine/>
    <w:rsid w:val="0094674F"/>
    <w:pPr>
      <w:ind w:left="200" w:hanging="200"/>
    </w:pPr>
  </w:style>
  <w:style w:type="paragraph" w:styleId="Index2">
    <w:name w:val="index 2"/>
    <w:basedOn w:val="Normal"/>
    <w:next w:val="Normal"/>
    <w:autoRedefine/>
    <w:rsid w:val="0094674F"/>
    <w:pPr>
      <w:ind w:left="400" w:hanging="200"/>
    </w:pPr>
  </w:style>
  <w:style w:type="paragraph" w:styleId="Index3">
    <w:name w:val="index 3"/>
    <w:basedOn w:val="Normal"/>
    <w:next w:val="Normal"/>
    <w:autoRedefine/>
    <w:rsid w:val="0094674F"/>
    <w:pPr>
      <w:ind w:left="600" w:hanging="200"/>
    </w:pPr>
  </w:style>
  <w:style w:type="paragraph" w:styleId="IndexHeading">
    <w:name w:val="index heading"/>
    <w:basedOn w:val="Normal"/>
    <w:next w:val="Index1"/>
    <w:rsid w:val="0094674F"/>
    <w:rPr>
      <w:rFonts w:ascii="Calibri" w:hAnsi="Calibri" w:cs="Arial"/>
      <w:b/>
      <w:bCs/>
      <w:color w:val="003E74"/>
    </w:rPr>
  </w:style>
  <w:style w:type="paragraph" w:customStyle="1" w:styleId="TableTextLeft">
    <w:name w:val="Table Text Left"/>
    <w:basedOn w:val="TableTextBase"/>
    <w:rsid w:val="00EB0856"/>
    <w:pPr>
      <w:spacing w:before="60" w:after="60"/>
      <w:jc w:val="both"/>
    </w:pPr>
    <w:rPr>
      <w:rFonts w:ascii="Arial" w:hAnsi="Arial" w:cs="Arial"/>
    </w:rPr>
  </w:style>
  <w:style w:type="paragraph" w:styleId="TOC5">
    <w:name w:val="toc 5"/>
    <w:basedOn w:val="TOC2"/>
    <w:next w:val="Normal"/>
    <w:autoRedefine/>
    <w:rsid w:val="0094674F"/>
    <w:pPr>
      <w:ind w:left="1260" w:hanging="1260"/>
    </w:pPr>
  </w:style>
  <w:style w:type="paragraph" w:styleId="TOC6">
    <w:name w:val="toc 6"/>
    <w:basedOn w:val="TOC5"/>
    <w:next w:val="Normal"/>
    <w:rsid w:val="0094674F"/>
    <w:pPr>
      <w:tabs>
        <w:tab w:val="left" w:pos="1080"/>
        <w:tab w:val="left" w:pos="1134"/>
      </w:tabs>
      <w:ind w:left="1080" w:hanging="1080"/>
    </w:pPr>
  </w:style>
  <w:style w:type="paragraph" w:styleId="TOC7">
    <w:name w:val="toc 7"/>
    <w:basedOn w:val="Normal"/>
    <w:next w:val="Normal"/>
    <w:autoRedefine/>
    <w:rsid w:val="0094674F"/>
    <w:pPr>
      <w:ind w:left="1200"/>
    </w:pPr>
    <w:rPr>
      <w:rFonts w:ascii="Calibri" w:hAnsi="Calibri"/>
    </w:rPr>
  </w:style>
  <w:style w:type="paragraph" w:styleId="TOC8">
    <w:name w:val="toc 8"/>
    <w:basedOn w:val="Normal"/>
    <w:next w:val="Normal"/>
    <w:autoRedefine/>
    <w:rsid w:val="0094674F"/>
    <w:pPr>
      <w:ind w:left="1400"/>
    </w:pPr>
    <w:rPr>
      <w:rFonts w:ascii="Calibri" w:hAnsi="Calibri"/>
    </w:rPr>
  </w:style>
  <w:style w:type="paragraph" w:styleId="TOC9">
    <w:name w:val="toc 9"/>
    <w:basedOn w:val="Normal"/>
    <w:next w:val="Normal"/>
    <w:autoRedefine/>
    <w:rsid w:val="0094674F"/>
    <w:pPr>
      <w:ind w:left="1600"/>
    </w:pPr>
    <w:rPr>
      <w:rFonts w:ascii="Calibri" w:hAnsi="Calibri"/>
    </w:rPr>
  </w:style>
  <w:style w:type="paragraph" w:customStyle="1" w:styleId="TableTextColumnHeadingLeft">
    <w:name w:val="Table Text Column Heading Left"/>
    <w:basedOn w:val="TableTextBase"/>
    <w:rsid w:val="00EB0856"/>
    <w:pPr>
      <w:spacing w:before="60" w:after="60"/>
      <w:jc w:val="both"/>
    </w:pPr>
    <w:rPr>
      <w:rFonts w:ascii="Arial" w:hAnsi="Arial" w:cs="Arial"/>
      <w:b/>
      <w:szCs w:val="16"/>
    </w:rPr>
  </w:style>
  <w:style w:type="paragraph" w:customStyle="1" w:styleId="ChartandTableFootnoteSmall">
    <w:name w:val="Chart and Table Footnote Small"/>
    <w:basedOn w:val="ChartandTableFootnote"/>
    <w:rsid w:val="00E83190"/>
    <w:rPr>
      <w:sz w:val="15"/>
      <w:szCs w:val="15"/>
    </w:rPr>
  </w:style>
  <w:style w:type="paragraph" w:customStyle="1" w:styleId="ChartandTableFootnoteAlphaSmall">
    <w:name w:val="Chart and Table Footnote Alpha Small"/>
    <w:basedOn w:val="ChartandTableFootnoteAlpha"/>
    <w:rsid w:val="00E83190"/>
    <w:pPr>
      <w:numPr>
        <w:numId w:val="0"/>
      </w:numPr>
      <w:tabs>
        <w:tab w:val="num" w:pos="283"/>
      </w:tabs>
      <w:ind w:left="284" w:hanging="284"/>
    </w:pPr>
    <w:rPr>
      <w:sz w:val="15"/>
      <w:szCs w:val="15"/>
    </w:rPr>
  </w:style>
  <w:style w:type="character" w:customStyle="1" w:styleId="FramedFooter">
    <w:name w:val="Framed Footer"/>
    <w:rsid w:val="00A52CA5"/>
    <w:rPr>
      <w:rFonts w:ascii="Calibri" w:hAnsi="Calibri"/>
      <w:color w:val="A32035"/>
      <w:sz w:val="18"/>
      <w:szCs w:val="18"/>
    </w:rPr>
  </w:style>
  <w:style w:type="paragraph" w:customStyle="1" w:styleId="Source">
    <w:name w:val="Source"/>
    <w:basedOn w:val="HeadingBase"/>
    <w:next w:val="Normal"/>
    <w:rsid w:val="00E83190"/>
    <w:pPr>
      <w:spacing w:after="240"/>
    </w:pPr>
    <w:rPr>
      <w:color w:val="000000"/>
      <w:sz w:val="16"/>
      <w:szCs w:val="16"/>
    </w:rPr>
  </w:style>
  <w:style w:type="paragraph" w:customStyle="1" w:styleId="TableTextColumnHeadingRight">
    <w:name w:val="Table Text Column Heading Right"/>
    <w:basedOn w:val="TableTextBase"/>
    <w:rsid w:val="00E83190"/>
  </w:style>
  <w:style w:type="paragraph" w:customStyle="1" w:styleId="Title2">
    <w:name w:val="Title 2"/>
    <w:basedOn w:val="HeadingBase"/>
    <w:rsid w:val="0051534E"/>
    <w:pPr>
      <w:spacing w:after="600"/>
      <w:jc w:val="right"/>
    </w:pPr>
    <w:rPr>
      <w:color w:val="A32035"/>
      <w:sz w:val="36"/>
      <w:szCs w:val="36"/>
    </w:rPr>
  </w:style>
  <w:style w:type="paragraph" w:styleId="NormalIndent">
    <w:name w:val="Normal Indent"/>
    <w:basedOn w:val="Normal"/>
    <w:rsid w:val="0094674F"/>
    <w:pPr>
      <w:ind w:left="567"/>
    </w:pPr>
  </w:style>
  <w:style w:type="paragraph" w:styleId="ListNumber">
    <w:name w:val="List Number"/>
    <w:basedOn w:val="Normal"/>
    <w:rsid w:val="00E83190"/>
    <w:pPr>
      <w:tabs>
        <w:tab w:val="num" w:pos="1492"/>
      </w:tabs>
      <w:ind w:left="360" w:hanging="360"/>
    </w:pPr>
  </w:style>
  <w:style w:type="paragraph" w:customStyle="1" w:styleId="TableTextIndent">
    <w:name w:val="Table Text Indent"/>
    <w:basedOn w:val="TableTextBase"/>
    <w:rsid w:val="00E83190"/>
  </w:style>
  <w:style w:type="paragraph" w:styleId="Title">
    <w:name w:val="Title"/>
    <w:basedOn w:val="HeadingBase"/>
    <w:link w:val="TitleChar"/>
    <w:qFormat/>
    <w:rsid w:val="00811442"/>
    <w:pPr>
      <w:spacing w:after="1440"/>
      <w:jc w:val="right"/>
    </w:pPr>
    <w:rPr>
      <w:b/>
      <w:bCs/>
      <w:color w:val="A32035"/>
      <w:sz w:val="48"/>
      <w:szCs w:val="48"/>
    </w:rPr>
  </w:style>
  <w:style w:type="character" w:customStyle="1" w:styleId="TitleChar">
    <w:name w:val="Title Char"/>
    <w:basedOn w:val="DefaultParagraphFont"/>
    <w:link w:val="Title"/>
    <w:rsid w:val="00811442"/>
    <w:rPr>
      <w:rFonts w:ascii="Calibri" w:eastAsia="Times New Roman" w:hAnsi="Calibri" w:cs="Times New Roman"/>
      <w:b/>
      <w:bCs/>
      <w:color w:val="A32035"/>
      <w:sz w:val="48"/>
      <w:szCs w:val="48"/>
      <w:lang w:eastAsia="en-AU"/>
    </w:rPr>
  </w:style>
  <w:style w:type="paragraph" w:styleId="MacroText">
    <w:name w:val="macro"/>
    <w:link w:val="MacroTextChar"/>
    <w:rsid w:val="0094674F"/>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rsid w:val="00E83190"/>
    <w:rPr>
      <w:rFonts w:ascii="Courier New" w:eastAsia="Times New Roman" w:hAnsi="Courier New" w:cs="Courier New"/>
      <w:color w:val="000000"/>
      <w:sz w:val="20"/>
      <w:szCs w:val="20"/>
      <w:lang w:eastAsia="en-AU"/>
    </w:rPr>
  </w:style>
  <w:style w:type="paragraph" w:customStyle="1" w:styleId="Classification">
    <w:name w:val="Classification"/>
    <w:basedOn w:val="HeadingBase"/>
    <w:next w:val="Footer"/>
    <w:rsid w:val="0094674F"/>
    <w:pPr>
      <w:spacing w:after="120"/>
      <w:jc w:val="center"/>
    </w:pPr>
    <w:rPr>
      <w:b/>
      <w:smallCaps/>
    </w:rPr>
  </w:style>
  <w:style w:type="paragraph" w:customStyle="1" w:styleId="TableTextColumnHeadingCentre">
    <w:name w:val="Table Text Column Heading Centre"/>
    <w:basedOn w:val="TableTextBase"/>
    <w:rsid w:val="00E83190"/>
  </w:style>
  <w:style w:type="paragraph" w:customStyle="1" w:styleId="Normalbold">
    <w:name w:val="Normal bold"/>
    <w:basedOn w:val="Normal"/>
    <w:rsid w:val="00E83190"/>
    <w:rPr>
      <w:b/>
      <w:bCs/>
    </w:rPr>
  </w:style>
  <w:style w:type="paragraph" w:styleId="NoteHeading">
    <w:name w:val="Note Heading"/>
    <w:basedOn w:val="HeadingBase"/>
    <w:next w:val="Normal"/>
    <w:link w:val="NoteHeadingChar"/>
    <w:rsid w:val="00E83190"/>
    <w:rPr>
      <w:color w:val="000000"/>
      <w:sz w:val="16"/>
      <w:szCs w:val="16"/>
    </w:rPr>
  </w:style>
  <w:style w:type="character" w:customStyle="1" w:styleId="NoteHeadingChar">
    <w:name w:val="Note Heading Char"/>
    <w:basedOn w:val="DefaultParagraphFont"/>
    <w:link w:val="NoteHeading"/>
    <w:rsid w:val="00E83190"/>
    <w:rPr>
      <w:rFonts w:ascii="Calibri" w:eastAsia="Times New Roman" w:hAnsi="Calibri" w:cs="Times New Roman"/>
      <w:color w:val="000000"/>
      <w:sz w:val="16"/>
      <w:szCs w:val="16"/>
      <w:lang w:eastAsia="en-AU"/>
    </w:rPr>
  </w:style>
  <w:style w:type="paragraph" w:customStyle="1" w:styleId="ChapterHeaderTitle">
    <w:name w:val="Chapter Header Title"/>
    <w:basedOn w:val="HeadingBase"/>
    <w:rsid w:val="00E83190"/>
    <w:pPr>
      <w:spacing w:before="284" w:after="113"/>
    </w:pPr>
    <w:rPr>
      <w:color w:val="FFFFFF"/>
      <w:sz w:val="48"/>
      <w:szCs w:val="48"/>
    </w:rPr>
  </w:style>
  <w:style w:type="paragraph" w:customStyle="1" w:styleId="ChapterHeaderNo">
    <w:name w:val="Chapter Header No"/>
    <w:basedOn w:val="Header"/>
    <w:rsid w:val="00E83190"/>
    <w:pPr>
      <w:jc w:val="center"/>
    </w:pPr>
    <w:rPr>
      <w:rFonts w:ascii="Arial Bold" w:hAnsi="Arial Bold" w:cs="Arial Bold"/>
      <w:b/>
      <w:bCs/>
      <w:sz w:val="32"/>
      <w:szCs w:val="32"/>
    </w:rPr>
  </w:style>
  <w:style w:type="paragraph" w:customStyle="1" w:styleId="Contents">
    <w:name w:val="Contents"/>
    <w:basedOn w:val="Normal"/>
    <w:next w:val="TOC1"/>
    <w:rsid w:val="00E83190"/>
    <w:pPr>
      <w:keepNext/>
      <w:spacing w:after="120" w:line="240" w:lineRule="auto"/>
    </w:pPr>
    <w:rPr>
      <w:rFonts w:ascii="Arial Bold" w:hAnsi="Arial Bold" w:cs="Arial Bold"/>
      <w:b/>
      <w:bCs/>
      <w:smallCaps/>
      <w:color w:val="333192"/>
      <w:sz w:val="36"/>
      <w:szCs w:val="36"/>
    </w:rPr>
  </w:style>
  <w:style w:type="paragraph" w:styleId="BodyText3">
    <w:name w:val="Body Text 3"/>
    <w:basedOn w:val="Normal"/>
    <w:link w:val="BodyText3Char"/>
    <w:rsid w:val="00E83190"/>
  </w:style>
  <w:style w:type="character" w:customStyle="1" w:styleId="BodyText3Char">
    <w:name w:val="Body Text 3 Char"/>
    <w:basedOn w:val="DefaultParagraphFont"/>
    <w:link w:val="BodyText3"/>
    <w:rsid w:val="00E83190"/>
    <w:rPr>
      <w:rFonts w:eastAsia="Times New Roman" w:cs="Times New Roman"/>
      <w:color w:val="000000"/>
      <w:sz w:val="20"/>
      <w:szCs w:val="20"/>
      <w:lang w:eastAsia="en-AU"/>
    </w:rPr>
  </w:style>
  <w:style w:type="paragraph" w:customStyle="1" w:styleId="ChapterNo">
    <w:name w:val="Chapter No"/>
    <w:basedOn w:val="HeadingBase"/>
    <w:next w:val="Heading1"/>
    <w:rsid w:val="00E83190"/>
    <w:pPr>
      <w:pBdr>
        <w:bottom w:val="single" w:sz="4" w:space="1" w:color="auto"/>
      </w:pBdr>
    </w:pPr>
    <w:rPr>
      <w:caps/>
      <w:color w:val="000000"/>
      <w:sz w:val="16"/>
      <w:szCs w:val="16"/>
    </w:rPr>
  </w:style>
  <w:style w:type="paragraph" w:styleId="DocumentMap">
    <w:name w:val="Document Map"/>
    <w:basedOn w:val="Normal"/>
    <w:link w:val="DocumentMapChar"/>
    <w:rsid w:val="0094674F"/>
    <w:pPr>
      <w:shd w:val="clear" w:color="auto" w:fill="000080"/>
    </w:pPr>
    <w:rPr>
      <w:rFonts w:ascii="Tahoma" w:hAnsi="Tahoma" w:cs="Tahoma"/>
    </w:rPr>
  </w:style>
  <w:style w:type="character" w:customStyle="1" w:styleId="DocumentMapChar">
    <w:name w:val="Document Map Char"/>
    <w:basedOn w:val="DefaultParagraphFont"/>
    <w:link w:val="DocumentMap"/>
    <w:rsid w:val="00E83190"/>
    <w:rPr>
      <w:rFonts w:ascii="Tahoma" w:eastAsia="Times New Roman" w:hAnsi="Tahoma" w:cs="Tahoma"/>
      <w:color w:val="000000"/>
      <w:sz w:val="20"/>
      <w:szCs w:val="20"/>
      <w:shd w:val="clear" w:color="auto" w:fill="000080"/>
      <w:lang w:eastAsia="en-AU"/>
    </w:rPr>
  </w:style>
  <w:style w:type="paragraph" w:customStyle="1" w:styleId="AlphaParagraph">
    <w:name w:val="Alpha Paragraph"/>
    <w:basedOn w:val="Normal"/>
    <w:rsid w:val="0094674F"/>
    <w:pPr>
      <w:numPr>
        <w:numId w:val="4"/>
      </w:numPr>
      <w:tabs>
        <w:tab w:val="clear" w:pos="1134"/>
        <w:tab w:val="num" w:pos="360"/>
      </w:tabs>
      <w:ind w:left="0" w:firstLine="0"/>
    </w:pPr>
  </w:style>
  <w:style w:type="paragraph" w:customStyle="1" w:styleId="AppendixHeading">
    <w:name w:val="Appendix Heading"/>
    <w:basedOn w:val="HeadingBase"/>
    <w:next w:val="Normal"/>
    <w:rsid w:val="0094674F"/>
    <w:pPr>
      <w:spacing w:before="720" w:after="360"/>
    </w:pPr>
    <w:rPr>
      <w:b/>
      <w:smallCaps/>
      <w:sz w:val="36"/>
      <w:szCs w:val="36"/>
    </w:rPr>
  </w:style>
  <w:style w:type="character" w:customStyle="1" w:styleId="Bold">
    <w:name w:val="Bold"/>
    <w:basedOn w:val="DefaultParagraphFont"/>
    <w:rsid w:val="0094674F"/>
    <w:rPr>
      <w:b/>
    </w:rPr>
  </w:style>
  <w:style w:type="paragraph" w:customStyle="1" w:styleId="BoxHeading">
    <w:name w:val="Box Heading"/>
    <w:basedOn w:val="CaseStudyHeading"/>
    <w:next w:val="BoxText"/>
    <w:rsid w:val="0075316F"/>
  </w:style>
  <w:style w:type="paragraph" w:customStyle="1" w:styleId="BoxTextBase">
    <w:name w:val="Box Text Base"/>
    <w:basedOn w:val="Normal"/>
    <w:rsid w:val="0094674F"/>
    <w:pPr>
      <w:spacing w:line="240" w:lineRule="auto"/>
    </w:pPr>
    <w:rPr>
      <w:color w:val="FFFFFF" w:themeColor="background1"/>
    </w:rPr>
  </w:style>
  <w:style w:type="paragraph" w:customStyle="1" w:styleId="ChartMainHeading">
    <w:name w:val="Chart Main Heading"/>
    <w:basedOn w:val="HeadingBase"/>
    <w:next w:val="ChartGraphic"/>
    <w:rsid w:val="0094674F"/>
    <w:pPr>
      <w:keepNext/>
      <w:spacing w:before="170" w:after="113"/>
    </w:pPr>
    <w:rPr>
      <w:b/>
      <w:sz w:val="22"/>
    </w:rPr>
  </w:style>
  <w:style w:type="paragraph" w:customStyle="1" w:styleId="ChartorTableNote">
    <w:name w:val="Chart or Table Note"/>
    <w:next w:val="Normal"/>
    <w:rsid w:val="00AF5EA5"/>
    <w:pPr>
      <w:spacing w:after="240" w:line="240" w:lineRule="auto"/>
      <w:contextualSpacing/>
      <w:jc w:val="both"/>
    </w:pPr>
    <w:rPr>
      <w:rFonts w:ascii="Arial" w:eastAsia="Times New Roman" w:hAnsi="Arial" w:cs="Times New Roman"/>
      <w:color w:val="000000"/>
      <w:sz w:val="16"/>
      <w:szCs w:val="20"/>
      <w:lang w:eastAsia="en-AU"/>
    </w:rPr>
  </w:style>
  <w:style w:type="paragraph" w:customStyle="1" w:styleId="FooterCentered">
    <w:name w:val="Footer Centered"/>
    <w:basedOn w:val="Footer"/>
    <w:rsid w:val="0094674F"/>
    <w:pPr>
      <w:jc w:val="center"/>
    </w:pPr>
  </w:style>
  <w:style w:type="paragraph" w:customStyle="1" w:styleId="RecommendationHeading">
    <w:name w:val="Recommendation Heading"/>
    <w:basedOn w:val="HeadingBase"/>
    <w:next w:val="RecommendationText"/>
    <w:rsid w:val="0094674F"/>
    <w:pPr>
      <w:spacing w:after="240"/>
    </w:pPr>
    <w:rPr>
      <w:b/>
      <w:sz w:val="22"/>
    </w:rPr>
  </w:style>
  <w:style w:type="paragraph" w:customStyle="1" w:styleId="RecommendationBaseText">
    <w:name w:val="Recommendation Base Text"/>
    <w:basedOn w:val="Normal"/>
    <w:rsid w:val="0094674F"/>
    <w:rPr>
      <w:rFonts w:ascii="Calibri" w:hAnsi="Calibri"/>
    </w:rPr>
  </w:style>
  <w:style w:type="paragraph" w:customStyle="1" w:styleId="RecommendationText">
    <w:name w:val="Recommendation Text"/>
    <w:basedOn w:val="RecommendationBaseText"/>
    <w:rsid w:val="0094674F"/>
    <w:rPr>
      <w:rFonts w:asciiTheme="minorHAnsi" w:hAnsiTheme="minorHAnsi"/>
    </w:rPr>
  </w:style>
  <w:style w:type="paragraph" w:customStyle="1" w:styleId="TableColumnHeadingCentred">
    <w:name w:val="Table Column Heading Centred"/>
    <w:basedOn w:val="TableTextBase"/>
    <w:rsid w:val="006F478A"/>
    <w:pPr>
      <w:jc w:val="center"/>
    </w:pPr>
    <w:rPr>
      <w:rFonts w:ascii="Arial" w:hAnsi="Arial"/>
      <w:b/>
      <w:color w:val="FFFFFF" w:themeColor="background1"/>
    </w:rPr>
  </w:style>
  <w:style w:type="paragraph" w:customStyle="1" w:styleId="TableColumnHeadingLeft">
    <w:name w:val="Table Column Heading Left"/>
    <w:basedOn w:val="TableColumnHeadingCentred-White"/>
    <w:rsid w:val="006F478A"/>
    <w:pPr>
      <w:jc w:val="left"/>
    </w:pPr>
  </w:style>
  <w:style w:type="paragraph" w:customStyle="1" w:styleId="TableColumnHeadingRight">
    <w:name w:val="Table Column Heading Right"/>
    <w:basedOn w:val="TableColumnHeadingCentred-Black"/>
    <w:rsid w:val="00204420"/>
    <w:pPr>
      <w:jc w:val="right"/>
    </w:pPr>
  </w:style>
  <w:style w:type="paragraph" w:customStyle="1" w:styleId="TableMainHeading">
    <w:name w:val="Table Main Heading"/>
    <w:basedOn w:val="HeadingBase"/>
    <w:next w:val="TableGraphic"/>
    <w:rsid w:val="0094674F"/>
    <w:pPr>
      <w:keepNext/>
      <w:spacing w:before="170" w:after="113"/>
    </w:pPr>
    <w:rPr>
      <w:b/>
      <w:sz w:val="22"/>
    </w:rPr>
  </w:style>
  <w:style w:type="paragraph" w:customStyle="1" w:styleId="TableMainHeadingContd">
    <w:name w:val="Table Main Heading Contd"/>
    <w:basedOn w:val="HeadingBase"/>
    <w:next w:val="TableGraphic"/>
    <w:rsid w:val="004046AA"/>
    <w:pPr>
      <w:keepNext/>
      <w:spacing w:after="20"/>
    </w:pPr>
    <w:rPr>
      <w:b/>
      <w:color w:val="A32035"/>
      <w:sz w:val="22"/>
    </w:rPr>
  </w:style>
  <w:style w:type="paragraph" w:customStyle="1" w:styleId="TableSecondHeading">
    <w:name w:val="Table Second Heading"/>
    <w:basedOn w:val="HeadingBase"/>
    <w:next w:val="TableGraphic"/>
    <w:rsid w:val="0094674F"/>
    <w:pPr>
      <w:keepNext/>
      <w:spacing w:after="20"/>
    </w:pPr>
  </w:style>
  <w:style w:type="paragraph" w:customStyle="1" w:styleId="TableTextCentered">
    <w:name w:val="Table Text Centered"/>
    <w:basedOn w:val="TableTextBase"/>
    <w:rsid w:val="0094674F"/>
    <w:pPr>
      <w:jc w:val="center"/>
    </w:pPr>
  </w:style>
  <w:style w:type="paragraph" w:customStyle="1" w:styleId="TableTextIndented">
    <w:name w:val="Table Text Indented"/>
    <w:basedOn w:val="TableTextBase"/>
    <w:rsid w:val="0094674F"/>
    <w:pPr>
      <w:ind w:left="284"/>
    </w:pPr>
  </w:style>
  <w:style w:type="character" w:customStyle="1" w:styleId="Italic">
    <w:name w:val="Italic"/>
    <w:basedOn w:val="DefaultParagraphFont"/>
    <w:rsid w:val="0094674F"/>
    <w:rPr>
      <w:i/>
    </w:rPr>
  </w:style>
  <w:style w:type="paragraph" w:customStyle="1" w:styleId="OneLevelNumberedParagraph">
    <w:name w:val="One Level Numbered Paragraph"/>
    <w:basedOn w:val="Normal"/>
    <w:rsid w:val="0094674F"/>
    <w:pPr>
      <w:numPr>
        <w:numId w:val="6"/>
      </w:numPr>
    </w:pPr>
  </w:style>
  <w:style w:type="paragraph" w:customStyle="1" w:styleId="BoxText">
    <w:name w:val="Box Text"/>
    <w:basedOn w:val="BoxTextBase"/>
    <w:rsid w:val="0094674F"/>
  </w:style>
  <w:style w:type="paragraph" w:customStyle="1" w:styleId="BoxBullet">
    <w:name w:val="Box Bullet"/>
    <w:basedOn w:val="BoxTextBase"/>
    <w:rsid w:val="0094674F"/>
    <w:pPr>
      <w:numPr>
        <w:numId w:val="5"/>
      </w:numPr>
    </w:pPr>
  </w:style>
  <w:style w:type="paragraph" w:customStyle="1" w:styleId="BoxDash">
    <w:name w:val="Box Dash"/>
    <w:basedOn w:val="Normal"/>
    <w:rsid w:val="0094674F"/>
    <w:pPr>
      <w:numPr>
        <w:ilvl w:val="1"/>
        <w:numId w:val="5"/>
      </w:numPr>
    </w:pPr>
    <w:rPr>
      <w:color w:val="FFFFFF" w:themeColor="background1"/>
    </w:rPr>
  </w:style>
  <w:style w:type="paragraph" w:customStyle="1" w:styleId="BoxDoubleDot">
    <w:name w:val="Box Double Dot"/>
    <w:basedOn w:val="BoxTextBase"/>
    <w:rsid w:val="0094674F"/>
    <w:pPr>
      <w:numPr>
        <w:ilvl w:val="2"/>
        <w:numId w:val="5"/>
      </w:numPr>
    </w:pPr>
  </w:style>
  <w:style w:type="paragraph" w:customStyle="1" w:styleId="RecommendationBullet">
    <w:name w:val="Recommendation Bullet"/>
    <w:basedOn w:val="RecommendationBaseText"/>
    <w:rsid w:val="0094674F"/>
    <w:pPr>
      <w:numPr>
        <w:numId w:val="7"/>
      </w:numPr>
    </w:pPr>
  </w:style>
  <w:style w:type="paragraph" w:customStyle="1" w:styleId="RecommendationDash">
    <w:name w:val="Recommendation Dash"/>
    <w:basedOn w:val="RecommendationBaseText"/>
    <w:rsid w:val="0094674F"/>
    <w:pPr>
      <w:numPr>
        <w:ilvl w:val="1"/>
        <w:numId w:val="7"/>
      </w:numPr>
    </w:pPr>
  </w:style>
  <w:style w:type="paragraph" w:customStyle="1" w:styleId="RecommendationDoubleDot">
    <w:name w:val="Recommendation Double Dot"/>
    <w:basedOn w:val="RecommendationBaseText"/>
    <w:rsid w:val="0094674F"/>
    <w:pPr>
      <w:numPr>
        <w:ilvl w:val="2"/>
        <w:numId w:val="7"/>
      </w:numPr>
    </w:pPr>
  </w:style>
  <w:style w:type="character" w:customStyle="1" w:styleId="Boldanditalic">
    <w:name w:val="Bold and italic"/>
    <w:basedOn w:val="DefaultParagraphFont"/>
    <w:rsid w:val="0094674F"/>
    <w:rPr>
      <w:b/>
      <w:i/>
    </w:rPr>
  </w:style>
  <w:style w:type="paragraph" w:styleId="Caption">
    <w:name w:val="caption"/>
    <w:basedOn w:val="Normal"/>
    <w:next w:val="Normal"/>
    <w:qFormat/>
    <w:rsid w:val="0094674F"/>
    <w:pPr>
      <w:spacing w:before="120" w:after="120"/>
    </w:pPr>
    <w:rPr>
      <w:b/>
      <w:bCs/>
    </w:rPr>
  </w:style>
  <w:style w:type="character" w:styleId="CommentReference">
    <w:name w:val="annotation reference"/>
    <w:basedOn w:val="DefaultParagraphFont"/>
    <w:uiPriority w:val="99"/>
    <w:rsid w:val="0094674F"/>
    <w:rPr>
      <w:sz w:val="16"/>
      <w:szCs w:val="16"/>
    </w:rPr>
  </w:style>
  <w:style w:type="paragraph" w:styleId="CommentText">
    <w:name w:val="annotation text"/>
    <w:basedOn w:val="Normal"/>
    <w:link w:val="CommentTextChar"/>
    <w:uiPriority w:val="99"/>
    <w:rsid w:val="0094674F"/>
  </w:style>
  <w:style w:type="character" w:customStyle="1" w:styleId="CommentTextChar">
    <w:name w:val="Comment Text Char"/>
    <w:basedOn w:val="DefaultParagraphFont"/>
    <w:link w:val="CommentText"/>
    <w:uiPriority w:val="99"/>
    <w:rsid w:val="00E83190"/>
    <w:rPr>
      <w:rFonts w:eastAsia="Times New Roman" w:cs="Times New Roman"/>
      <w:color w:val="000000"/>
      <w:sz w:val="20"/>
      <w:szCs w:val="20"/>
      <w:lang w:eastAsia="en-AU"/>
    </w:rPr>
  </w:style>
  <w:style w:type="paragraph" w:styleId="CommentSubject">
    <w:name w:val="annotation subject"/>
    <w:basedOn w:val="CommentText"/>
    <w:next w:val="CommentText"/>
    <w:link w:val="CommentSubjectChar"/>
    <w:rsid w:val="0094674F"/>
    <w:rPr>
      <w:b/>
      <w:bCs/>
    </w:rPr>
  </w:style>
  <w:style w:type="character" w:customStyle="1" w:styleId="CommentSubjectChar">
    <w:name w:val="Comment Subject Char"/>
    <w:basedOn w:val="CommentTextChar"/>
    <w:link w:val="CommentSubject"/>
    <w:rsid w:val="00E83190"/>
    <w:rPr>
      <w:rFonts w:eastAsia="Times New Roman" w:cs="Times New Roman"/>
      <w:b/>
      <w:bCs/>
      <w:color w:val="000000"/>
      <w:sz w:val="20"/>
      <w:szCs w:val="20"/>
      <w:lang w:eastAsia="en-AU"/>
    </w:rPr>
  </w:style>
  <w:style w:type="character" w:styleId="EndnoteReference">
    <w:name w:val="endnote reference"/>
    <w:basedOn w:val="DefaultParagraphFont"/>
    <w:rsid w:val="0094674F"/>
    <w:rPr>
      <w:vertAlign w:val="superscript"/>
    </w:rPr>
  </w:style>
  <w:style w:type="paragraph" w:styleId="EndnoteText">
    <w:name w:val="endnote text"/>
    <w:basedOn w:val="Normal"/>
    <w:link w:val="EndnoteTextChar"/>
    <w:rsid w:val="0094674F"/>
  </w:style>
  <w:style w:type="character" w:customStyle="1" w:styleId="EndnoteTextChar">
    <w:name w:val="Endnote Text Char"/>
    <w:basedOn w:val="DefaultParagraphFont"/>
    <w:link w:val="EndnoteText"/>
    <w:rsid w:val="00E83190"/>
    <w:rPr>
      <w:rFonts w:eastAsia="Times New Roman" w:cs="Times New Roman"/>
      <w:color w:val="000000"/>
      <w:sz w:val="20"/>
      <w:szCs w:val="20"/>
      <w:lang w:eastAsia="en-AU"/>
    </w:rPr>
  </w:style>
  <w:style w:type="paragraph" w:styleId="Index4">
    <w:name w:val="index 4"/>
    <w:basedOn w:val="Normal"/>
    <w:next w:val="Normal"/>
    <w:autoRedefine/>
    <w:rsid w:val="0094674F"/>
    <w:pPr>
      <w:ind w:left="800" w:hanging="200"/>
    </w:pPr>
  </w:style>
  <w:style w:type="paragraph" w:styleId="Index5">
    <w:name w:val="index 5"/>
    <w:basedOn w:val="Normal"/>
    <w:next w:val="Normal"/>
    <w:autoRedefine/>
    <w:rsid w:val="0094674F"/>
    <w:pPr>
      <w:ind w:left="1000" w:hanging="200"/>
    </w:pPr>
  </w:style>
  <w:style w:type="paragraph" w:styleId="Index6">
    <w:name w:val="index 6"/>
    <w:basedOn w:val="Normal"/>
    <w:next w:val="Normal"/>
    <w:autoRedefine/>
    <w:rsid w:val="0094674F"/>
    <w:pPr>
      <w:ind w:left="1200" w:hanging="200"/>
    </w:pPr>
  </w:style>
  <w:style w:type="paragraph" w:styleId="Index7">
    <w:name w:val="index 7"/>
    <w:basedOn w:val="Normal"/>
    <w:next w:val="Normal"/>
    <w:autoRedefine/>
    <w:rsid w:val="0094674F"/>
    <w:pPr>
      <w:ind w:left="1400" w:hanging="200"/>
    </w:pPr>
  </w:style>
  <w:style w:type="paragraph" w:styleId="Index8">
    <w:name w:val="index 8"/>
    <w:basedOn w:val="Normal"/>
    <w:next w:val="Normal"/>
    <w:autoRedefine/>
    <w:rsid w:val="0094674F"/>
    <w:pPr>
      <w:ind w:left="1600" w:hanging="200"/>
    </w:pPr>
  </w:style>
  <w:style w:type="paragraph" w:styleId="Index9">
    <w:name w:val="index 9"/>
    <w:basedOn w:val="Normal"/>
    <w:next w:val="Normal"/>
    <w:autoRedefine/>
    <w:rsid w:val="0094674F"/>
    <w:pPr>
      <w:ind w:left="1800" w:hanging="200"/>
    </w:pPr>
  </w:style>
  <w:style w:type="paragraph" w:styleId="TableofAuthorities">
    <w:name w:val="table of authorities"/>
    <w:basedOn w:val="Normal"/>
    <w:next w:val="Normal"/>
    <w:rsid w:val="0094674F"/>
    <w:pPr>
      <w:ind w:left="200" w:hanging="200"/>
    </w:pPr>
  </w:style>
  <w:style w:type="paragraph" w:styleId="TableofFigures">
    <w:name w:val="table of figures"/>
    <w:basedOn w:val="Normal"/>
    <w:next w:val="Normal"/>
    <w:rsid w:val="0094674F"/>
    <w:pPr>
      <w:ind w:left="400" w:hanging="400"/>
    </w:pPr>
  </w:style>
  <w:style w:type="paragraph" w:styleId="TOAHeading">
    <w:name w:val="toa heading"/>
    <w:basedOn w:val="Normal"/>
    <w:next w:val="Normal"/>
    <w:rsid w:val="0094674F"/>
    <w:pPr>
      <w:spacing w:before="120"/>
    </w:pPr>
    <w:rPr>
      <w:rFonts w:ascii="Calibri" w:hAnsi="Calibri" w:cs="Arial"/>
      <w:b/>
      <w:bCs/>
      <w:sz w:val="24"/>
      <w:szCs w:val="24"/>
    </w:rPr>
  </w:style>
  <w:style w:type="paragraph" w:customStyle="1" w:styleId="AppendixAHeading3">
    <w:name w:val="AppendixAHeading3"/>
    <w:basedOn w:val="Heading3"/>
    <w:next w:val="AppendixAHeading4"/>
    <w:rsid w:val="0094674F"/>
    <w:pPr>
      <w:numPr>
        <w:numId w:val="10"/>
      </w:numPr>
    </w:pPr>
    <w:rPr>
      <w:i/>
    </w:rPr>
  </w:style>
  <w:style w:type="paragraph" w:customStyle="1" w:styleId="AppendixAHeading4">
    <w:name w:val="AppendixAHeading4"/>
    <w:basedOn w:val="Heading4"/>
    <w:next w:val="Bullet"/>
    <w:rsid w:val="0094674F"/>
    <w:pPr>
      <w:numPr>
        <w:ilvl w:val="1"/>
        <w:numId w:val="11"/>
      </w:numPr>
    </w:pPr>
  </w:style>
  <w:style w:type="paragraph" w:customStyle="1" w:styleId="AppendixGHeading3">
    <w:name w:val="AppendixGHeading3"/>
    <w:basedOn w:val="Heading3"/>
    <w:rsid w:val="0094674F"/>
    <w:pPr>
      <w:numPr>
        <w:numId w:val="9"/>
      </w:numPr>
    </w:pPr>
  </w:style>
  <w:style w:type="paragraph" w:customStyle="1" w:styleId="Heading3TOC">
    <w:name w:val="Heading 3 TOC"/>
    <w:basedOn w:val="Heading3"/>
    <w:rsid w:val="00E83190"/>
  </w:style>
  <w:style w:type="character" w:customStyle="1" w:styleId="HeadingBaseChar">
    <w:name w:val="Heading Base Char"/>
    <w:link w:val="HeadingBase"/>
    <w:locked/>
    <w:rsid w:val="00E83190"/>
    <w:rPr>
      <w:rFonts w:ascii="Calibri" w:eastAsia="Times New Roman" w:hAnsi="Calibri" w:cs="Times New Roman"/>
      <w:color w:val="003E74"/>
      <w:sz w:val="20"/>
      <w:szCs w:val="20"/>
      <w:lang w:eastAsia="en-AU"/>
    </w:rPr>
  </w:style>
  <w:style w:type="paragraph" w:customStyle="1" w:styleId="CharCharCharCharCharChar">
    <w:name w:val="Char Char Char Char Char Char"/>
    <w:basedOn w:val="Normal"/>
    <w:rsid w:val="00E83190"/>
    <w:pPr>
      <w:spacing w:after="160" w:line="240" w:lineRule="exact"/>
    </w:pPr>
    <w:rPr>
      <w:rFonts w:ascii="Verdana" w:hAnsi="Verdana"/>
      <w:szCs w:val="24"/>
      <w:lang w:val="en-US"/>
    </w:rPr>
  </w:style>
  <w:style w:type="table" w:styleId="TableGrid">
    <w:name w:val="Table Grid"/>
    <w:basedOn w:val="TableNormal"/>
    <w:uiPriority w:val="59"/>
    <w:rsid w:val="00E83190"/>
    <w:pPr>
      <w:spacing w:after="240" w:line="260" w:lineRule="exact"/>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oTOC">
    <w:name w:val="Heading 3 no TOC"/>
    <w:basedOn w:val="Heading3"/>
    <w:rsid w:val="0094674F"/>
    <w:pPr>
      <w:outlineLvl w:val="9"/>
    </w:pPr>
  </w:style>
  <w:style w:type="character" w:styleId="FollowedHyperlink">
    <w:name w:val="FollowedHyperlink"/>
    <w:basedOn w:val="DefaultParagraphFont"/>
    <w:rsid w:val="0094674F"/>
    <w:rPr>
      <w:color w:val="000000"/>
      <w:u w:val="none"/>
    </w:rPr>
  </w:style>
  <w:style w:type="paragraph" w:customStyle="1" w:styleId="Style1">
    <w:name w:val="Style1"/>
    <w:basedOn w:val="AppendixAHeading3"/>
    <w:next w:val="AppendixAHeading4"/>
    <w:rsid w:val="0094674F"/>
    <w:pPr>
      <w:numPr>
        <w:numId w:val="0"/>
      </w:numPr>
    </w:pPr>
  </w:style>
  <w:style w:type="paragraph" w:customStyle="1" w:styleId="AppendixAHeading3NotItalic">
    <w:name w:val="AppendixAHeading3NotItalic"/>
    <w:basedOn w:val="HeadingBase"/>
    <w:next w:val="AppendixAHeading4"/>
    <w:rsid w:val="0094674F"/>
    <w:pPr>
      <w:numPr>
        <w:numId w:val="11"/>
      </w:numPr>
      <w:spacing w:before="57" w:after="57" w:line="280" w:lineRule="exact"/>
    </w:pPr>
    <w:rPr>
      <w:b/>
      <w:sz w:val="24"/>
    </w:rPr>
  </w:style>
  <w:style w:type="paragraph" w:customStyle="1" w:styleId="CharChar1Char">
    <w:name w:val="Char Char1 Char"/>
    <w:basedOn w:val="Normal"/>
    <w:rsid w:val="00E83190"/>
    <w:pPr>
      <w:spacing w:after="160" w:line="240" w:lineRule="exact"/>
    </w:pPr>
    <w:rPr>
      <w:rFonts w:ascii="Arial" w:hAnsi="Arial"/>
      <w:lang w:val="en-GB"/>
    </w:rPr>
  </w:style>
  <w:style w:type="paragraph" w:customStyle="1" w:styleId="Heading2noTOC">
    <w:name w:val="Heading 2 no TOC"/>
    <w:basedOn w:val="Heading2"/>
    <w:next w:val="Normal"/>
    <w:rsid w:val="007D2B54"/>
    <w:pPr>
      <w:outlineLvl w:val="9"/>
    </w:pPr>
  </w:style>
  <w:style w:type="paragraph" w:customStyle="1" w:styleId="Heading9noTOC">
    <w:name w:val="Heading 9 no TOC"/>
    <w:basedOn w:val="Heading9"/>
    <w:rsid w:val="0094674F"/>
    <w:pPr>
      <w:outlineLvl w:val="9"/>
    </w:pPr>
  </w:style>
  <w:style w:type="paragraph" w:styleId="NormalWeb">
    <w:name w:val="Normal (Web)"/>
    <w:basedOn w:val="Normal"/>
    <w:uiPriority w:val="99"/>
    <w:rsid w:val="0094674F"/>
    <w:rPr>
      <w:rFonts w:ascii="Times New Roman" w:hAnsi="Times New Roman"/>
      <w:sz w:val="24"/>
      <w:szCs w:val="24"/>
    </w:rPr>
  </w:style>
  <w:style w:type="character" w:styleId="IntenseEmphasis">
    <w:name w:val="Intense Emphasis"/>
    <w:basedOn w:val="DefaultParagraphFont"/>
    <w:uiPriority w:val="21"/>
    <w:qFormat/>
    <w:rsid w:val="0094674F"/>
    <w:rPr>
      <w:b/>
      <w:bCs/>
      <w:i/>
      <w:iCs/>
      <w:color w:val="003E74"/>
    </w:rPr>
  </w:style>
  <w:style w:type="paragraph" w:styleId="IntenseQuote">
    <w:name w:val="Intense Quote"/>
    <w:basedOn w:val="Normal"/>
    <w:next w:val="Normal"/>
    <w:link w:val="IntenseQuoteChar"/>
    <w:uiPriority w:val="30"/>
    <w:qFormat/>
    <w:rsid w:val="0094674F"/>
    <w:pPr>
      <w:pBdr>
        <w:bottom w:val="single" w:sz="4" w:space="4" w:color="A32035" w:themeColor="accent1"/>
      </w:pBdr>
      <w:spacing w:before="200" w:after="280"/>
      <w:ind w:left="936" w:right="936"/>
    </w:pPr>
    <w:rPr>
      <w:b/>
      <w:bCs/>
      <w:i/>
      <w:iCs/>
      <w:color w:val="003E74"/>
    </w:rPr>
  </w:style>
  <w:style w:type="character" w:customStyle="1" w:styleId="IntenseQuoteChar">
    <w:name w:val="Intense Quote Char"/>
    <w:basedOn w:val="DefaultParagraphFont"/>
    <w:link w:val="IntenseQuote"/>
    <w:uiPriority w:val="30"/>
    <w:rsid w:val="0094674F"/>
    <w:rPr>
      <w:rFonts w:eastAsia="Times New Roman" w:cs="Times New Roman"/>
      <w:b/>
      <w:bCs/>
      <w:i/>
      <w:iCs/>
      <w:color w:val="003E74"/>
      <w:sz w:val="20"/>
      <w:szCs w:val="20"/>
      <w:lang w:eastAsia="en-AU"/>
    </w:rPr>
  </w:style>
  <w:style w:type="paragraph" w:styleId="TOCHeading">
    <w:name w:val="TOC Heading"/>
    <w:basedOn w:val="Heading1"/>
    <w:next w:val="Normal"/>
    <w:uiPriority w:val="39"/>
    <w:unhideWhenUsed/>
    <w:qFormat/>
    <w:rsid w:val="0094674F"/>
    <w:pPr>
      <w:keepLines/>
      <w:spacing w:before="480" w:after="0" w:line="260" w:lineRule="exact"/>
      <w:jc w:val="both"/>
      <w:outlineLvl w:val="9"/>
    </w:pPr>
    <w:rPr>
      <w:rFonts w:asciiTheme="majorHAnsi" w:eastAsiaTheme="majorEastAsia" w:hAnsiTheme="majorHAnsi" w:cstheme="majorBidi"/>
      <w:kern w:val="0"/>
      <w:sz w:val="28"/>
      <w:szCs w:val="28"/>
    </w:rPr>
  </w:style>
  <w:style w:type="paragraph" w:styleId="Revision">
    <w:name w:val="Revision"/>
    <w:hidden/>
    <w:uiPriority w:val="99"/>
    <w:semiHidden/>
    <w:rsid w:val="00E83190"/>
    <w:pPr>
      <w:spacing w:after="0" w:line="240" w:lineRule="auto"/>
    </w:pPr>
    <w:rPr>
      <w:rFonts w:ascii="Book Antiqua" w:eastAsia="Times New Roman" w:hAnsi="Book Antiqua" w:cs="Times New Roman"/>
      <w:color w:val="000000"/>
      <w:sz w:val="20"/>
      <w:szCs w:val="20"/>
      <w:lang w:eastAsia="en-AU"/>
    </w:rPr>
  </w:style>
  <w:style w:type="character" w:customStyle="1" w:styleId="Italics">
    <w:name w:val="Italics"/>
    <w:basedOn w:val="DefaultParagraphFont"/>
    <w:rsid w:val="0094674F"/>
    <w:rPr>
      <w:i/>
    </w:rPr>
  </w:style>
  <w:style w:type="character" w:customStyle="1" w:styleId="A5">
    <w:name w:val="A5"/>
    <w:uiPriority w:val="99"/>
    <w:rsid w:val="0094674F"/>
    <w:rPr>
      <w:rFonts w:cs="Swiss 721 BT"/>
      <w:color w:val="000000"/>
      <w:sz w:val="20"/>
      <w:szCs w:val="20"/>
    </w:rPr>
  </w:style>
  <w:style w:type="character" w:styleId="Emphasis">
    <w:name w:val="Emphasis"/>
    <w:uiPriority w:val="20"/>
    <w:qFormat/>
    <w:rsid w:val="00E83190"/>
    <w:rPr>
      <w:i/>
      <w:iCs/>
    </w:rPr>
  </w:style>
  <w:style w:type="paragraph" w:customStyle="1" w:styleId="Table">
    <w:name w:val="Table"/>
    <w:basedOn w:val="Normal"/>
    <w:rsid w:val="0094674F"/>
  </w:style>
  <w:style w:type="paragraph" w:customStyle="1" w:styleId="StyleChartorTableNoteLeft0cmHanging1cm">
    <w:name w:val="Style Chart or Table Note + Left:  0 cm Hanging:  1 cm"/>
    <w:basedOn w:val="ChartorTableNote"/>
    <w:rsid w:val="00E83190"/>
    <w:pPr>
      <w:tabs>
        <w:tab w:val="left" w:pos="567"/>
      </w:tabs>
      <w:ind w:left="567" w:hanging="567"/>
    </w:pPr>
  </w:style>
  <w:style w:type="paragraph" w:customStyle="1" w:styleId="FootnoteTextBullet">
    <w:name w:val="Footnote Text Bullet"/>
    <w:basedOn w:val="FootnoteText"/>
    <w:rsid w:val="00E83190"/>
    <w:pPr>
      <w:numPr>
        <w:numId w:val="12"/>
      </w:numPr>
      <w:tabs>
        <w:tab w:val="clear" w:pos="284"/>
        <w:tab w:val="left" w:pos="567"/>
      </w:tabs>
      <w:ind w:left="568" w:hanging="284"/>
    </w:pPr>
  </w:style>
  <w:style w:type="paragraph" w:styleId="ListParagraph">
    <w:name w:val="List Paragraph"/>
    <w:basedOn w:val="Normal"/>
    <w:uiPriority w:val="34"/>
    <w:qFormat/>
    <w:rsid w:val="00E83190"/>
    <w:pPr>
      <w:ind w:left="720"/>
      <w:contextualSpacing/>
    </w:pPr>
  </w:style>
  <w:style w:type="paragraph" w:customStyle="1" w:styleId="Default">
    <w:name w:val="Default"/>
    <w:rsid w:val="00E83190"/>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DashChar">
    <w:name w:val="Dash Char"/>
    <w:basedOn w:val="DefaultParagraphFont"/>
    <w:link w:val="Dash"/>
    <w:rsid w:val="0075316F"/>
    <w:rPr>
      <w:rFonts w:ascii="Calibri" w:eastAsia="Times New Roman" w:hAnsi="Calibri" w:cs="Times New Roman"/>
      <w:color w:val="000000"/>
      <w:sz w:val="20"/>
      <w:szCs w:val="20"/>
      <w:lang w:eastAsia="en-AU"/>
    </w:rPr>
  </w:style>
  <w:style w:type="character" w:customStyle="1" w:styleId="DoubleDotChar">
    <w:name w:val="Double Dot Char"/>
    <w:basedOn w:val="DefaultParagraphFont"/>
    <w:link w:val="DoubleDot"/>
    <w:rsid w:val="00E83190"/>
    <w:rPr>
      <w:rFonts w:eastAsia="Times New Roman" w:cs="Times New Roman"/>
      <w:color w:val="000000"/>
      <w:sz w:val="20"/>
      <w:szCs w:val="20"/>
      <w:lang w:eastAsia="en-AU"/>
    </w:rPr>
  </w:style>
  <w:style w:type="character" w:customStyle="1" w:styleId="apple-converted-space">
    <w:name w:val="apple-converted-space"/>
    <w:basedOn w:val="DefaultParagraphFont"/>
    <w:rsid w:val="00E83190"/>
  </w:style>
  <w:style w:type="paragraph" w:customStyle="1" w:styleId="Circletext">
    <w:name w:val="Circle text"/>
    <w:basedOn w:val="BoxText"/>
    <w:qFormat/>
    <w:rsid w:val="0094674F"/>
    <w:rPr>
      <w:b/>
      <w:sz w:val="24"/>
    </w:rPr>
  </w:style>
  <w:style w:type="paragraph" w:styleId="PlainText">
    <w:name w:val="Plain Text"/>
    <w:basedOn w:val="Normal"/>
    <w:link w:val="PlainTextChar"/>
    <w:uiPriority w:val="99"/>
    <w:semiHidden/>
    <w:unhideWhenUsed/>
    <w:rsid w:val="00E8319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83190"/>
    <w:rPr>
      <w:rFonts w:ascii="Calibri" w:eastAsia="Times New Roman" w:hAnsi="Calibri" w:cs="Times New Roman"/>
      <w:color w:val="000000"/>
      <w:sz w:val="20"/>
      <w:szCs w:val="21"/>
      <w:lang w:eastAsia="en-AU"/>
    </w:rPr>
  </w:style>
  <w:style w:type="table" w:customStyle="1" w:styleId="TableGrid1">
    <w:name w:val="Table Grid1"/>
    <w:basedOn w:val="TableNormal"/>
    <w:next w:val="TableGrid"/>
    <w:rsid w:val="00E83190"/>
    <w:pPr>
      <w:spacing w:after="240" w:line="260" w:lineRule="exact"/>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BBulletpoint">
    <w:name w:val="FIRB Bullet point"/>
    <w:basedOn w:val="Bullet"/>
    <w:qFormat/>
    <w:rsid w:val="00E83190"/>
    <w:pPr>
      <w:spacing w:after="120"/>
    </w:pPr>
  </w:style>
  <w:style w:type="paragraph" w:customStyle="1" w:styleId="FIRBDash">
    <w:name w:val="FIRB Dash"/>
    <w:basedOn w:val="Dash"/>
    <w:qFormat/>
    <w:rsid w:val="00E83190"/>
    <w:pPr>
      <w:spacing w:after="120"/>
      <w:ind w:left="851"/>
    </w:pPr>
  </w:style>
  <w:style w:type="numbering" w:customStyle="1" w:styleId="BulletedList">
    <w:name w:val="Bulleted List"/>
    <w:uiPriority w:val="99"/>
    <w:rsid w:val="00CB54C2"/>
    <w:pPr>
      <w:numPr>
        <w:numId w:val="20"/>
      </w:numPr>
    </w:pPr>
  </w:style>
  <w:style w:type="table" w:customStyle="1" w:styleId="TableGrid2">
    <w:name w:val="Table Grid2"/>
    <w:basedOn w:val="TableNormal"/>
    <w:next w:val="TableGrid"/>
    <w:uiPriority w:val="59"/>
    <w:rsid w:val="00CB5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StudyHeading">
    <w:name w:val="Case Study Heading"/>
    <w:basedOn w:val="Normal"/>
    <w:rsid w:val="00503AF6"/>
    <w:pPr>
      <w:tabs>
        <w:tab w:val="left" w:pos="1418"/>
      </w:tabs>
      <w:spacing w:before="300" w:after="120" w:line="240" w:lineRule="auto"/>
      <w:jc w:val="center"/>
    </w:pPr>
    <w:rPr>
      <w:rFonts w:ascii="Calibri" w:hAnsi="Calibri"/>
      <w:b/>
      <w:color w:val="FFFFFF" w:themeColor="background1"/>
      <w:sz w:val="28"/>
      <w:szCs w:val="24"/>
    </w:rPr>
  </w:style>
  <w:style w:type="paragraph" w:customStyle="1" w:styleId="CaseStudyText">
    <w:name w:val="Case Study Text"/>
    <w:basedOn w:val="Normal"/>
    <w:rsid w:val="00503AF6"/>
    <w:pPr>
      <w:spacing w:after="120" w:line="240" w:lineRule="exact"/>
      <w:ind w:left="284" w:right="284"/>
    </w:pPr>
    <w:rPr>
      <w:rFonts w:ascii="Calibri" w:hAnsi="Calibri"/>
      <w:color w:val="FFFFFF" w:themeColor="background1"/>
    </w:rPr>
  </w:style>
  <w:style w:type="paragraph" w:customStyle="1" w:styleId="CaseStudyBullet">
    <w:name w:val="Case Study Bullet"/>
    <w:basedOn w:val="BoxBullet"/>
    <w:rsid w:val="0015450A"/>
    <w:pPr>
      <w:tabs>
        <w:tab w:val="left" w:pos="397"/>
      </w:tabs>
      <w:spacing w:after="120" w:line="240" w:lineRule="exact"/>
      <w:ind w:left="624" w:right="340" w:hanging="284"/>
    </w:pPr>
  </w:style>
  <w:style w:type="paragraph" w:customStyle="1" w:styleId="acthead5">
    <w:name w:val="acthead5"/>
    <w:basedOn w:val="Normal"/>
    <w:rsid w:val="005E073E"/>
    <w:pPr>
      <w:spacing w:before="100" w:beforeAutospacing="1" w:after="100" w:afterAutospacing="1" w:line="240" w:lineRule="auto"/>
      <w:jc w:val="left"/>
    </w:pPr>
    <w:rPr>
      <w:rFonts w:ascii="Times New Roman" w:hAnsi="Times New Roman"/>
      <w:color w:val="auto"/>
      <w:sz w:val="24"/>
      <w:szCs w:val="24"/>
    </w:rPr>
  </w:style>
  <w:style w:type="character" w:customStyle="1" w:styleId="charsectno">
    <w:name w:val="charsectno"/>
    <w:basedOn w:val="DefaultParagraphFont"/>
    <w:rsid w:val="005E073E"/>
  </w:style>
  <w:style w:type="paragraph" w:customStyle="1" w:styleId="subsection">
    <w:name w:val="subsection"/>
    <w:basedOn w:val="Normal"/>
    <w:rsid w:val="005E073E"/>
    <w:pPr>
      <w:spacing w:before="100" w:beforeAutospacing="1" w:after="100" w:afterAutospacing="1" w:line="240" w:lineRule="auto"/>
      <w:jc w:val="left"/>
    </w:pPr>
    <w:rPr>
      <w:rFonts w:ascii="Times New Roman" w:hAnsi="Times New Roman"/>
      <w:color w:val="auto"/>
      <w:sz w:val="24"/>
      <w:szCs w:val="24"/>
    </w:rPr>
  </w:style>
  <w:style w:type="paragraph" w:customStyle="1" w:styleId="TableTextLeft-Bullet">
    <w:name w:val="Table Text Left - Bullet"/>
    <w:basedOn w:val="TableTextLeft"/>
    <w:rsid w:val="00DB3D2A"/>
    <w:pPr>
      <w:numPr>
        <w:numId w:val="13"/>
      </w:numPr>
      <w:tabs>
        <w:tab w:val="left" w:pos="284"/>
      </w:tabs>
      <w:ind w:left="284" w:hanging="284"/>
    </w:pPr>
  </w:style>
  <w:style w:type="paragraph" w:customStyle="1" w:styleId="TableTextLeft-Dash">
    <w:name w:val="Table Text Left - Dash"/>
    <w:rsid w:val="00EB0856"/>
    <w:pPr>
      <w:numPr>
        <w:numId w:val="14"/>
      </w:numPr>
      <w:tabs>
        <w:tab w:val="left" w:pos="567"/>
      </w:tabs>
      <w:spacing w:before="60" w:after="60" w:line="240" w:lineRule="auto"/>
      <w:ind w:left="568" w:hanging="284"/>
      <w:jc w:val="both"/>
    </w:pPr>
    <w:rPr>
      <w:rFonts w:ascii="Arial" w:eastAsia="Times New Roman" w:hAnsi="Arial" w:cs="Arial"/>
      <w:color w:val="000000"/>
      <w:sz w:val="16"/>
      <w:szCs w:val="16"/>
      <w:lang w:eastAsia="en-AU"/>
    </w:rPr>
  </w:style>
  <w:style w:type="paragraph" w:customStyle="1" w:styleId="TableTextLeft-Numbered">
    <w:name w:val="Table Text Left - Numbered"/>
    <w:basedOn w:val="TableTextLeft"/>
    <w:rsid w:val="007D3940"/>
    <w:pPr>
      <w:numPr>
        <w:numId w:val="15"/>
      </w:numPr>
    </w:pPr>
    <w:rPr>
      <w:szCs w:val="16"/>
    </w:rPr>
  </w:style>
  <w:style w:type="paragraph" w:customStyle="1" w:styleId="TableTextLeft-Alpha">
    <w:name w:val="Table Text Left - Alpha"/>
    <w:rsid w:val="007D3940"/>
    <w:pPr>
      <w:numPr>
        <w:numId w:val="16"/>
      </w:numPr>
      <w:spacing w:before="60" w:after="60" w:line="240" w:lineRule="auto"/>
      <w:jc w:val="both"/>
    </w:pPr>
    <w:rPr>
      <w:rFonts w:ascii="Arial" w:eastAsia="Times New Roman" w:hAnsi="Arial" w:cs="Arial"/>
      <w:color w:val="000000"/>
      <w:sz w:val="16"/>
      <w:szCs w:val="16"/>
      <w:lang w:eastAsia="en-AU"/>
    </w:rPr>
  </w:style>
  <w:style w:type="paragraph" w:customStyle="1" w:styleId="TableTextLeft-Roman">
    <w:name w:val="Table Text Left - Roman"/>
    <w:rsid w:val="00EB0856"/>
    <w:pPr>
      <w:numPr>
        <w:numId w:val="17"/>
      </w:numPr>
      <w:tabs>
        <w:tab w:val="left" w:pos="851"/>
      </w:tabs>
      <w:spacing w:before="60" w:after="60" w:line="240" w:lineRule="auto"/>
      <w:ind w:left="851" w:hanging="284"/>
      <w:jc w:val="both"/>
    </w:pPr>
    <w:rPr>
      <w:rFonts w:ascii="Arial" w:eastAsia="Times New Roman" w:hAnsi="Arial" w:cs="Arial"/>
      <w:color w:val="000000"/>
      <w:sz w:val="16"/>
      <w:szCs w:val="16"/>
      <w:lang w:eastAsia="en-AU"/>
    </w:rPr>
  </w:style>
  <w:style w:type="paragraph" w:customStyle="1" w:styleId="Heading1-TOC">
    <w:name w:val="Heading 1 - TOC"/>
    <w:basedOn w:val="Heading1noTOC"/>
    <w:rsid w:val="006A5F83"/>
    <w:pPr>
      <w:outlineLvl w:val="0"/>
    </w:pPr>
  </w:style>
  <w:style w:type="paragraph" w:customStyle="1" w:styleId="TableColumnHeadingCentred-White">
    <w:name w:val="Table Column Heading Centred - White"/>
    <w:basedOn w:val="TableColumnHeadingCentred"/>
    <w:rsid w:val="000703F0"/>
  </w:style>
  <w:style w:type="paragraph" w:customStyle="1" w:styleId="TableColumnHeadingCentred-Black">
    <w:name w:val="Table Column Heading Centred - Black"/>
    <w:basedOn w:val="TableColumnHeadingCentred"/>
    <w:rsid w:val="000703F0"/>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2244">
      <w:bodyDiv w:val="1"/>
      <w:marLeft w:val="0"/>
      <w:marRight w:val="0"/>
      <w:marTop w:val="0"/>
      <w:marBottom w:val="0"/>
      <w:divBdr>
        <w:top w:val="none" w:sz="0" w:space="0" w:color="auto"/>
        <w:left w:val="none" w:sz="0" w:space="0" w:color="auto"/>
        <w:bottom w:val="none" w:sz="0" w:space="0" w:color="auto"/>
        <w:right w:val="none" w:sz="0" w:space="0" w:color="auto"/>
      </w:divBdr>
    </w:div>
    <w:div w:id="37319500">
      <w:bodyDiv w:val="1"/>
      <w:marLeft w:val="0"/>
      <w:marRight w:val="0"/>
      <w:marTop w:val="0"/>
      <w:marBottom w:val="0"/>
      <w:divBdr>
        <w:top w:val="none" w:sz="0" w:space="0" w:color="auto"/>
        <w:left w:val="none" w:sz="0" w:space="0" w:color="auto"/>
        <w:bottom w:val="none" w:sz="0" w:space="0" w:color="auto"/>
        <w:right w:val="none" w:sz="0" w:space="0" w:color="auto"/>
      </w:divBdr>
    </w:div>
    <w:div w:id="199444286">
      <w:bodyDiv w:val="1"/>
      <w:marLeft w:val="0"/>
      <w:marRight w:val="0"/>
      <w:marTop w:val="0"/>
      <w:marBottom w:val="0"/>
      <w:divBdr>
        <w:top w:val="none" w:sz="0" w:space="0" w:color="auto"/>
        <w:left w:val="none" w:sz="0" w:space="0" w:color="auto"/>
        <w:bottom w:val="none" w:sz="0" w:space="0" w:color="auto"/>
        <w:right w:val="none" w:sz="0" w:space="0" w:color="auto"/>
      </w:divBdr>
    </w:div>
    <w:div w:id="292713627">
      <w:bodyDiv w:val="1"/>
      <w:marLeft w:val="0"/>
      <w:marRight w:val="0"/>
      <w:marTop w:val="0"/>
      <w:marBottom w:val="0"/>
      <w:divBdr>
        <w:top w:val="none" w:sz="0" w:space="0" w:color="auto"/>
        <w:left w:val="none" w:sz="0" w:space="0" w:color="auto"/>
        <w:bottom w:val="none" w:sz="0" w:space="0" w:color="auto"/>
        <w:right w:val="none" w:sz="0" w:space="0" w:color="auto"/>
      </w:divBdr>
    </w:div>
    <w:div w:id="332146980">
      <w:bodyDiv w:val="1"/>
      <w:marLeft w:val="0"/>
      <w:marRight w:val="0"/>
      <w:marTop w:val="0"/>
      <w:marBottom w:val="0"/>
      <w:divBdr>
        <w:top w:val="none" w:sz="0" w:space="0" w:color="auto"/>
        <w:left w:val="none" w:sz="0" w:space="0" w:color="auto"/>
        <w:bottom w:val="none" w:sz="0" w:space="0" w:color="auto"/>
        <w:right w:val="none" w:sz="0" w:space="0" w:color="auto"/>
      </w:divBdr>
    </w:div>
    <w:div w:id="348528246">
      <w:bodyDiv w:val="1"/>
      <w:marLeft w:val="0"/>
      <w:marRight w:val="0"/>
      <w:marTop w:val="0"/>
      <w:marBottom w:val="0"/>
      <w:divBdr>
        <w:top w:val="none" w:sz="0" w:space="0" w:color="auto"/>
        <w:left w:val="none" w:sz="0" w:space="0" w:color="auto"/>
        <w:bottom w:val="none" w:sz="0" w:space="0" w:color="auto"/>
        <w:right w:val="none" w:sz="0" w:space="0" w:color="auto"/>
      </w:divBdr>
    </w:div>
    <w:div w:id="374744840">
      <w:bodyDiv w:val="1"/>
      <w:marLeft w:val="0"/>
      <w:marRight w:val="0"/>
      <w:marTop w:val="0"/>
      <w:marBottom w:val="0"/>
      <w:divBdr>
        <w:top w:val="none" w:sz="0" w:space="0" w:color="auto"/>
        <w:left w:val="none" w:sz="0" w:space="0" w:color="auto"/>
        <w:bottom w:val="none" w:sz="0" w:space="0" w:color="auto"/>
        <w:right w:val="none" w:sz="0" w:space="0" w:color="auto"/>
      </w:divBdr>
    </w:div>
    <w:div w:id="376584457">
      <w:bodyDiv w:val="1"/>
      <w:marLeft w:val="0"/>
      <w:marRight w:val="0"/>
      <w:marTop w:val="0"/>
      <w:marBottom w:val="0"/>
      <w:divBdr>
        <w:top w:val="none" w:sz="0" w:space="0" w:color="auto"/>
        <w:left w:val="none" w:sz="0" w:space="0" w:color="auto"/>
        <w:bottom w:val="none" w:sz="0" w:space="0" w:color="auto"/>
        <w:right w:val="none" w:sz="0" w:space="0" w:color="auto"/>
      </w:divBdr>
    </w:div>
    <w:div w:id="400061006">
      <w:bodyDiv w:val="1"/>
      <w:marLeft w:val="0"/>
      <w:marRight w:val="0"/>
      <w:marTop w:val="0"/>
      <w:marBottom w:val="0"/>
      <w:divBdr>
        <w:top w:val="none" w:sz="0" w:space="0" w:color="auto"/>
        <w:left w:val="none" w:sz="0" w:space="0" w:color="auto"/>
        <w:bottom w:val="none" w:sz="0" w:space="0" w:color="auto"/>
        <w:right w:val="none" w:sz="0" w:space="0" w:color="auto"/>
      </w:divBdr>
    </w:div>
    <w:div w:id="406341632">
      <w:bodyDiv w:val="1"/>
      <w:marLeft w:val="0"/>
      <w:marRight w:val="0"/>
      <w:marTop w:val="0"/>
      <w:marBottom w:val="0"/>
      <w:divBdr>
        <w:top w:val="none" w:sz="0" w:space="0" w:color="auto"/>
        <w:left w:val="none" w:sz="0" w:space="0" w:color="auto"/>
        <w:bottom w:val="none" w:sz="0" w:space="0" w:color="auto"/>
        <w:right w:val="none" w:sz="0" w:space="0" w:color="auto"/>
      </w:divBdr>
    </w:div>
    <w:div w:id="476804853">
      <w:bodyDiv w:val="1"/>
      <w:marLeft w:val="0"/>
      <w:marRight w:val="0"/>
      <w:marTop w:val="0"/>
      <w:marBottom w:val="0"/>
      <w:divBdr>
        <w:top w:val="none" w:sz="0" w:space="0" w:color="auto"/>
        <w:left w:val="none" w:sz="0" w:space="0" w:color="auto"/>
        <w:bottom w:val="none" w:sz="0" w:space="0" w:color="auto"/>
        <w:right w:val="none" w:sz="0" w:space="0" w:color="auto"/>
      </w:divBdr>
    </w:div>
    <w:div w:id="492721698">
      <w:bodyDiv w:val="1"/>
      <w:marLeft w:val="0"/>
      <w:marRight w:val="0"/>
      <w:marTop w:val="0"/>
      <w:marBottom w:val="0"/>
      <w:divBdr>
        <w:top w:val="none" w:sz="0" w:space="0" w:color="auto"/>
        <w:left w:val="none" w:sz="0" w:space="0" w:color="auto"/>
        <w:bottom w:val="none" w:sz="0" w:space="0" w:color="auto"/>
        <w:right w:val="none" w:sz="0" w:space="0" w:color="auto"/>
      </w:divBdr>
    </w:div>
    <w:div w:id="543375007">
      <w:bodyDiv w:val="1"/>
      <w:marLeft w:val="0"/>
      <w:marRight w:val="0"/>
      <w:marTop w:val="0"/>
      <w:marBottom w:val="0"/>
      <w:divBdr>
        <w:top w:val="none" w:sz="0" w:space="0" w:color="auto"/>
        <w:left w:val="none" w:sz="0" w:space="0" w:color="auto"/>
        <w:bottom w:val="none" w:sz="0" w:space="0" w:color="auto"/>
        <w:right w:val="none" w:sz="0" w:space="0" w:color="auto"/>
      </w:divBdr>
    </w:div>
    <w:div w:id="556891742">
      <w:bodyDiv w:val="1"/>
      <w:marLeft w:val="0"/>
      <w:marRight w:val="0"/>
      <w:marTop w:val="0"/>
      <w:marBottom w:val="0"/>
      <w:divBdr>
        <w:top w:val="none" w:sz="0" w:space="0" w:color="auto"/>
        <w:left w:val="none" w:sz="0" w:space="0" w:color="auto"/>
        <w:bottom w:val="none" w:sz="0" w:space="0" w:color="auto"/>
        <w:right w:val="none" w:sz="0" w:space="0" w:color="auto"/>
      </w:divBdr>
    </w:div>
    <w:div w:id="639001049">
      <w:bodyDiv w:val="1"/>
      <w:marLeft w:val="0"/>
      <w:marRight w:val="0"/>
      <w:marTop w:val="0"/>
      <w:marBottom w:val="0"/>
      <w:divBdr>
        <w:top w:val="none" w:sz="0" w:space="0" w:color="auto"/>
        <w:left w:val="none" w:sz="0" w:space="0" w:color="auto"/>
        <w:bottom w:val="none" w:sz="0" w:space="0" w:color="auto"/>
        <w:right w:val="none" w:sz="0" w:space="0" w:color="auto"/>
      </w:divBdr>
    </w:div>
    <w:div w:id="651062480">
      <w:bodyDiv w:val="1"/>
      <w:marLeft w:val="0"/>
      <w:marRight w:val="0"/>
      <w:marTop w:val="0"/>
      <w:marBottom w:val="0"/>
      <w:divBdr>
        <w:top w:val="none" w:sz="0" w:space="0" w:color="auto"/>
        <w:left w:val="none" w:sz="0" w:space="0" w:color="auto"/>
        <w:bottom w:val="none" w:sz="0" w:space="0" w:color="auto"/>
        <w:right w:val="none" w:sz="0" w:space="0" w:color="auto"/>
      </w:divBdr>
    </w:div>
    <w:div w:id="665278777">
      <w:bodyDiv w:val="1"/>
      <w:marLeft w:val="0"/>
      <w:marRight w:val="0"/>
      <w:marTop w:val="0"/>
      <w:marBottom w:val="0"/>
      <w:divBdr>
        <w:top w:val="none" w:sz="0" w:space="0" w:color="auto"/>
        <w:left w:val="none" w:sz="0" w:space="0" w:color="auto"/>
        <w:bottom w:val="none" w:sz="0" w:space="0" w:color="auto"/>
        <w:right w:val="none" w:sz="0" w:space="0" w:color="auto"/>
      </w:divBdr>
    </w:div>
    <w:div w:id="762722847">
      <w:bodyDiv w:val="1"/>
      <w:marLeft w:val="0"/>
      <w:marRight w:val="0"/>
      <w:marTop w:val="0"/>
      <w:marBottom w:val="0"/>
      <w:divBdr>
        <w:top w:val="none" w:sz="0" w:space="0" w:color="auto"/>
        <w:left w:val="none" w:sz="0" w:space="0" w:color="auto"/>
        <w:bottom w:val="none" w:sz="0" w:space="0" w:color="auto"/>
        <w:right w:val="none" w:sz="0" w:space="0" w:color="auto"/>
      </w:divBdr>
    </w:div>
    <w:div w:id="838736671">
      <w:bodyDiv w:val="1"/>
      <w:marLeft w:val="0"/>
      <w:marRight w:val="0"/>
      <w:marTop w:val="0"/>
      <w:marBottom w:val="0"/>
      <w:divBdr>
        <w:top w:val="none" w:sz="0" w:space="0" w:color="auto"/>
        <w:left w:val="none" w:sz="0" w:space="0" w:color="auto"/>
        <w:bottom w:val="none" w:sz="0" w:space="0" w:color="auto"/>
        <w:right w:val="none" w:sz="0" w:space="0" w:color="auto"/>
      </w:divBdr>
    </w:div>
    <w:div w:id="951594705">
      <w:bodyDiv w:val="1"/>
      <w:marLeft w:val="0"/>
      <w:marRight w:val="0"/>
      <w:marTop w:val="0"/>
      <w:marBottom w:val="0"/>
      <w:divBdr>
        <w:top w:val="none" w:sz="0" w:space="0" w:color="auto"/>
        <w:left w:val="none" w:sz="0" w:space="0" w:color="auto"/>
        <w:bottom w:val="none" w:sz="0" w:space="0" w:color="auto"/>
        <w:right w:val="none" w:sz="0" w:space="0" w:color="auto"/>
      </w:divBdr>
    </w:div>
    <w:div w:id="961306002">
      <w:bodyDiv w:val="1"/>
      <w:marLeft w:val="0"/>
      <w:marRight w:val="0"/>
      <w:marTop w:val="0"/>
      <w:marBottom w:val="0"/>
      <w:divBdr>
        <w:top w:val="none" w:sz="0" w:space="0" w:color="auto"/>
        <w:left w:val="none" w:sz="0" w:space="0" w:color="auto"/>
        <w:bottom w:val="none" w:sz="0" w:space="0" w:color="auto"/>
        <w:right w:val="none" w:sz="0" w:space="0" w:color="auto"/>
      </w:divBdr>
    </w:div>
    <w:div w:id="1007289009">
      <w:bodyDiv w:val="1"/>
      <w:marLeft w:val="0"/>
      <w:marRight w:val="0"/>
      <w:marTop w:val="0"/>
      <w:marBottom w:val="0"/>
      <w:divBdr>
        <w:top w:val="none" w:sz="0" w:space="0" w:color="auto"/>
        <w:left w:val="none" w:sz="0" w:space="0" w:color="auto"/>
        <w:bottom w:val="none" w:sz="0" w:space="0" w:color="auto"/>
        <w:right w:val="none" w:sz="0" w:space="0" w:color="auto"/>
      </w:divBdr>
    </w:div>
    <w:div w:id="1070692791">
      <w:bodyDiv w:val="1"/>
      <w:marLeft w:val="0"/>
      <w:marRight w:val="0"/>
      <w:marTop w:val="0"/>
      <w:marBottom w:val="0"/>
      <w:divBdr>
        <w:top w:val="none" w:sz="0" w:space="0" w:color="auto"/>
        <w:left w:val="none" w:sz="0" w:space="0" w:color="auto"/>
        <w:bottom w:val="none" w:sz="0" w:space="0" w:color="auto"/>
        <w:right w:val="none" w:sz="0" w:space="0" w:color="auto"/>
      </w:divBdr>
    </w:div>
    <w:div w:id="1075324644">
      <w:bodyDiv w:val="1"/>
      <w:marLeft w:val="0"/>
      <w:marRight w:val="0"/>
      <w:marTop w:val="0"/>
      <w:marBottom w:val="0"/>
      <w:divBdr>
        <w:top w:val="none" w:sz="0" w:space="0" w:color="auto"/>
        <w:left w:val="none" w:sz="0" w:space="0" w:color="auto"/>
        <w:bottom w:val="none" w:sz="0" w:space="0" w:color="auto"/>
        <w:right w:val="none" w:sz="0" w:space="0" w:color="auto"/>
      </w:divBdr>
    </w:div>
    <w:div w:id="1098982011">
      <w:bodyDiv w:val="1"/>
      <w:marLeft w:val="0"/>
      <w:marRight w:val="0"/>
      <w:marTop w:val="0"/>
      <w:marBottom w:val="0"/>
      <w:divBdr>
        <w:top w:val="none" w:sz="0" w:space="0" w:color="auto"/>
        <w:left w:val="none" w:sz="0" w:space="0" w:color="auto"/>
        <w:bottom w:val="none" w:sz="0" w:space="0" w:color="auto"/>
        <w:right w:val="none" w:sz="0" w:space="0" w:color="auto"/>
      </w:divBdr>
    </w:div>
    <w:div w:id="1102722148">
      <w:bodyDiv w:val="1"/>
      <w:marLeft w:val="0"/>
      <w:marRight w:val="0"/>
      <w:marTop w:val="0"/>
      <w:marBottom w:val="0"/>
      <w:divBdr>
        <w:top w:val="none" w:sz="0" w:space="0" w:color="auto"/>
        <w:left w:val="none" w:sz="0" w:space="0" w:color="auto"/>
        <w:bottom w:val="none" w:sz="0" w:space="0" w:color="auto"/>
        <w:right w:val="none" w:sz="0" w:space="0" w:color="auto"/>
      </w:divBdr>
    </w:div>
    <w:div w:id="1110977219">
      <w:bodyDiv w:val="1"/>
      <w:marLeft w:val="0"/>
      <w:marRight w:val="0"/>
      <w:marTop w:val="0"/>
      <w:marBottom w:val="0"/>
      <w:divBdr>
        <w:top w:val="none" w:sz="0" w:space="0" w:color="auto"/>
        <w:left w:val="none" w:sz="0" w:space="0" w:color="auto"/>
        <w:bottom w:val="none" w:sz="0" w:space="0" w:color="auto"/>
        <w:right w:val="none" w:sz="0" w:space="0" w:color="auto"/>
      </w:divBdr>
    </w:div>
    <w:div w:id="1115635847">
      <w:bodyDiv w:val="1"/>
      <w:marLeft w:val="0"/>
      <w:marRight w:val="0"/>
      <w:marTop w:val="0"/>
      <w:marBottom w:val="0"/>
      <w:divBdr>
        <w:top w:val="none" w:sz="0" w:space="0" w:color="auto"/>
        <w:left w:val="none" w:sz="0" w:space="0" w:color="auto"/>
        <w:bottom w:val="none" w:sz="0" w:space="0" w:color="auto"/>
        <w:right w:val="none" w:sz="0" w:space="0" w:color="auto"/>
      </w:divBdr>
    </w:div>
    <w:div w:id="1302350334">
      <w:bodyDiv w:val="1"/>
      <w:marLeft w:val="0"/>
      <w:marRight w:val="0"/>
      <w:marTop w:val="0"/>
      <w:marBottom w:val="0"/>
      <w:divBdr>
        <w:top w:val="none" w:sz="0" w:space="0" w:color="auto"/>
        <w:left w:val="none" w:sz="0" w:space="0" w:color="auto"/>
        <w:bottom w:val="none" w:sz="0" w:space="0" w:color="auto"/>
        <w:right w:val="none" w:sz="0" w:space="0" w:color="auto"/>
      </w:divBdr>
    </w:div>
    <w:div w:id="1317801839">
      <w:bodyDiv w:val="1"/>
      <w:marLeft w:val="0"/>
      <w:marRight w:val="0"/>
      <w:marTop w:val="0"/>
      <w:marBottom w:val="0"/>
      <w:divBdr>
        <w:top w:val="none" w:sz="0" w:space="0" w:color="auto"/>
        <w:left w:val="none" w:sz="0" w:space="0" w:color="auto"/>
        <w:bottom w:val="none" w:sz="0" w:space="0" w:color="auto"/>
        <w:right w:val="none" w:sz="0" w:space="0" w:color="auto"/>
      </w:divBdr>
    </w:div>
    <w:div w:id="1371800623">
      <w:bodyDiv w:val="1"/>
      <w:marLeft w:val="0"/>
      <w:marRight w:val="0"/>
      <w:marTop w:val="0"/>
      <w:marBottom w:val="0"/>
      <w:divBdr>
        <w:top w:val="none" w:sz="0" w:space="0" w:color="auto"/>
        <w:left w:val="none" w:sz="0" w:space="0" w:color="auto"/>
        <w:bottom w:val="none" w:sz="0" w:space="0" w:color="auto"/>
        <w:right w:val="none" w:sz="0" w:space="0" w:color="auto"/>
      </w:divBdr>
    </w:div>
    <w:div w:id="1416972079">
      <w:bodyDiv w:val="1"/>
      <w:marLeft w:val="0"/>
      <w:marRight w:val="0"/>
      <w:marTop w:val="0"/>
      <w:marBottom w:val="0"/>
      <w:divBdr>
        <w:top w:val="none" w:sz="0" w:space="0" w:color="auto"/>
        <w:left w:val="none" w:sz="0" w:space="0" w:color="auto"/>
        <w:bottom w:val="none" w:sz="0" w:space="0" w:color="auto"/>
        <w:right w:val="none" w:sz="0" w:space="0" w:color="auto"/>
      </w:divBdr>
    </w:div>
    <w:div w:id="1460105071">
      <w:bodyDiv w:val="1"/>
      <w:marLeft w:val="0"/>
      <w:marRight w:val="0"/>
      <w:marTop w:val="0"/>
      <w:marBottom w:val="0"/>
      <w:divBdr>
        <w:top w:val="none" w:sz="0" w:space="0" w:color="auto"/>
        <w:left w:val="none" w:sz="0" w:space="0" w:color="auto"/>
        <w:bottom w:val="none" w:sz="0" w:space="0" w:color="auto"/>
        <w:right w:val="none" w:sz="0" w:space="0" w:color="auto"/>
      </w:divBdr>
    </w:div>
    <w:div w:id="1464540125">
      <w:bodyDiv w:val="1"/>
      <w:marLeft w:val="0"/>
      <w:marRight w:val="0"/>
      <w:marTop w:val="0"/>
      <w:marBottom w:val="0"/>
      <w:divBdr>
        <w:top w:val="none" w:sz="0" w:space="0" w:color="auto"/>
        <w:left w:val="none" w:sz="0" w:space="0" w:color="auto"/>
        <w:bottom w:val="none" w:sz="0" w:space="0" w:color="auto"/>
        <w:right w:val="none" w:sz="0" w:space="0" w:color="auto"/>
      </w:divBdr>
    </w:div>
    <w:div w:id="1467622798">
      <w:bodyDiv w:val="1"/>
      <w:marLeft w:val="0"/>
      <w:marRight w:val="0"/>
      <w:marTop w:val="0"/>
      <w:marBottom w:val="0"/>
      <w:divBdr>
        <w:top w:val="none" w:sz="0" w:space="0" w:color="auto"/>
        <w:left w:val="none" w:sz="0" w:space="0" w:color="auto"/>
        <w:bottom w:val="none" w:sz="0" w:space="0" w:color="auto"/>
        <w:right w:val="none" w:sz="0" w:space="0" w:color="auto"/>
      </w:divBdr>
    </w:div>
    <w:div w:id="1527401350">
      <w:bodyDiv w:val="1"/>
      <w:marLeft w:val="0"/>
      <w:marRight w:val="0"/>
      <w:marTop w:val="0"/>
      <w:marBottom w:val="0"/>
      <w:divBdr>
        <w:top w:val="none" w:sz="0" w:space="0" w:color="auto"/>
        <w:left w:val="none" w:sz="0" w:space="0" w:color="auto"/>
        <w:bottom w:val="none" w:sz="0" w:space="0" w:color="auto"/>
        <w:right w:val="none" w:sz="0" w:space="0" w:color="auto"/>
      </w:divBdr>
    </w:div>
    <w:div w:id="1636640670">
      <w:bodyDiv w:val="1"/>
      <w:marLeft w:val="0"/>
      <w:marRight w:val="0"/>
      <w:marTop w:val="0"/>
      <w:marBottom w:val="0"/>
      <w:divBdr>
        <w:top w:val="none" w:sz="0" w:space="0" w:color="auto"/>
        <w:left w:val="none" w:sz="0" w:space="0" w:color="auto"/>
        <w:bottom w:val="none" w:sz="0" w:space="0" w:color="auto"/>
        <w:right w:val="none" w:sz="0" w:space="0" w:color="auto"/>
      </w:divBdr>
    </w:div>
    <w:div w:id="1637177336">
      <w:bodyDiv w:val="1"/>
      <w:marLeft w:val="0"/>
      <w:marRight w:val="0"/>
      <w:marTop w:val="0"/>
      <w:marBottom w:val="0"/>
      <w:divBdr>
        <w:top w:val="none" w:sz="0" w:space="0" w:color="auto"/>
        <w:left w:val="none" w:sz="0" w:space="0" w:color="auto"/>
        <w:bottom w:val="none" w:sz="0" w:space="0" w:color="auto"/>
        <w:right w:val="none" w:sz="0" w:space="0" w:color="auto"/>
      </w:divBdr>
    </w:div>
    <w:div w:id="1646009752">
      <w:bodyDiv w:val="1"/>
      <w:marLeft w:val="0"/>
      <w:marRight w:val="0"/>
      <w:marTop w:val="0"/>
      <w:marBottom w:val="0"/>
      <w:divBdr>
        <w:top w:val="none" w:sz="0" w:space="0" w:color="auto"/>
        <w:left w:val="none" w:sz="0" w:space="0" w:color="auto"/>
        <w:bottom w:val="none" w:sz="0" w:space="0" w:color="auto"/>
        <w:right w:val="none" w:sz="0" w:space="0" w:color="auto"/>
      </w:divBdr>
    </w:div>
    <w:div w:id="1878810981">
      <w:bodyDiv w:val="1"/>
      <w:marLeft w:val="0"/>
      <w:marRight w:val="0"/>
      <w:marTop w:val="0"/>
      <w:marBottom w:val="0"/>
      <w:divBdr>
        <w:top w:val="none" w:sz="0" w:space="0" w:color="auto"/>
        <w:left w:val="none" w:sz="0" w:space="0" w:color="auto"/>
        <w:bottom w:val="none" w:sz="0" w:space="0" w:color="auto"/>
        <w:right w:val="none" w:sz="0" w:space="0" w:color="auto"/>
      </w:divBdr>
    </w:div>
    <w:div w:id="1948079107">
      <w:bodyDiv w:val="1"/>
      <w:marLeft w:val="0"/>
      <w:marRight w:val="0"/>
      <w:marTop w:val="0"/>
      <w:marBottom w:val="0"/>
      <w:divBdr>
        <w:top w:val="none" w:sz="0" w:space="0" w:color="auto"/>
        <w:left w:val="none" w:sz="0" w:space="0" w:color="auto"/>
        <w:bottom w:val="none" w:sz="0" w:space="0" w:color="auto"/>
        <w:right w:val="none" w:sz="0" w:space="0" w:color="auto"/>
      </w:divBdr>
    </w:div>
    <w:div w:id="1989508944">
      <w:bodyDiv w:val="1"/>
      <w:marLeft w:val="0"/>
      <w:marRight w:val="0"/>
      <w:marTop w:val="0"/>
      <w:marBottom w:val="0"/>
      <w:divBdr>
        <w:top w:val="none" w:sz="0" w:space="0" w:color="auto"/>
        <w:left w:val="none" w:sz="0" w:space="0" w:color="auto"/>
        <w:bottom w:val="none" w:sz="0" w:space="0" w:color="auto"/>
        <w:right w:val="none" w:sz="0" w:space="0" w:color="auto"/>
      </w:divBdr>
    </w:div>
    <w:div w:id="1995451004">
      <w:bodyDiv w:val="1"/>
      <w:marLeft w:val="0"/>
      <w:marRight w:val="0"/>
      <w:marTop w:val="0"/>
      <w:marBottom w:val="0"/>
      <w:divBdr>
        <w:top w:val="none" w:sz="0" w:space="0" w:color="auto"/>
        <w:left w:val="none" w:sz="0" w:space="0" w:color="auto"/>
        <w:bottom w:val="none" w:sz="0" w:space="0" w:color="auto"/>
        <w:right w:val="none" w:sz="0" w:space="0" w:color="auto"/>
      </w:divBdr>
    </w:div>
    <w:div w:id="2008361430">
      <w:bodyDiv w:val="1"/>
      <w:marLeft w:val="0"/>
      <w:marRight w:val="0"/>
      <w:marTop w:val="0"/>
      <w:marBottom w:val="0"/>
      <w:divBdr>
        <w:top w:val="none" w:sz="0" w:space="0" w:color="auto"/>
        <w:left w:val="none" w:sz="0" w:space="0" w:color="auto"/>
        <w:bottom w:val="none" w:sz="0" w:space="0" w:color="auto"/>
        <w:right w:val="none" w:sz="0" w:space="0" w:color="auto"/>
      </w:divBdr>
    </w:div>
    <w:div w:id="2031057523">
      <w:bodyDiv w:val="1"/>
      <w:marLeft w:val="0"/>
      <w:marRight w:val="0"/>
      <w:marTop w:val="0"/>
      <w:marBottom w:val="0"/>
      <w:divBdr>
        <w:top w:val="none" w:sz="0" w:space="0" w:color="auto"/>
        <w:left w:val="none" w:sz="0" w:space="0" w:color="auto"/>
        <w:bottom w:val="none" w:sz="0" w:space="0" w:color="auto"/>
        <w:right w:val="none" w:sz="0" w:space="0" w:color="auto"/>
      </w:divBdr>
    </w:div>
    <w:div w:id="2072380979">
      <w:bodyDiv w:val="1"/>
      <w:marLeft w:val="0"/>
      <w:marRight w:val="0"/>
      <w:marTop w:val="0"/>
      <w:marBottom w:val="0"/>
      <w:divBdr>
        <w:top w:val="none" w:sz="0" w:space="0" w:color="auto"/>
        <w:left w:val="none" w:sz="0" w:space="0" w:color="auto"/>
        <w:bottom w:val="none" w:sz="0" w:space="0" w:color="auto"/>
        <w:right w:val="none" w:sz="0" w:space="0" w:color="auto"/>
      </w:divBdr>
    </w:div>
    <w:div w:id="2075346294">
      <w:bodyDiv w:val="1"/>
      <w:marLeft w:val="0"/>
      <w:marRight w:val="0"/>
      <w:marTop w:val="0"/>
      <w:marBottom w:val="0"/>
      <w:divBdr>
        <w:top w:val="none" w:sz="0" w:space="0" w:color="auto"/>
        <w:left w:val="none" w:sz="0" w:space="0" w:color="auto"/>
        <w:bottom w:val="none" w:sz="0" w:space="0" w:color="auto"/>
        <w:right w:val="none" w:sz="0" w:space="0" w:color="auto"/>
      </w:divBdr>
    </w:div>
    <w:div w:id="211959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oleObject" Target="http://tweb/sites/mg/fitpd/Lfirbannualrport/2017-18/Data/Report%20tables/Chapter%204%20tables.xlsx!Table%204.4!R6C3:R13C8" TargetMode="External"/><Relationship Id="rId21" Type="http://schemas.openxmlformats.org/officeDocument/2006/relationships/hyperlink" Target="http://creativecommons.org/licenses/by/3.0/au/deed.en" TargetMode="External"/><Relationship Id="rId42" Type="http://schemas.openxmlformats.org/officeDocument/2006/relationships/image" Target="media/image8.jpeg"/><Relationship Id="rId47" Type="http://schemas.openxmlformats.org/officeDocument/2006/relationships/header" Target="header8.xml"/><Relationship Id="rId63" Type="http://schemas.openxmlformats.org/officeDocument/2006/relationships/image" Target="media/image19.jpeg"/><Relationship Id="rId68" Type="http://schemas.openxmlformats.org/officeDocument/2006/relationships/image" Target="media/image22.emf"/><Relationship Id="rId84" Type="http://schemas.openxmlformats.org/officeDocument/2006/relationships/oleObject" Target="http://tweb/sites/mg/fitpd/Lfirbannualrport/2017-18/Data/Report%20tables/Table%205.11%20State%20and%20territory%20distribution%20of%20proposed%20investment%20in%20residential%20real%20estate.xlsx!5.11F!R7C1:R19C7" TargetMode="External"/><Relationship Id="rId89" Type="http://schemas.openxmlformats.org/officeDocument/2006/relationships/image" Target="media/image34.emf"/><Relationship Id="rId112" Type="http://schemas.openxmlformats.org/officeDocument/2006/relationships/image" Target="media/image40.emf"/><Relationship Id="rId16" Type="http://schemas.openxmlformats.org/officeDocument/2006/relationships/footer" Target="footer1.xml"/><Relationship Id="rId107" Type="http://schemas.openxmlformats.org/officeDocument/2006/relationships/image" Target="media/image37.jpeg"/><Relationship Id="rId11" Type="http://schemas.openxmlformats.org/officeDocument/2006/relationships/webSettings" Target="webSettings.xml"/><Relationship Id="rId32" Type="http://schemas.openxmlformats.org/officeDocument/2006/relationships/footer" Target="footer6.xml"/><Relationship Id="rId37" Type="http://schemas.openxmlformats.org/officeDocument/2006/relationships/image" Target="media/image3.jpeg"/><Relationship Id="rId53" Type="http://schemas.openxmlformats.org/officeDocument/2006/relationships/image" Target="media/image140.jpeg"/><Relationship Id="rId58" Type="http://schemas.openxmlformats.org/officeDocument/2006/relationships/oleObject" Target="http://tweb/sites/mg/fitpd/Lfirbannualrport/2017-18/Data/Report%20tables/Table%205.1%20Applications%20considered.xlsx!X.1F!R6C1:R18C10" TargetMode="External"/><Relationship Id="rId74" Type="http://schemas.openxmlformats.org/officeDocument/2006/relationships/oleObject" Target="http://tweb/sites/mg/fitpd/Lfirbannualrport/2017-18/Data/Report%20tables/Table%205.7%20Service%20Sector%20Approvals.xlsx!5.7F!R6C1:R17C19" TargetMode="External"/><Relationship Id="rId79" Type="http://schemas.openxmlformats.org/officeDocument/2006/relationships/oleObject" Target="http://tweb/sites/mg/fitpd/Lfirbannualrport/2017-18/Data/Report%20tables/Table%205.9%20State%20and%20territory%20distribution%20of%20proposed%20investment%20in%20commercial%20real%20estate.xlsx!5.9F!R7C1:R19C7" TargetMode="External"/><Relationship Id="rId102" Type="http://schemas.openxmlformats.org/officeDocument/2006/relationships/footer" Target="footer14.xml"/><Relationship Id="rId123" Type="http://schemas.openxmlformats.org/officeDocument/2006/relationships/image" Target="media/image45.emf"/><Relationship Id="rId128" Type="http://schemas.openxmlformats.org/officeDocument/2006/relationships/header" Target="header18.xml"/><Relationship Id="rId5" Type="http://schemas.openxmlformats.org/officeDocument/2006/relationships/customXml" Target="../customXml/item5.xml"/><Relationship Id="rId90" Type="http://schemas.openxmlformats.org/officeDocument/2006/relationships/oleObject" Target="http://tweb/sites/mg/fitpd/Lfirbannualrport/2017-18/Data/Report%20tables/Table%205.13%20Approvals%20by%20country%20of%20investor,%20by%20industry%20sector.xlsx!5.13F%20Hard!R6C2:R31C11" TargetMode="External"/><Relationship Id="rId95" Type="http://schemas.openxmlformats.org/officeDocument/2006/relationships/image" Target="media/image35.emf"/><Relationship Id="rId19" Type="http://schemas.openxmlformats.org/officeDocument/2006/relationships/hyperlink" Target="http://creativecommons.org/licenses/by/3.0/au/legalcode" TargetMode="External"/><Relationship Id="rId14" Type="http://schemas.openxmlformats.org/officeDocument/2006/relationships/header" Target="header1.xml"/><Relationship Id="rId22" Type="http://schemas.openxmlformats.org/officeDocument/2006/relationships/hyperlink" Target="http://www.itsanhonour.gov.au" TargetMode="External"/><Relationship Id="rId27" Type="http://schemas.openxmlformats.org/officeDocument/2006/relationships/footer" Target="footer4.xml"/><Relationship Id="rId30" Type="http://schemas.openxmlformats.org/officeDocument/2006/relationships/hyperlink" Target="http://www.firb.gov.au" TargetMode="External"/><Relationship Id="rId35" Type="http://schemas.openxmlformats.org/officeDocument/2006/relationships/footer" Target="footer7.xml"/><Relationship Id="rId43" Type="http://schemas.openxmlformats.org/officeDocument/2006/relationships/image" Target="media/image9.jpeg"/><Relationship Id="rId48" Type="http://schemas.openxmlformats.org/officeDocument/2006/relationships/footer" Target="footer8.xml"/><Relationship Id="rId56" Type="http://schemas.openxmlformats.org/officeDocument/2006/relationships/image" Target="media/image15.jpeg"/><Relationship Id="rId64" Type="http://schemas.openxmlformats.org/officeDocument/2006/relationships/image" Target="media/image20.emf"/><Relationship Id="rId69" Type="http://schemas.openxmlformats.org/officeDocument/2006/relationships/oleObject" Target="http://tweb/sites/mg/fitpd/Lfirbannualrport/2017-18/Data/Report%20tables/Table%205.5%20Manufacturing%20Sector%20Approvals.xlsx!5.5F!R6C1:R13C19" TargetMode="External"/><Relationship Id="rId77" Type="http://schemas.openxmlformats.org/officeDocument/2006/relationships/oleObject" Target="http://tweb/sites/mg/fitpd/Lfirbannualrport/2017-18/Data/Report%20tables/Table%205.8%20Commercial%20Real%20Estate%20approvals,%20by%20type.xlsx!5.8F!R7C1:R18C18" TargetMode="External"/><Relationship Id="rId100" Type="http://schemas.openxmlformats.org/officeDocument/2006/relationships/footer" Target="footer13.xml"/><Relationship Id="rId105" Type="http://schemas.openxmlformats.org/officeDocument/2006/relationships/header" Target="header16.xml"/><Relationship Id="rId113" Type="http://schemas.openxmlformats.org/officeDocument/2006/relationships/oleObject" Target="http://tweb/sites/mg/fitpd/Lfirbannualrport/2017-18/Data/Report%20tables/Archive/Chart%204.1.xlsx!Sheet1!%5bChart%204.1.xlsx%5dSheet1%20Chart%202" TargetMode="External"/><Relationship Id="rId118" Type="http://schemas.openxmlformats.org/officeDocument/2006/relationships/image" Target="media/image43.emf"/><Relationship Id="rId126" Type="http://schemas.openxmlformats.org/officeDocument/2006/relationships/image" Target="media/image47.jpeg"/><Relationship Id="rId8" Type="http://schemas.openxmlformats.org/officeDocument/2006/relationships/styles" Target="styles.xml"/><Relationship Id="rId51" Type="http://schemas.openxmlformats.org/officeDocument/2006/relationships/image" Target="media/image13.jpeg"/><Relationship Id="rId72" Type="http://schemas.openxmlformats.org/officeDocument/2006/relationships/oleObject" Target="http://tweb/sites/mg/fitpd/Lfirbannualrport/2017-18/Data/Report%20tables/Table%205.6%20Mining%20Sector%20Approvals.xlsx!5.6Tc!R6C1:R26C22" TargetMode="External"/><Relationship Id="rId80" Type="http://schemas.openxmlformats.org/officeDocument/2006/relationships/image" Target="media/image29.emf"/><Relationship Id="rId85" Type="http://schemas.openxmlformats.org/officeDocument/2006/relationships/image" Target="media/image32.emf"/><Relationship Id="rId93" Type="http://schemas.openxmlformats.org/officeDocument/2006/relationships/header" Target="header12.xml"/><Relationship Id="rId98" Type="http://schemas.openxmlformats.org/officeDocument/2006/relationships/oleObject" Target="http://tweb/sites/mg/fitpd/Lfirbannualrport/2017-18/Data/Report%20tables/Variations%20considered%20and%20by%20reason.xlsx!Variation_final_tables!R27C2:R36C19" TargetMode="External"/><Relationship Id="rId121"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yperlink" Target="http://tweb13/sites/mg/fitpd/Lfirbannualrport/2017-18/Draft%20report/190207%20FIRB%20Annual%20Report%20Draft%202017-18.docx"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17.emf"/><Relationship Id="rId67" Type="http://schemas.openxmlformats.org/officeDocument/2006/relationships/oleObject" Target="http://tweb/sites/mg/fitpd/Lfirbannualrport/2017-18/Data/Report%20tables/Table%205.4%20Approvals%20by%20industry%20sector.xlsx!5.4F!R6C1:R16C25" TargetMode="External"/><Relationship Id="rId103" Type="http://schemas.openxmlformats.org/officeDocument/2006/relationships/header" Target="header15.xml"/><Relationship Id="rId108" Type="http://schemas.openxmlformats.org/officeDocument/2006/relationships/image" Target="media/image38.emf"/><Relationship Id="rId116" Type="http://schemas.openxmlformats.org/officeDocument/2006/relationships/image" Target="media/image42.emf"/><Relationship Id="rId124" Type="http://schemas.openxmlformats.org/officeDocument/2006/relationships/oleObject" Target="http://tweb/sites/mg/fitpd/Lfirbannualrport/2017-18/Data/Report%20tables/Chapter%204%20tables.xlsx!Table%20A.1!R5C3:R13C5" TargetMode="External"/><Relationship Id="rId129" Type="http://schemas.openxmlformats.org/officeDocument/2006/relationships/image" Target="media/image49.jpeg"/><Relationship Id="rId20" Type="http://schemas.openxmlformats.org/officeDocument/2006/relationships/image" Target="media/image1.png"/><Relationship Id="rId41" Type="http://schemas.openxmlformats.org/officeDocument/2006/relationships/image" Target="media/image7.jpeg"/><Relationship Id="rId54" Type="http://schemas.openxmlformats.org/officeDocument/2006/relationships/header" Target="header10.xml"/><Relationship Id="rId62" Type="http://schemas.openxmlformats.org/officeDocument/2006/relationships/oleObject" Target="http://tweb/sites/mg/fitpd/Lfirbannualrport/2017-18/Data/Report%20tables/Table%205.3%20Approvals%20by%20value.xlsx!5.3F!R6C1:R15C19" TargetMode="External"/><Relationship Id="rId70" Type="http://schemas.openxmlformats.org/officeDocument/2006/relationships/image" Target="media/image23.jpeg"/><Relationship Id="rId75" Type="http://schemas.openxmlformats.org/officeDocument/2006/relationships/image" Target="media/image26.jpeg"/><Relationship Id="rId83" Type="http://schemas.openxmlformats.org/officeDocument/2006/relationships/image" Target="media/image31.emf"/><Relationship Id="rId88" Type="http://schemas.openxmlformats.org/officeDocument/2006/relationships/oleObject" Target="http://tweb/sites/mg/fitpd/Lfirbannualrport/2017-18/Data/Report%20tables/Table%203.13%20New%20business.xlsx!5.13%20New%20business%20F!R6C1:R13C15" TargetMode="External"/><Relationship Id="rId91" Type="http://schemas.openxmlformats.org/officeDocument/2006/relationships/header" Target="header11.xml"/><Relationship Id="rId96" Type="http://schemas.openxmlformats.org/officeDocument/2006/relationships/oleObject" Target="http://tweb/sites/mg/fitpd/Lfirbannualrport/2017-18/Data/Report%20tables/Variations%20considered%20and%20by%20reason.xlsx!Variation_final_tables!R12C2:R23C19" TargetMode="External"/><Relationship Id="rId111" Type="http://schemas.openxmlformats.org/officeDocument/2006/relationships/oleObject" Target="http://tweb/sites/mg/fitpd/Lfirbannualrport/2017-18/Data/Report%20tables/Chapter%204%20tables.xlsx!Table%204.2!R5C3:R11C8"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mailto:medialiaison@treasury.gov.au" TargetMode="Externa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eader" Target="header9.xml"/><Relationship Id="rId57" Type="http://schemas.openxmlformats.org/officeDocument/2006/relationships/image" Target="media/image16.emf"/><Relationship Id="rId106" Type="http://schemas.openxmlformats.org/officeDocument/2006/relationships/footer" Target="footer16.xml"/><Relationship Id="rId114" Type="http://schemas.openxmlformats.org/officeDocument/2006/relationships/image" Target="media/image41.emf"/><Relationship Id="rId119" Type="http://schemas.openxmlformats.org/officeDocument/2006/relationships/oleObject" Target="http://tweb/sites/mg/fitpd/Lfirbannualrport/2017-18/Data/Report%20tables/Chapter%204%20tables.xlsx!Table%204.5!R5C3:R9C8" TargetMode="External"/><Relationship Id="rId127" Type="http://schemas.openxmlformats.org/officeDocument/2006/relationships/image" Target="media/image48.jpeg"/><Relationship Id="rId10" Type="http://schemas.openxmlformats.org/officeDocument/2006/relationships/settings" Target="settings.xml"/><Relationship Id="rId31" Type="http://schemas.openxmlformats.org/officeDocument/2006/relationships/image" Target="media/image2.tiff"/><Relationship Id="rId44" Type="http://schemas.openxmlformats.org/officeDocument/2006/relationships/image" Target="media/image10.jpeg"/><Relationship Id="rId52" Type="http://schemas.openxmlformats.org/officeDocument/2006/relationships/image" Target="media/image14.jpeg"/><Relationship Id="rId60" Type="http://schemas.openxmlformats.org/officeDocument/2006/relationships/oleObject" Target="http://tweb/sites/mg/fitpd/Lfirbannualrport/2017-18/Data/Report%20tables/Table%205.2%20Applications%20Decided.xlsx!X.2F!R6C1:R13C10" TargetMode="External"/><Relationship Id="rId65" Type="http://schemas.openxmlformats.org/officeDocument/2006/relationships/oleObject" Target="http://tweb/sites/mg/fitpd/Lfirbannualrport/2017-18/Data/Report%20tables/Table%205.4%20Approvals%20by%20industry%20sector.xlsx!Charts%20Final!%5bTable%205.4%20Approvals%20by%20industry%20sector.xlsx%5dCharts%20Final%20Chart%201" TargetMode="External"/><Relationship Id="rId73" Type="http://schemas.openxmlformats.org/officeDocument/2006/relationships/image" Target="media/image25.emf"/><Relationship Id="rId78" Type="http://schemas.openxmlformats.org/officeDocument/2006/relationships/image" Target="media/image28.emf"/><Relationship Id="rId81" Type="http://schemas.openxmlformats.org/officeDocument/2006/relationships/image" Target="media/image30.emf"/><Relationship Id="rId86" Type="http://schemas.openxmlformats.org/officeDocument/2006/relationships/oleObject" Target="http://tweb/sites/mg/fitpd/Lfirbannualrport/2017-18/Data/Report%20tables/Table%205.12%20State%20and%20territory%20distribution%20of%20proposed%20investment%20in%20residential%20real%20estate,%20by%20industry%20subtype.xlsx!5.12F!R8C1:R19C16" TargetMode="External"/><Relationship Id="rId94" Type="http://schemas.openxmlformats.org/officeDocument/2006/relationships/footer" Target="footer12.xml"/><Relationship Id="rId99" Type="http://schemas.openxmlformats.org/officeDocument/2006/relationships/header" Target="header13.xml"/><Relationship Id="rId101" Type="http://schemas.openxmlformats.org/officeDocument/2006/relationships/header" Target="header14.xml"/><Relationship Id="rId122" Type="http://schemas.openxmlformats.org/officeDocument/2006/relationships/image" Target="media/image44.jpeg"/><Relationship Id="rId130" Type="http://schemas.openxmlformats.org/officeDocument/2006/relationships/header" Target="header19.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39" Type="http://schemas.openxmlformats.org/officeDocument/2006/relationships/image" Target="media/image5.jpeg"/><Relationship Id="rId109" Type="http://schemas.openxmlformats.org/officeDocument/2006/relationships/oleObject" Target="http://tweb/sites/mg/fitpd/Lfirbannualrport/2017-18/Data/Report%20tables/Chapter%204%20tables.xlsx!Table%204.1!R3C2:R7C5" TargetMode="External"/><Relationship Id="rId34" Type="http://schemas.openxmlformats.org/officeDocument/2006/relationships/header" Target="header6.xml"/><Relationship Id="rId50" Type="http://schemas.openxmlformats.org/officeDocument/2006/relationships/footer" Target="footer9.xml"/><Relationship Id="rId55" Type="http://schemas.openxmlformats.org/officeDocument/2006/relationships/footer" Target="footer10.xml"/><Relationship Id="rId76" Type="http://schemas.openxmlformats.org/officeDocument/2006/relationships/image" Target="media/image27.emf"/><Relationship Id="rId97" Type="http://schemas.openxmlformats.org/officeDocument/2006/relationships/image" Target="media/image36.emf"/><Relationship Id="rId104" Type="http://schemas.openxmlformats.org/officeDocument/2006/relationships/footer" Target="footer15.xml"/><Relationship Id="rId120" Type="http://schemas.openxmlformats.org/officeDocument/2006/relationships/header" Target="header17.xml"/><Relationship Id="rId125" Type="http://schemas.openxmlformats.org/officeDocument/2006/relationships/image" Target="media/image46.jpeg"/><Relationship Id="rId7" Type="http://schemas.openxmlformats.org/officeDocument/2006/relationships/numbering" Target="numbering.xml"/><Relationship Id="rId71" Type="http://schemas.openxmlformats.org/officeDocument/2006/relationships/image" Target="media/image24.emf"/><Relationship Id="rId92"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image" Target="media/image6.jpeg"/><Relationship Id="rId45" Type="http://schemas.openxmlformats.org/officeDocument/2006/relationships/image" Target="media/image11.jpeg"/><Relationship Id="rId66" Type="http://schemas.openxmlformats.org/officeDocument/2006/relationships/image" Target="media/image21.emf"/><Relationship Id="rId87" Type="http://schemas.openxmlformats.org/officeDocument/2006/relationships/image" Target="media/image33.emf"/><Relationship Id="rId110" Type="http://schemas.openxmlformats.org/officeDocument/2006/relationships/image" Target="media/image39.emf"/><Relationship Id="rId115" Type="http://schemas.openxmlformats.org/officeDocument/2006/relationships/oleObject" Target="http://tweb/sites/mg/fitpd/Lfirbannualrport/2017-18/Data/Report%20tables/Chapter%204%20tables.xlsx!Table%204.3!R6C3:R12C8" TargetMode="External"/><Relationship Id="rId131" Type="http://schemas.openxmlformats.org/officeDocument/2006/relationships/fontTable" Target="fontTable.xml"/><Relationship Id="rId61" Type="http://schemas.openxmlformats.org/officeDocument/2006/relationships/image" Target="media/image18.emf"/><Relationship Id="rId82" Type="http://schemas.openxmlformats.org/officeDocument/2006/relationships/oleObject" Target="http://tweb/sites/mg/fitpd/Lfirbannualrport/2017-18/Data/Report%20tables/Table%205.10%20Investment%20in%20residential%20real%20estate,%20by%20type.xlsx!5.10F!R7C1:R31C1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hiia.eabe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F%20I%20R%20B\FIRB%20Annual%20Report.dotm" TargetMode="External"/></Relationships>
</file>

<file path=word/theme/theme1.xml><?xml version="1.0" encoding="utf-8"?>
<a:theme xmlns:a="http://schemas.openxmlformats.org/drawingml/2006/main" name="Office Theme">
  <a:themeElements>
    <a:clrScheme name="FIRB 2017-18">
      <a:dk1>
        <a:sysClr val="windowText" lastClr="000000"/>
      </a:dk1>
      <a:lt1>
        <a:sysClr val="window" lastClr="FFFFFF"/>
      </a:lt1>
      <a:dk2>
        <a:srgbClr val="1F497D"/>
      </a:dk2>
      <a:lt2>
        <a:srgbClr val="EEECE1"/>
      </a:lt2>
      <a:accent1>
        <a:srgbClr val="A32035"/>
      </a:accent1>
      <a:accent2>
        <a:srgbClr val="F2F2F2"/>
      </a:accent2>
      <a:accent3>
        <a:srgbClr val="E06277"/>
      </a:accent3>
      <a:accent4>
        <a:srgbClr val="BFBFBF"/>
      </a:accent4>
      <a:accent5>
        <a:srgbClr val="D38986"/>
      </a:accent5>
      <a:accent6>
        <a:srgbClr val="8F8F8F"/>
      </a:accent6>
      <a:hlink>
        <a:srgbClr val="BC4B46"/>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11</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RA-9052 - Retain as national archives</TermName>
          <TermId xmlns="http://schemas.microsoft.com/office/infopath/2007/PartnerControls">ac55390f-b26f-4756-8634-9527e3d5cfe1</TermId>
        </TermInfo>
      </Terms>
    </lb508a4dc5e84436a0fe496b536466aa>
    <_dlc_DocId xmlns="0f563589-9cf9-4143-b1eb-fb0534803d38">2019MG-810075526-741</_dlc_DocId>
    <_dlc_DocIdUrl xmlns="0f563589-9cf9-4143-b1eb-fb0534803d38">
      <Url>http://tweb/sites/mg/fitpd/_layouts/15/DocIdRedir.aspx?ID=2019MG-810075526-741</Url>
      <Description>2019MG-810075526-741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045FBBFE3100674D8DB8D97439A7612C" ma:contentTypeVersion="17838" ma:contentTypeDescription="" ma:contentTypeScope="" ma:versionID="5651d504274617d0e75a759ee8b52c02">
  <xsd:schema xmlns:xsd="http://www.w3.org/2001/XMLSchema" xmlns:xs="http://www.w3.org/2001/XMLSchema" xmlns:p="http://schemas.microsoft.com/office/2006/metadata/properties" xmlns:ns1="http://schemas.microsoft.com/sharepoint/v3" xmlns:ns2="0f563589-9cf9-4143-b1eb-fb0534803d38" xmlns:ns3="d4dd4adf-ddb3-46a3-8d7c-fab3fb2a6bc7" targetNamespace="http://schemas.microsoft.com/office/2006/metadata/properties" ma:root="true" ma:fieldsID="476b8207e14d40e8e8ea2ccc0bbd9440" ns1:_="" ns2:_="" ns3:_="">
    <xsd:import namespace="http://schemas.microsoft.com/sharepoint/v3"/>
    <xsd:import namespace="0f563589-9cf9-4143-b1eb-fb0534803d38"/>
    <xsd:import namespace="d4dd4adf-ddb3-46a3-8d7c-fab3fb2a6bc7"/>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1;#TSY RA-9052 - Retain as national archives|ac55390f-b26f-4756-8634-9527e3d5cfe1"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0A366-5796-4802-8E8B-4F2E31B89987}">
  <ds:schemaRefs>
    <ds:schemaRef ds:uri="office.server.policy"/>
  </ds:schemaRefs>
</ds:datastoreItem>
</file>

<file path=customXml/itemProps2.xml><?xml version="1.0" encoding="utf-8"?>
<ds:datastoreItem xmlns:ds="http://schemas.openxmlformats.org/officeDocument/2006/customXml" ds:itemID="{9A001D4B-9036-4FAD-A7E5-F791FBB0616F}">
  <ds:schemaRefs>
    <ds:schemaRef ds:uri="http://schemas.microsoft.com/sharepoint/v3/contenttype/forms"/>
  </ds:schemaRefs>
</ds:datastoreItem>
</file>

<file path=customXml/itemProps3.xml><?xml version="1.0" encoding="utf-8"?>
<ds:datastoreItem xmlns:ds="http://schemas.openxmlformats.org/officeDocument/2006/customXml" ds:itemID="{5CCE6D46-609E-4913-9437-D47D0F575661}">
  <ds:schemaRefs>
    <ds:schemaRef ds:uri="http://schemas.microsoft.com/sharepoint/events"/>
  </ds:schemaRefs>
</ds:datastoreItem>
</file>

<file path=customXml/itemProps4.xml><?xml version="1.0" encoding="utf-8"?>
<ds:datastoreItem xmlns:ds="http://schemas.openxmlformats.org/officeDocument/2006/customXml" ds:itemID="{44640CF7-56B0-4BA7-AD27-A56A2FBC1B38}">
  <ds:schemaRefs>
    <ds:schemaRef ds:uri="http://schemas.microsoft.com/sharepoint/v3"/>
    <ds:schemaRef ds:uri="0f563589-9cf9-4143-b1eb-fb0534803d38"/>
    <ds:schemaRef ds:uri="http://purl.org/dc/terms/"/>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elements/1.1/"/>
    <ds:schemaRef ds:uri="http://schemas.openxmlformats.org/package/2006/metadata/core-properties"/>
    <ds:schemaRef ds:uri="d4dd4adf-ddb3-46a3-8d7c-fab3fb2a6bc7"/>
    <ds:schemaRef ds:uri="http://www.w3.org/XML/1998/namespace"/>
  </ds:schemaRefs>
</ds:datastoreItem>
</file>

<file path=customXml/itemProps5.xml><?xml version="1.0" encoding="utf-8"?>
<ds:datastoreItem xmlns:ds="http://schemas.openxmlformats.org/officeDocument/2006/customXml" ds:itemID="{43EEBC05-BFF1-4929-8B2F-F77532223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22D91CE-B577-4239-B33C-6AD9173A8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FIRB Annual Report.dotm</Template>
  <TotalTime>4425</TotalTime>
  <Pages>85</Pages>
  <Words>23355</Words>
  <Characters>131024</Characters>
  <Application>Microsoft Office Word</Application>
  <DocSecurity>0</DocSecurity>
  <Lines>2298</Lines>
  <Paragraphs>1002</Paragraphs>
  <ScaleCrop>false</ScaleCrop>
  <HeadingPairs>
    <vt:vector size="2" baseType="variant">
      <vt:variant>
        <vt:lpstr>Title</vt:lpstr>
      </vt:variant>
      <vt:variant>
        <vt:i4>1</vt:i4>
      </vt:variant>
    </vt:vector>
  </HeadingPairs>
  <TitlesOfParts>
    <vt:vector size="1" baseType="lpstr">
      <vt:lpstr>Foreign Investment Review Board Annual Report 2017-18</vt:lpstr>
    </vt:vector>
  </TitlesOfParts>
  <Company>Australian Government - The Treasury</Company>
  <LinksUpToDate>false</LinksUpToDate>
  <CharactersWithSpaces>153377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 Investment Review Board Annual Report 2017-18</dc:title>
  <dc:creator>FIRB</dc:creator>
  <cp:lastModifiedBy>Hill, Christine</cp:lastModifiedBy>
  <cp:revision>132</cp:revision>
  <cp:lastPrinted>2019-02-12T07:59:00Z</cp:lastPrinted>
  <dcterms:created xsi:type="dcterms:W3CDTF">2019-02-01T04:37:00Z</dcterms:created>
  <dcterms:modified xsi:type="dcterms:W3CDTF">2019-02-18T03:16:00Z</dcterms:modified>
</cp:coreProperties>
</file>